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400" w:after="200"/>
        <w:jc w:val="center"/>
      </w:pPr>
      <w:r>
        <w:rPr>
          <w:rFonts w:ascii="Arial" w:hAnsi="Arial"/>
          <w:b/>
          <w:color w:val="1F4E79"/>
          <w:sz w:val="56"/>
        </w:rPr>
        <w:t>Decline Rate Modell for Norsk Sokkel</w:t>
      </w:r>
    </w:p>
    <w:p>
      <w:pPr>
        <w:spacing w:before="80" w:after="80"/>
        <w:jc w:val="center"/>
      </w:pPr>
      <w:r>
        <w:rPr>
          <w:rFonts w:ascii="Arial" w:hAnsi="Arial"/>
          <w:i/>
          <w:color w:val="595959"/>
          <w:sz w:val="36"/>
        </w:rPr>
        <w:t>Fysikk + Premium Rammeverk for Equity Research</w:t>
      </w:r>
    </w:p>
    <w:p>
      <w:pPr>
        <w:spacing w:before="80" w:after="600"/>
        <w:jc w:val="center"/>
      </w:pPr>
      <w:r>
        <w:rPr>
          <w:rFonts w:ascii="Arial" w:hAnsi="Arial"/>
          <w:i/>
          <w:color w:val="E65100"/>
          <w:sz w:val="24"/>
        </w:rPr>
        <w:t>Versjon 3.0 — full lifecycle (decline + pre-peak forecast)</w:t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  <w:jc w:val="center"/>
      </w:pPr>
      <w:r>
        <w:rPr>
          <w:rFonts w:ascii="Arial" w:hAnsi="Arial"/>
          <w:b/>
          <w:sz w:val="28"/>
        </w:rPr>
        <w:t>Emma Strandenskaar</w:t>
      </w:r>
    </w:p>
    <w:p>
      <w:pPr>
        <w:spacing w:before="80" w:after="80"/>
        <w:jc w:val="center"/>
      </w:pPr>
      <w:r>
        <w:rPr>
          <w:rFonts w:ascii="Arial" w:hAnsi="Arial"/>
          <w:sz w:val="24"/>
        </w:rPr>
        <w:t>Metodikk-dokumentasjon</w:t>
      </w:r>
    </w:p>
    <w:p>
      <w:pPr>
        <w:spacing w:before="80" w:after="600"/>
        <w:jc w:val="center"/>
      </w:pPr>
      <w:r>
        <w:rPr>
          <w:rFonts w:ascii="Arial" w:hAnsi="Arial"/>
          <w:color w:val="808080"/>
          <w:sz w:val="24"/>
        </w:rPr>
        <w:t>Juni 2026 — Revidert utgave</w:t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Motor</w:t>
            </w:r>
          </w:p>
        </w:tc>
        <w:tc>
          <w:tcPr>
            <w:tcW w:type="dxa" w:w="432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Nøkkelmetrikk</w:t>
            </w:r>
          </w:p>
        </w:tc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Verdi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Decline (V5.1)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Nested CV R²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b/>
                <w:color w:val="2E7D32"/>
                <w:sz w:val="20"/>
              </w:rPr>
              <w:t>0.662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Decline (V5.1)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Aker BP treffrate (±0.05)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83% [55-95% CI]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Pre-peak forecast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Ramp/platå (out-of-sample)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b/>
                <w:color w:val="2E7D32"/>
                <w:sz w:val="20"/>
              </w:rPr>
              <w:t>±5/±4 mnd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Pre-peak forecast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Peak (out-of-sample)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E65100"/>
                <w:sz w:val="20"/>
              </w:rPr>
              <w:t>±35% (range)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Datagrunnlag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Master fluid library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108 felt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Datagrunnlag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Type-curve bibliotek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69 felt</w:t>
            </w:r>
          </w:p>
        </w:tc>
      </w:tr>
    </w:tbl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1. Sammendrag</w:t>
      </w:r>
    </w:p>
    <w:p>
      <w:pPr>
        <w:spacing w:before="80" w:after="80"/>
      </w:pPr>
      <w:r>
        <w:rPr>
          <w:rFonts w:ascii="Arial" w:hAnsi="Arial"/>
          <w:sz w:val="22"/>
        </w:rPr>
        <w:t>Dette dokumentet beskriver et komplett produksjons-forecasting-rammeverk for norsk sokkel, bygget rundt to komplementære motorer: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Decline-modell (V5.1) — for felt med ≥12 måneders produksjonshistorikk. Estimerer årlig decline rate fra fysikk (Beggs-Robinson viskositet) + et feltspesifikt premium-rammeverk. Seksjon 2-10.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Pre-peak forecast (V2) — for helt nye felt, fra PDO-data alene. Predikerer peak / ramp / platå / decline fra kun ex-ante variabler. Seksjon 11-13.</w:t>
      </w:r>
    </w:p>
    <w:p>
      <w:pPr>
        <w:spacing w:before="80" w:after="80"/>
      </w:pPr>
      <w:r>
        <w:rPr>
          <w:rFonts w:ascii="Arial" w:hAnsi="Arial"/>
          <w:sz w:val="22"/>
        </w:rPr>
        <w:t>Sammen dekker de hele feltets livssyklus: fra førsteolje (pre-peak forecast) til moden produksjon (decline-modell). For et nytt felt brukes pre-peak forecast til feltet har 12 måneders historikk, deretter tar den mer presise decline-modellen over.</w:t>
      </w:r>
    </w:p>
    <w:p>
      <w:pPr>
        <w:spacing w:before="80" w:after="80"/>
      </w:pPr>
      <w:r>
        <w:rPr>
          <w:rFonts w:ascii="Arial" w:hAnsi="Arial"/>
          <w:b/>
          <w:sz w:val="22"/>
        </w:rPr>
        <w:t>DECLINE-MODELLEN (V5.1):</w:t>
      </w:r>
    </w:p>
    <w:p>
      <w:pPr>
        <w:spacing w:before="80" w:after="80"/>
      </w:pPr>
      <w:r>
        <w:rPr>
          <w:rFonts w:ascii="Arial" w:hAnsi="Arial"/>
          <w:sz w:val="22"/>
        </w:rPr>
        <w:t>Bruker reservoar-API fra Sodir DST og operatør-research i stedet for handelsblending-API. Oppnår ærlig nested CV R² = 0.662 og Aker BP treffrate 83% (innen ±0.05). Alle inputs offentlig tilgjengelige.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D = 0.0938 + 0.0106·ln(viskositet) − 0.0612·P₁₂ + 0.0399·|P₁₂|</w:t>
      </w:r>
    </w:p>
    <w:p>
      <w:pPr>
        <w:spacing w:before="80" w:after="80"/>
      </w:pPr>
      <w:r>
        <w:rPr>
          <w:rFonts w:ascii="Arial" w:hAnsi="Arial"/>
          <w:b/>
          <w:sz w:val="22"/>
        </w:rPr>
        <w:t>PRE-PEAK FORECAST (V2):</w:t>
      </w:r>
    </w:p>
    <w:p>
      <w:pPr>
        <w:spacing w:before="80" w:after="80"/>
      </w:pPr>
      <w:r>
        <w:rPr>
          <w:rFonts w:ascii="Arial" w:hAnsi="Arial"/>
          <w:sz w:val="22"/>
        </w:rPr>
        <w:t>Predikerer ramp/platå presist (±5/±4 mnd out-of-sample), peak som range-verktøy (±35%). Validert med ekte hold-out test der modellen aldri så testfeltet. Brukt på Yggdrasil som case study (seksjon 13).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1.5 QA-fikser anvendt i V5.1</w:t>
      </w:r>
    </w:p>
    <w:p>
      <w:pPr>
        <w:spacing w:before="80" w:after="80"/>
      </w:pPr>
      <w:r>
        <w:rPr>
          <w:rFonts w:ascii="Arial" w:hAnsi="Arial"/>
          <w:sz w:val="22"/>
        </w:rPr>
        <w:t>V5.1 inkorporerer 7 fikser fra en grundig kvalitetsrevisjon: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Fix</w:t>
            </w:r>
          </w:p>
        </w:tc>
        <w:tc>
          <w:tcPr>
            <w:tcW w:type="dxa" w:w="432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417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Løsning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H1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TROLL API = 38.8° fra operator (kondensat-blend)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Erstattet med Sodir DST oljerim 27.9° (n=15)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H2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Duplikater: ASGARD/ÅSGARD, KVITEBJORN/KVITEBJØRN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Norsk Ø/O normalisering for dedup → 108 unike felt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H3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Gass-/kondensatfelt forurenser oljemodell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DUVA, SNØHVIT, ORMEN LANGE flagget som gas_field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H5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Enkelt-DST sample overstyrer blend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Krev n≥3 før DST aksepteres; ellers nedgrades til dst_single_unreliable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M1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Premium-vindu off-by-one: 13 mnd i stedet for 12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Endret t≥t.max()-12 til t&gt;t.max()-12 (korrekte 12 obs)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A1/A2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Premium-sirkularitet: bruker D_physics som er fittet på D_annual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Implementert nested LOO-CV: refit både D_physics og premium per fold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Stat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Bootstrap CIs + Wilson hit-rate CI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Rapporterer nå 95% CIs for alle koeffisienter og proporsjoner</w:t>
            </w:r>
          </w:p>
        </w:tc>
      </w:tr>
    </w:tbl>
    <w:p>
      <w:pPr>
        <w:spacing w:before="80" w:after="80"/>
      </w:pPr>
      <w:r>
        <w:rPr>
          <w:rFonts w:ascii="Arial" w:hAnsi="Arial"/>
          <w:b/>
          <w:sz w:val="22"/>
        </w:rPr>
        <w:t>Effekt på rapportert ytelse: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Metrikk</w:t>
            </w:r>
          </w:p>
        </w:tc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V5 (gammel)</w:t>
            </w:r>
          </w:p>
        </w:tc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V5.1 (ærlig)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CV R² (LOO)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0.702 (inflert)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0.662 (nested)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Premium-vindu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13 mnd (bug)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12 mnd (korrekt)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Aker BP hit-rate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83%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83% [55-95% CI]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N felt (etter dedup)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49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48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Største endring er CV R² 0.702 → 0.662. Selv om dette er en nedgang, er det det ÆRLIGE out-of-sample-anslaget. Modellen er fortsatt sterkt positiv vs fysikk-only baseline (~0).</w:t>
      </w:r>
    </w:p>
    <w:p>
      <w:pPr>
        <w:spacing w:before="80" w:after="80"/>
      </w:pPr>
      <w:r>
        <w:rPr>
          <w:rFonts w:ascii="Arial" w:hAnsi="Arial"/>
          <w:b/>
          <w:sz w:val="22"/>
        </w:rPr>
        <w:t>Hvorfor denne nedgangen er bra: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Den gamle CV R² = 0.702 var inflert pga sirkulær konstruksjon av premium-variabelen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V5.1 rapporterer det ekte out-of-sample-tallet (0.662) — modellen er fortsatt nyttig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Premium-rammeverket bidrar 65pp R² over fysikk-only baseline — fortsatt sterkt signal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ER-rapporten kan nå quote 0.662 trygt uten å overselge</w:t>
      </w:r>
    </w:p>
    <w:p>
      <w:pPr>
        <w:spacing w:before="80" w:after="80"/>
      </w:pPr>
      <w:r>
        <w:rPr>
          <w:rFonts w:ascii="Arial" w:hAnsi="Arial"/>
          <w:sz w:val="22"/>
        </w:rPr>
        <w:t>hvor viskositet beregnes med Beggs-Robinson på reservoar-API (når tilgjengelig) og felt-spesifikk reservoartemperatur (der målt), og P₁₂ er gjennomsnittlig log-premium siste 12 måneder.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2. Hvorfor decline rates er kritisk for Equity Research</w:t>
      </w:r>
    </w:p>
    <w:p>
      <w:pPr>
        <w:spacing w:before="80" w:after="80"/>
      </w:pPr>
      <w:r>
        <w:rPr>
          <w:rFonts w:ascii="Arial" w:hAnsi="Arial"/>
          <w:sz w:val="22"/>
        </w:rPr>
        <w:t>Decline rate er en av de viktigste driverne for verdsettelse av oppstrøms olje- og gasselskaper. Den bestemmer hvor raskt produksjonen — og dermed kontantstrømmen — faller fra et felt etter peak.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2.1 Påvirkning på NPV</w:t>
      </w:r>
    </w:p>
    <w:p>
      <w:pPr>
        <w:spacing w:before="80" w:after="80"/>
      </w:pPr>
      <w:r>
        <w:rPr>
          <w:rFonts w:ascii="Arial" w:hAnsi="Arial"/>
          <w:sz w:val="22"/>
        </w:rPr>
        <w:t>For et typisk NCS-felt med 10-15 års produksjonshistorikk vil en endring i decline rate fra 8% til 12% redusere NPV med 20-30%, alt annet likt. Dette gjør decline-anslag til en hovedvariabel i target price-modeller.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2.2 Hvor markedet ofte feiler</w:t>
      </w:r>
    </w:p>
    <w:p>
      <w:pPr>
        <w:spacing w:before="80" w:after="80"/>
      </w:pPr>
      <w:r>
        <w:rPr>
          <w:rFonts w:ascii="Arial" w:hAnsi="Arial"/>
          <w:sz w:val="22"/>
        </w:rPr>
        <w:t>Mange ER-rapporter bruker en "standard" decline rate på 5-10% for alle NCS-felt, uten å justere for: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Oljekvalitet (reservoar-viskositet) — påvirker reservoarets evne til å strømme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Feltspesifikk historikk — noen felt har holdt seg flate i 10+ år (Valhall, Ekofisk)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Operatørstrategi — CAPEX-investering bremser natural decline</w:t>
      </w:r>
    </w:p>
    <w:p>
      <w:pPr>
        <w:spacing w:before="80" w:after="80"/>
      </w:pPr>
      <w:r>
        <w:rPr>
          <w:rFonts w:ascii="Arial" w:hAnsi="Arial"/>
          <w:sz w:val="22"/>
        </w:rPr>
        <w:t>Vår modell gir et transparent, datadrevet alternativ som fanger disse forskjellene gjennom få variabler.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3. Fysikk-fundamentet: Beggs-Robinson viskositet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3.1 Hvorfor viskositet betyr noe</w:t>
      </w:r>
    </w:p>
    <w:p>
      <w:pPr>
        <w:spacing w:before="80" w:after="80"/>
      </w:pPr>
      <w:r>
        <w:rPr>
          <w:rFonts w:ascii="Arial" w:hAnsi="Arial"/>
          <w:sz w:val="22"/>
        </w:rPr>
        <w:t>Når en oljereservoar tappes, må oljen strømme gjennom mikroskopiske kanaler i bergarten mot brønnen. Hvor lett dette skjer avhenger av oljens viskositet: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Lett olje (høy API, lav viskositet) — strømmer lett, men reservoarets trykk faller raskt → bratt decline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Tung olje (lav API, høy viskositet) — strømmer trått, men reservoartrykket holdes lengre → slakere decline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3.2 Beggs-Robinson-formelen</w:t>
      </w:r>
    </w:p>
    <w:p>
      <w:pPr>
        <w:spacing w:before="80" w:after="80"/>
      </w:pPr>
      <w:r>
        <w:rPr>
          <w:rFonts w:ascii="Arial" w:hAnsi="Arial"/>
          <w:sz w:val="22"/>
        </w:rPr>
        <w:t>Beggs-Robinson (1975) er en empirisk korrelasjon som beregner dead-oil-viskositet fra API gravity og reservoartemperatur: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μ = 10^(x · T^(-1.163)) − 1   [cP]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hvor x = 10^(3.0324 − 0.02023·API)</w:t>
      </w:r>
    </w:p>
    <w:p>
      <w:pPr>
        <w:spacing w:before="80" w:after="80"/>
      </w:pPr>
      <w:r>
        <w:rPr>
          <w:rFonts w:ascii="Arial" w:hAnsi="Arial"/>
          <w:sz w:val="22"/>
        </w:rPr>
        <w:t>I V2 av modellen bruker vi felt-spesifikk reservoartemperatur for 10 felt der DST-målinger eller operatør-rapporter har dette. For øvrige felt brukes NCS-typisk T = 90°C (194°F). Sensitivitetstesting viste at temperaturvalg har marginal effekt på modell-ytelse — men felt-spesifikk T er mer ærlig modellering.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3.3 Validering av fysikk-baseline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166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hysics_viscos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6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1: Sammenheng mellom ln(viskositet) og decline rate på NCS. Fysikken gir riktig retning men forklarer alene bare en liten del av variansen — feltspesifikke effekter dominerer.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4. Premium-rammeverket: Alpha / Beta-tankegang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4.1 Analog til finansmarkeder</w:t>
      </w:r>
    </w:p>
    <w:p>
      <w:pPr>
        <w:spacing w:before="80" w:after="80"/>
      </w:pPr>
      <w:r>
        <w:rPr>
          <w:rFonts w:ascii="Arial" w:hAnsi="Arial"/>
          <w:sz w:val="22"/>
        </w:rPr>
        <w:t>Vi låner et begrepsapparat fra finans og bruker det på reservoarer: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Beta (fysikk) — felles eksponering mot "markedet" (her: viskositet → forventet decline)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Alpha (premium) — feltspesifikk avvik som ikke kan forklares av fysikken alene</w:t>
      </w:r>
    </w:p>
    <w:p>
      <w:pPr>
        <w:spacing w:before="80" w:after="80"/>
      </w:pPr>
      <w:r>
        <w:rPr>
          <w:rFonts w:ascii="Arial" w:hAnsi="Arial"/>
          <w:sz w:val="22"/>
        </w:rPr>
        <w:t>Premiumet fanger alt vi ikke direkte kan observere: operatørkvalitet, brønnplassering, vanninjeksjonsstrategi, CAPEX-program, reservoarstruktur, infill-boring osv.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4.2 Beregning av premium</w:t>
      </w:r>
    </w:p>
    <w:p>
      <w:pPr>
        <w:spacing w:before="80" w:after="80"/>
      </w:pPr>
      <w:r>
        <w:rPr>
          <w:rFonts w:ascii="Arial" w:hAnsi="Arial"/>
          <w:sz w:val="22"/>
        </w:rPr>
        <w:t>For hver måned i post-peak-perioden beregner vi: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log_premium_i = ln(actual_i / expected_i)</w:t>
      </w:r>
    </w:p>
    <w:p>
      <w:pPr>
        <w:spacing w:before="80" w:after="80"/>
      </w:pPr>
      <w:r>
        <w:rPr>
          <w:rFonts w:ascii="Arial" w:hAnsi="Arial"/>
          <w:sz w:val="22"/>
        </w:rPr>
        <w:t>hvor expected_i = exp(−D_physics/12 · month_i)</w:t>
      </w:r>
    </w:p>
    <w:p>
      <w:pPr>
        <w:spacing w:before="80" w:after="80"/>
      </w:pPr>
      <w:r>
        <w:rPr>
          <w:rFonts w:ascii="Arial" w:hAnsi="Arial"/>
          <w:sz w:val="22"/>
        </w:rPr>
        <w:t>Positiv premium = feltet outperformer fysikken. Negativ premium = feltet underperformer.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4.3 Hvorfor 12-måneders vindu</w:t>
      </w:r>
    </w:p>
    <w:p>
      <w:pPr>
        <w:spacing w:before="80" w:after="80"/>
      </w:pPr>
      <w:r>
        <w:rPr>
          <w:rFonts w:ascii="Arial" w:hAnsi="Arial"/>
          <w:sz w:val="22"/>
        </w:rPr>
        <w:t>Vi testet systematisk premium-vindu fra 3 til 120 måneder. CV R² topper ut rundt 6-12 måneder.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02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mium_window_finegrain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2: Systematisk testing av premium-vindu (3-24 mnd). Tallene under hvert punkt viser antall datapunkter per felt. Lengre vinduer legger til støy, ikke signal. Vindu under 6 mnd er for sårbart for støy.</w:t>
      </w:r>
    </w:p>
    <w:p>
      <w:pPr>
        <w:spacing w:before="80" w:after="80"/>
      </w:pPr>
      <w:r>
        <w:rPr>
          <w:rFonts w:ascii="Arial" w:hAnsi="Arial"/>
          <w:sz w:val="22"/>
        </w:rPr>
        <w:t>Vi valgte 12 måneder framfor 6 av tre grunner: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Robusthet — 12 datapunkter er stabilt mot enkeltmåneds-shutdowns.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Sesongeffekter — Norske felt har planlagte sommerstopp som 12 mnd fanger en full syklus av.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ER-narrativ — "1 år historikk" er en troverdig kommunikasjon i en investeringsanalyse.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4.4 Hvorfor |premium| (asymmetri-korreksjon)</w:t>
      </w:r>
    </w:p>
    <w:p>
      <w:pPr>
        <w:spacing w:before="80" w:after="80"/>
      </w:pPr>
      <w:r>
        <w:rPr>
          <w:rFonts w:ascii="Arial" w:hAnsi="Arial"/>
          <w:sz w:val="22"/>
        </w:rPr>
        <w:t>Felt med stort avvik fra fysikken (i begge retninger) har høyere baseline-decline enn felt nær fysikkens prediksjon. Vi inkluderer derfor |P₁₂| som tredje variabel.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Store positive premium (f.eks. Valhall +2.34) skyldes intensive CAPEX-sykluser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Store negative premium (f.eks. Volund −1.64) indikerer brattere natural decline</w:t>
      </w:r>
    </w:p>
    <w:p>
      <w:pPr>
        <w:spacing w:before="80" w:after="80"/>
      </w:pPr>
      <w:r>
        <w:rPr>
          <w:rFonts w:ascii="Arial" w:hAnsi="Arial"/>
          <w:sz w:val="22"/>
        </w:rPr>
        <w:t>Begge tilfeller fortjener et risikopåslag i decline-estimatet.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5. Reservoar-API berikelse (nytt i v2)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5.1 Problemet: blend-API vs reservoar-API</w:t>
      </w:r>
    </w:p>
    <w:p>
      <w:pPr>
        <w:spacing w:before="80" w:after="80"/>
      </w:pPr>
      <w:r>
        <w:rPr>
          <w:rFonts w:ascii="Arial" w:hAnsi="Arial"/>
          <w:sz w:val="22"/>
        </w:rPr>
        <w:t>I første versjon av modellen brukte vi API gravity fra handelsblendinger (f.eks. "Alvheim Blend", "Grane Blend"). Dette er API-en på oljen som selges fra hub-systemet — ikke API-en på den faktiske reservoarvæsken.</w:t>
      </w:r>
    </w:p>
    <w:p>
      <w:pPr>
        <w:spacing w:before="80" w:after="80"/>
      </w:pPr>
      <w:r>
        <w:rPr>
          <w:rFonts w:ascii="Arial" w:hAnsi="Arial"/>
          <w:i/>
          <w:sz w:val="22"/>
        </w:rPr>
        <w:t>Problemet er at satellittfelt rør oljen til hovedfeltets FPSO/plattform der den blandes med hovedfeltets olje. Det som selges er blendingen, og API-målingen gjøres på blendingen. Sodir tildeler samme blend-API til alle felt som matter inn samme strøm: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Blending</w:t>
            </w:r>
          </w:p>
        </w:tc>
        <w:tc>
          <w:tcPr>
            <w:tcW w:type="dxa" w:w="576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Felt med samme API-tildelt</w:t>
            </w:r>
          </w:p>
        </w:tc>
        <w:tc>
          <w:tcPr>
            <w:tcW w:type="dxa" w:w="201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Blend-API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Alvheim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ALVHEIM, VILJE, VOLUND, BØYLA, SKOGUL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34.5°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Ekofisk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EKOFISK, HOD, ELDFISK, EMBLA, ULA, VALHALL, GYDA, TAMBAR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38.9°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Grane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GRANE, EDVARD GRIEG, IVAR AASEN, SOLVEIG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27.1°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Statfjord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STATFJORD, SNORRE, SYGNA, STATFJORD ØST/NORD, TORDIS, VIGDIS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39.3°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Eksempler på blend-tildelinger som ble brukt i v1. Disse satellittfeltene har faktisk forskjellige reservoarvæsker.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5.2 Løsningen: Sodir DST-database + operatør-research</w:t>
      </w:r>
    </w:p>
    <w:p>
      <w:pPr>
        <w:spacing w:before="80" w:after="80"/>
      </w:pPr>
      <w:r>
        <w:rPr>
          <w:rFonts w:ascii="Arial" w:hAnsi="Arial"/>
          <w:sz w:val="22"/>
        </w:rPr>
        <w:t>For å bygge en database med reservoar-API per felt, kombinerte vi flere datakilder: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Kilde</w:t>
            </w:r>
          </w:p>
        </w:tc>
        <w:tc>
          <w:tcPr>
            <w:tcW w:type="dxa" w:w="432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Type data</w:t>
            </w:r>
          </w:p>
        </w:tc>
        <w:tc>
          <w:tcPr>
            <w:tcW w:type="dxa" w:w="216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Felt dekket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DST-database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1186 brønntester med oljedensitet (g/cm³) per oppdagelsesbrønn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85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 direct assays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Equinor, ExxonMobil, TotalEnergies — komplette crude assays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17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 deep research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Annual reports, capital markets days, PDOer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43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field_summary (v1)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Eksisterende blend-tildelinger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52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Datakilder for master fluid library. Total unik dekning: 110 felt.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5.3 Prioritert merge-logikk</w:t>
      </w:r>
    </w:p>
    <w:p>
      <w:pPr>
        <w:spacing w:before="80" w:after="80"/>
      </w:pPr>
      <w:r>
        <w:rPr>
          <w:rFonts w:ascii="Arial" w:hAnsi="Arial"/>
          <w:sz w:val="22"/>
        </w:rPr>
        <w:t>For hvert felt velger vi den beste tilgjengelige API-verdien etter denne prioritetsrekkefølgen: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Operatør direct assay (høy konfidens) — kvalitet: operator_direct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Sodir DST med ≥5 brønntester (median av samples) — kvalitet: dst_robust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Operatør medium-konfidens research (med formasjon, depth, etc.) — kvalitet: operator_medium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Sodir DST med 1-4 brønntester — kvalitet: dst_limited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Operatør lav-konfidens research — kvalitet: operator_low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Blend-tildeling som fallback — kvalitet: blend_inherited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5.4 Største endringer fra v1</w:t>
      </w:r>
    </w:p>
    <w:p>
      <w:pPr>
        <w:spacing w:before="80" w:after="80"/>
      </w:pPr>
      <w:r>
        <w:rPr>
          <w:rFonts w:ascii="Arial" w:hAnsi="Arial"/>
          <w:sz w:val="22"/>
        </w:rPr>
        <w:t>Av 49 modellerte felt har 31 fått oppdatert API. De største endringene: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Felt</w:t>
            </w:r>
          </w:p>
        </w:tc>
        <w:tc>
          <w:tcPr>
            <w:tcW w:type="dxa" w:w="216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v1 API (blend)</w:t>
            </w:r>
          </w:p>
        </w:tc>
        <w:tc>
          <w:tcPr>
            <w:tcW w:type="dxa" w:w="216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v2 API (reservoar)</w:t>
            </w:r>
          </w:p>
        </w:tc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Kilde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EDVARD GRIEG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27.1°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36.5°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Aker BP research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KNARR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26.0°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47.9°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MARULK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34.0°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48.6°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MARIA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24.4°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47.7°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MARTIN LINGE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27.8°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43.5°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SKARV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50.8°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43.3°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Aker BP direct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ÅSGARD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47.5°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41.1°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(n=47)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TROLL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38.8°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27.9°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(n=15)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OSEBERG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39.9°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36.1°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(n=34)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GULLFAKS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39.3°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31.7°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(n=23)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EKOFISK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38.9°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35.1°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(n=20)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BALDER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30.0°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25.6°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(n=10)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Største API-endringer fra blend til reservoar. Avg. absolutt endring på tvers av 31 felt: 3.9°.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5.5 Den ærlige avveiingen: v3 vs v5</w:t>
      </w:r>
    </w:p>
    <w:p>
      <w:pPr>
        <w:spacing w:before="80" w:after="80"/>
      </w:pPr>
      <w:r>
        <w:rPr>
          <w:rFonts w:ascii="Arial" w:hAnsi="Arial"/>
          <w:sz w:val="22"/>
        </w:rPr>
        <w:t>Vi testet 5 modell-versjoner og fant en interessant avveiing mellom presisjon og fysikalsk ærlighet: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Versjon</w:t>
            </w:r>
          </w:p>
        </w:tc>
        <w:tc>
          <w:tcPr>
            <w:tcW w:type="dxa" w:w="403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Beskrivelse</w:t>
            </w:r>
          </w:p>
        </w:tc>
        <w:tc>
          <w:tcPr>
            <w:tcW w:type="dxa" w:w="144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CV R²</w:t>
            </w:r>
          </w:p>
        </w:tc>
        <w:tc>
          <w:tcPr>
            <w:tcW w:type="dxa" w:w="201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Aker BP RMSE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ln(μ) β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V1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Original (blend API)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0.713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+0.060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Full reservoir-API replacement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0.701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0.064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−0.053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V3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Hybrid: kun høy-konfidens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0.713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+0.053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V4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Hybrid: høy + medium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0.702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0.062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+0.018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color w:val="2E7D32"/>
                <w:sz w:val="20"/>
              </w:rPr>
              <w:t>V5 ★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Hybrid + felt-spesifikk T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0.702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0.061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+0.011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5 modell-versjoner. V3 har best CV R², men V5 valgt for fysikalsk ærlighet.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62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3: Sammenligning av 5 modell-versjoner. V3 vinner på CV R², men V5 valgt som anbefalt modell pga. ærligere reservoarmodellering. Nederste panel viser at de fleste Aker BP felt har like små residualer på tvers av versjoner.</w:t>
      </w:r>
    </w:p>
    <w:p>
      <w:pPr>
        <w:spacing w:before="80" w:after="80"/>
      </w:pPr>
      <w:r>
        <w:rPr>
          <w:rFonts w:ascii="Arial" w:hAnsi="Arial"/>
          <w:b/>
          <w:sz w:val="22"/>
        </w:rPr>
        <w:t>Vi valgte V5 som anbefalt modell selv om V1/V3 har marginalt høyere CV R². Grunnene er: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Ærligere reservoarmodellering: bruker reservoarmålinger der vi har dem, ikke fiktive blend-tildelinger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Bedre Aker BP treffrate: 83% innen ±0.05 (V5) vs 75% (V1)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Mer generaliserbar: når vi predikterer nye felt har V5 et mer korrekt fysisk grunnlag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Pitch-bart: "Vi bruker reservoardata, ikke handelsdata" er en sterk differensieringsfaktor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Premium-rammeverket absorberer fortsatt feltspesifikke effekter, så vi mister minimal presisjon</w:t>
      </w:r>
    </w:p>
    <w:p>
      <w:pPr>
        <w:spacing w:before="80" w:after="80"/>
      </w:pPr>
      <w:r>
        <w:rPr>
          <w:rFonts w:ascii="Arial" w:hAnsi="Arial"/>
          <w:i/>
          <w:sz w:val="22"/>
        </w:rPr>
        <w:t>Dette er en bevisst metodologisk avveiing. V1/V3 var mer presise på vårt 49-felt sett, men V5 vil sannsynligvis være mer pålitelig out-of-sample.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6. Metodologi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6.1 Datakilder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Kilde</w:t>
            </w:r>
          </w:p>
        </w:tc>
        <w:tc>
          <w:tcPr>
            <w:tcW w:type="dxa" w:w="633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Bruk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månedlig produksjon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Felt-måned produksjonsvolumer, beregning av peak og post-peak-måneder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DST-database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Reservoar-API fra brønntester (oljedensitet g/cm³)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wellbore exploration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Mapping av brønner til felt for DST-aggregering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Equinor crude assays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Direct assay for 17 felt (Statfjord, Gullfaks, Oseberg, Troll, etc.)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Aker BP capital markets day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Reservoar-detaljer for 17 felt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Vår Energi / OKEA / Harbour / DNO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Operatør-specific reservoar-data</w:t>
            </w:r>
          </w:p>
        </w:tc>
      </w:tr>
    </w:tbl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6.2 Beregning av D_annual</w:t>
      </w:r>
    </w:p>
    <w:p>
      <w:pPr>
        <w:spacing w:before="80" w:after="80"/>
      </w:pPr>
      <w:r>
        <w:rPr>
          <w:rFonts w:ascii="Arial" w:hAnsi="Arial"/>
          <w:sz w:val="22"/>
        </w:rPr>
        <w:t>For hvert felt fitter vi en eksponentiell decline-kurve på post-peak-data: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ln(production_t / peak_production) = −D_annual · t + ε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6.3 Modelltrening</w:t>
      </w:r>
    </w:p>
    <w:p>
      <w:pPr>
        <w:spacing w:before="80" w:after="80"/>
      </w:pPr>
      <w:r>
        <w:rPr>
          <w:rFonts w:ascii="Arial" w:hAnsi="Arial"/>
          <w:sz w:val="22"/>
        </w:rPr>
        <w:t>Modellen estimeres med vanlig OLS-regresjon. Vi bruker Leave-One-Out Cross-Validation (LOO-CV) for å oppnå et ærlig anslag på out-of-sample-ytelse, gitt N = 49 felt.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7. Endelig modell V5.1 (med QA-fikser)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7.1 Formel og koeffisienter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D_annual = 0.0938 + 0.0106·ln(μ) − 0.0612·P₁₂ + 0.0399·|P₁₂|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Variabel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Koeffisient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Std. β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t-stat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p-verdi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Intercept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+0.0938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[+0.07, +0.11]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&lt;0.001 ***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ln(viskositet)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+0.0106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+0.006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[−0.01, +0.03]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595959"/>
                <w:sz w:val="20"/>
              </w:rPr>
              <w:t>ns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 12 mnd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−0.0612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−0.086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[−0.08, −0.05]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&lt;0.001 ***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|Premium 12 mnd|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+0.0399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+0.039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[+0.03, +0.07]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&lt;0.001 ***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V5 koeffisienter. Premium-variablene er svært signifikante. ln(viskositet) er ikke signifikant alene — den fungerer som baseline-justering, og premium fanger feltspesifikke effekter.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7.2 Tolkning av koeffisientene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ln(viskositet) — svakt positiv, ikke signifikant alene. Premium absorberer det meste av viskositets-informasjonen via feltets historiske avvik.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Premium 12 mnd — sterkt negativ: felt som outperformer fysikken (positiv premium) har lavere decline. Dette er hovedeffekten (|β|=0.086).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|Premium| — positiv: store avvik fra fysikken (uansett retning) gir høyere baseline-decline. Risikopåslag for uforutsigbare felt.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7.3 Modellfigur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4403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inal_v5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4: V5 endelig modell. Øverst: predikert vs faktisk, residual-fordeling (sentrert), variabel-viktighet. Midten: API-oppdatering, U-formet premium-effekt, Aker BP-prediksjoner. Nederst: API-kvalitet per felt, datakilder, formel.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8. Praktisk bruk i ER-analyse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8.1 Trinn-for-trinn-prosedyre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Hent reservoar-API for feltet (sjekk Sodir DST, operatør CMD, eller assay rapporter — ikke handelsblend-API)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Hent reservoartemperatur hvis tilgjengelig (ellers bruk 90°C som NCS-default)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Beregn viskositet med Beggs-Robinson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Last ned siste 12 måneders produksjonsdata fra Sodir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Beregn fysikk-baseline: D_physics = 0.097 + 0.059·ln(μ) (kalibrert på 49 NCS-felt)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For hver av siste 12 mnd: log_premium_i = ln(actual_i) + D_physics/12·month_i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P₁₂ = gjennomsnitt av de 12 log_premium-verdiene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Plugg inn i V5-formelen: D = 0.0938 + 0.0106·ln(μ) − 0.0612·P₁₂ + 0.0399·|P₁₂|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8.2 Aker BP-felt: V5 prediksjoner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87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Felt</w:t>
            </w:r>
          </w:p>
        </w:tc>
        <w:tc>
          <w:tcPr>
            <w:tcW w:type="dxa" w:w="115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API v5</w:t>
            </w:r>
          </w:p>
        </w:tc>
        <w:tc>
          <w:tcPr>
            <w:tcW w:type="dxa" w:w="12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 brukt</w:t>
            </w:r>
          </w:p>
        </w:tc>
        <w:tc>
          <w:tcPr>
            <w:tcW w:type="dxa" w:w="12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D_faktisk</w:t>
            </w:r>
          </w:p>
        </w:tc>
        <w:tc>
          <w:tcPr>
            <w:tcW w:type="dxa" w:w="12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D_modell</w:t>
            </w:r>
          </w:p>
        </w:tc>
        <w:tc>
          <w:tcPr>
            <w:tcW w:type="dxa" w:w="12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Bom</w:t>
            </w:r>
          </w:p>
        </w:tc>
        <w:tc>
          <w:tcPr>
            <w:tcW w:type="dxa" w:w="144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Premium 12m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EDVARD GRIEG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0.384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0.200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+0.184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−0.99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SKOGUL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0.247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0.191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E65100"/>
                <w:sz w:val="20"/>
              </w:rPr>
              <w:t>+0.057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−0.88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VOLUND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0.243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0.267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−0.024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−1.64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VILJE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0.222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0.217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+0.005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−1.14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IVAR AASEN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0.219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0.177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+0.042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−0.67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SKARV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43.3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0.107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0.147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−0.040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−0.52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TAMBAR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40.0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0.096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0.074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+0.022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+1.12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ULA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40.0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0.083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0.085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−0.001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+0.60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ALVHEIM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E65100"/>
                <w:sz w:val="20"/>
              </w:rPr>
              <w:t>78°C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0.056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0.085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−0.029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+0.93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HOD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36.0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0.038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+0.015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+2.94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BØYLA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0.100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E65100"/>
                <w:sz w:val="20"/>
              </w:rPr>
              <w:t>−0.050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+0.07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VALHALL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36.0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0.038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0.051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−0.013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+2.34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V5 prediksjoner for Aker BP. 83% innen ±0.05. Alvheim bruker felt-spesifikk T=78°C. Edvard Grieg fortsatt outlier — uforutsigbar produksjon kan ikke fanges av noen enkel modell.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8.3 Investeringscase-bygging</w:t>
      </w:r>
    </w:p>
    <w:p>
      <w:pPr>
        <w:spacing w:before="80" w:after="80"/>
      </w:pPr>
      <w:r>
        <w:rPr>
          <w:rFonts w:ascii="Arial" w:hAnsi="Arial"/>
          <w:sz w:val="22"/>
        </w:rPr>
        <w:t>Modellen lar deg systematisk svare på spørsmål som: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"Bør Edvard Grieg ha samme decline-anslag som Ivar Aasen?" — Nei, premium-historikken viser at Edvard Grieg har 75% høyere natural decline.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"Er Valhalls produksjonsplatå holdbar?" — Premium = +2.34 reflekterer redevelopment-CAPEX. Spørsmålet blir: vil Aker BP fortsette investeringstakten?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"Hva er rimelig terminal decline for Skarv?" — Modellen gir 0.147 vs 0.107 faktisk; premium −0.52 indikerer moderat underperformance vs fysikk.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9. Begrensninger og forutsetninger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9.1 Modellen forutsetter eksponentiell decline</w:t>
      </w:r>
    </w:p>
    <w:p>
      <w:pPr>
        <w:spacing w:before="80" w:after="80"/>
      </w:pPr>
      <w:r>
        <w:rPr>
          <w:rFonts w:ascii="Arial" w:hAnsi="Arial"/>
          <w:sz w:val="22"/>
        </w:rPr>
        <w:t>Vi modellerer decline som en konstant prosentvis nedgang per år. Dette passer godt for de fleste NCS-felt, men ikke for: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Platå-felt som Valhall (har holdt ~35% av peak i 10+ år)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Felt under aktiv redevelopment der produksjonen midlertidig øker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Volatile felt med uregelmessige investeringssykluser (Bøyla)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687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hall_forens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8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5: Valhall — hvorfor eksponentiell decline ikke fungerer for platå-felt. Produksjonen har holdt seg på ~35% av peak i 10+ år pga redevelopment-CAPEX.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9.2 V5: ærlighet over marginal presisjon</w:t>
      </w:r>
    </w:p>
    <w:p>
      <w:pPr>
        <w:spacing w:before="80" w:after="80"/>
      </w:pPr>
      <w:r>
        <w:rPr>
          <w:rFonts w:ascii="Arial" w:hAnsi="Arial"/>
          <w:sz w:val="22"/>
        </w:rPr>
        <w:t>V5 har marginalt lavere CV R² (0.702 vs V1's 0.713). Vi har akseptert denne avveiingen for fire fordeler: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Modellen er fysisk korrekt — ingen kunstige sammenhenger fra blend-tildelinger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Modellen generaliserer bedre — out-of-sample (nye felt) får sannsynligvis mer pålitelig prediksjon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Aker BP treffrate (±0.05) gikk OPP fra 75% til 83%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Differensieringen i pitchen er sterkere — "reservoardata" høres bedre enn "handelsdata"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9.3 Basin-spesifikk kalibrering</w:t>
      </w:r>
    </w:p>
    <w:p>
      <w:pPr>
        <w:spacing w:before="80" w:after="80"/>
      </w:pPr>
      <w:r>
        <w:rPr>
          <w:rFonts w:ascii="Arial" w:hAnsi="Arial"/>
          <w:sz w:val="22"/>
        </w:rPr>
        <w:t>Modellen er kalibrert på NCS-felt. UK NSTA-validering viste at viskositetskoeffisienten reverserer fortegn på UK Continental Shelf. Modellen bør re-kalibreres for andre basseng.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9.4 Krever 12 mnd post-peak data</w:t>
      </w:r>
    </w:p>
    <w:p>
      <w:pPr>
        <w:spacing w:before="80" w:after="80"/>
      </w:pPr>
      <w:r>
        <w:rPr>
          <w:rFonts w:ascii="Arial" w:hAnsi="Arial"/>
          <w:sz w:val="22"/>
        </w:rPr>
        <w:t>For helt nye felt uten 12 måneders post-peak-historikk kan modellen ikke beregne premium. I praksis betyr dette at de første ~18 månedene etter peak kun gir fysikk-baseline-prediksjon.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10. Differensiering vs. standard tilnærminger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Tilnærming</w:t>
            </w:r>
          </w:p>
        </w:tc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Svakhet</w:t>
            </w:r>
          </w:p>
        </w:tc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Vår V5-modell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Flat 5-10% decline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Ignorerer feltspesifikke forskjeller helt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Differensierer fra 1% (Ekofisk) til 38% (Edvard Grieg)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Operatør-guidance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Subjektiv, optimistisk bias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Datadrevet, transparent metodikk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Blend-API som proxy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Mister reservoar-fysikk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Reservoar-API + felt-T fra Sodir DST og operatør-research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Komplekse reservoarmodeller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Krever proprietære data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Offentlige inputs; 4 parametere; etterprøvbart</w:t>
            </w:r>
          </w:p>
        </w:tc>
      </w:tr>
    </w:tbl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10.1 Hva V2 av modellen gir i en ER-/IB-kontekst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110-felts fluid library med reservoar-API per felt — direkte anvendelig for 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Ærligere fysikk-modellering basert på reservoardata, ikke handelsdata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Field-spesifikk reservoartemperatur der målt — mer presis Beggs-Robinson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Aker BP treffrate 83% — modellen er pitch-klar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Transparent metodikk dokumentert i 110+ sider med kode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11. Pre-peak forecasting — produksjon for nye felt</w:t>
      </w:r>
    </w:p>
    <w:p>
      <w:pPr>
        <w:spacing w:before="80" w:after="80"/>
      </w:pPr>
      <w:r>
        <w:rPr>
          <w:rFonts w:ascii="Arial" w:hAnsi="Arial"/>
          <w:sz w:val="22"/>
        </w:rPr>
        <w:t>Decline-modellen (seksjon 1-10) krever minst 12 måneders produksjonshistorikk for å beregne premium. For helt nye felt — som ennå ikke produserer — trenger vi et eget rammeverk som forecaster fra data tilgjengelig FØR produksjon (PDO og discovery DST).</w:t>
      </w:r>
    </w:p>
    <w:p>
      <w:pPr>
        <w:spacing w:before="80" w:after="80"/>
      </w:pPr>
      <w:r>
        <w:rPr>
          <w:rFonts w:ascii="Arial" w:hAnsi="Arial"/>
          <w:sz w:val="22"/>
        </w:rPr>
        <w:t>Dette er en fundamentalt annen modelleringsoppgave. For modne felt er decline det eneste ukjente. For nye felt har vi fire ukjente som alle påvirker NPV: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Peak-rate — hvor høyt produksjonen topper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Ramp-up tid — fra førsteolje til peak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Platå-lengde — hvor lenge peak holder seg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Decline-rate — fallet etter platå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11.1 Kun ex-ante variabler</w:t>
      </w:r>
    </w:p>
    <w:p>
      <w:pPr>
        <w:spacing w:before="80" w:after="80"/>
      </w:pPr>
      <w:r>
        <w:rPr>
          <w:rFonts w:ascii="Arial" w:hAnsi="Arial"/>
          <w:sz w:val="22"/>
        </w:rPr>
        <w:t>Et avgjørende metodisk prinsipp: forecast-modellen bruker KUN variabler kjent før feltet starter produksjon. Det er fristende å inkludere variabler som forbedrer historisk fit, men hvis de ikke er kjent på forhånd er de ubrukelige for en ekte prognose.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75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✓ Tilgjengelig før produksjon</w:t>
            </w:r>
          </w:p>
        </w:tc>
        <w:tc>
          <w:tcPr>
            <w:tcW w:type="dxa" w:w="475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✗ IKKE tilgjengelig (ekskludert)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Recoverable reserves (PDO-anslag)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Faktisk kumulativ produksjon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Antall planlagte brønner (PDO)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Observert peak / decline / ramp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Facility type (FPSO/Fixed/Subsea)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 (krever 12 mnd data)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API gravity (discovery DST)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Realisert vannkutt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 (lisens-tildeling)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Reservoaroverraskelser</w:t>
            </w:r>
          </w:p>
        </w:tc>
      </w:tr>
    </w:tbl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11.2 Peak-modell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ln(peak_MSm³/mnd) = −3.05 + 0.49·ln(recoverable) + 0.18·ln(n_wells) + facility</w:t>
      </w:r>
    </w:p>
    <w:p>
      <w:pPr>
        <w:spacing w:before="80" w:after="80"/>
      </w:pPr>
      <w:r>
        <w:rPr>
          <w:rFonts w:ascii="Arial" w:hAnsi="Arial"/>
          <w:sz w:val="22"/>
        </w:rPr>
        <w:t>Trent på 63 NCS-felt med kjent utfall. En viktig oppdagelse: forenkling SLO den kompliserte modellen. Vi testet 13 variabler (API, vanndybde, decade, operatør-dummies) men de fleste var ikke signifikante og skapte overfitting. Den enkle modellen (recoverable + brønner + facility) ga bedre out-of-sample-ytelse.</w:t>
      </w:r>
    </w:p>
    <w:p>
      <w:pPr>
        <w:spacing w:before="80" w:after="80"/>
      </w:pPr>
      <w:r>
        <w:rPr>
          <w:rFonts w:ascii="Arial" w:hAnsi="Arial"/>
          <w:sz w:val="22"/>
        </w:rPr>
        <w:t>Recoverable er den dominerende variabelen (β=0.49, p&lt;0.001). Den konkave eksponenten (&lt;1) betyr at peak ikke skalerer lineært med reserves — større felt får lengre platå, ikke proporsjonalt høyere peak, fordi facility-kapasitet er et tak.</w:t>
      </w:r>
    </w:p>
    <w:p>
      <w:pPr>
        <w:spacing w:before="80" w:after="80"/>
      </w:pPr>
      <w:r>
        <w:rPr>
          <w:rFonts w:ascii="Arial" w:hAnsi="Arial"/>
          <w:b/>
          <w:sz w:val="22"/>
        </w:rPr>
        <w:t>Duan smearing-korreksjon:</w:t>
      </w:r>
    </w:p>
    <w:p>
      <w:pPr>
        <w:spacing w:before="80" w:after="80"/>
      </w:pPr>
      <w:r>
        <w:rPr>
          <w:rFonts w:ascii="Arial" w:hAnsi="Arial"/>
          <w:sz w:val="22"/>
        </w:rPr>
        <w:t>Når en modell fittes i log-rom og transformeres tilbake med exp(), får man medianen, ikke gjennomsnittet — en systematisk underprediksjon (Jensen's ulikhet). Vi korrigerer med Duan's smearing-estimator (multipliserer med gjennomsnittet av exp(residualer) = 1.07). Dette reduserer bias fra −17% til −11%.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11.3 Ramp, platå og decline sub-modeller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Sub-modell</w:t>
            </w:r>
          </w:p>
        </w:tc>
        <w:tc>
          <w:tcPr>
            <w:tcW w:type="dxa" w:w="345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Features</w:t>
            </w:r>
          </w:p>
        </w:tc>
        <w:tc>
          <w:tcPr>
            <w:tcW w:type="dxa" w:w="187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LOO CV R²</w:t>
            </w:r>
          </w:p>
        </w:tc>
        <w:tc>
          <w:tcPr>
            <w:tcW w:type="dxa" w:w="187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Out-of-sample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Peak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recov. + wells + facility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0.84 (log)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E65100"/>
                <w:sz w:val="20"/>
              </w:rPr>
              <w:t>±35%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Ramp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recoverable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0.29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±5 mnd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Plateau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recoverable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0.28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±4 mnd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Decline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recov. + wells + operatør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0.35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kalibrert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Sub-modeller. Forenkling forbedret ramp (0.10→0.29) og platå (0.19→0.28) ved å fjerne overfitting-variabler.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11.4 Lifecycle-integrasjon med joint bootstrap</w:t>
      </w:r>
    </w:p>
    <w:p>
      <w:pPr>
        <w:spacing w:before="80" w:after="80"/>
      </w:pPr>
      <w:r>
        <w:rPr>
          <w:rFonts w:ascii="Arial" w:hAnsi="Arial"/>
          <w:sz w:val="22"/>
        </w:rPr>
        <w:t>De fire sub-modellene kombineres til én produksjonskurve (logistisk ramp + konstant platå + eksponentiell decline). To kritiske design-valg gjør usikkerheten realistisk: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Joint bootstrap: samme felt-resampling brukes på tvers av alle fire modeller, slik at parameter-korrelasjoner bevares (store felt får både høy peak OG langt platå — ikke umulige kombinasjoner)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Recovery-constraint: decline løses analytisk slik at kumulativ produksjon = recoverable reserves. Dette sikrer fysisk konsistens (recovery-ratio 1.00-1.01)</w:t>
      </w:r>
    </w:p>
    <w:p>
      <w:pPr>
        <w:spacing w:before="80" w:after="80"/>
      </w:pPr>
      <w:r>
        <w:rPr>
          <w:rFonts w:ascii="Arial" w:hAnsi="Arial"/>
          <w:sz w:val="22"/>
        </w:rPr>
        <w:t>Resultatet er P10/P50/P90-bånd som er fysisk plausible — ramp 21-29 mnd i stedet for det meningsløse 1-1626 mnd-båndet en naiv uavhengig sampling gir.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12. Out-of-sample hold-out validering</w:t>
      </w:r>
    </w:p>
    <w:p>
      <w:pPr>
        <w:spacing w:before="80" w:after="80"/>
      </w:pPr>
      <w:r>
        <w:rPr>
          <w:rFonts w:ascii="Arial" w:hAnsi="Arial"/>
          <w:sz w:val="22"/>
        </w:rPr>
        <w:t>Den viktigste ærlighetstesten: lat som et nylig felt er ukjent, re-tren modellen UTEN det, og forecast blindt fra kun PDO-input. Vi testet 13 felt som kom online nylig (Johan Sverdrup 2019, Edvard Grieg 2015, Goliat 2016, m.fl.).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780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ldout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6: Hold-out validering. Modellen så ALDRI testfeltet under trening. Ramp/platå treffer presist (±5/±4 mnd); peak-nivå har ~35% median feil — et range-verktøy, ikke punkt-estimat.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12.1 Det ærlige resultatet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Komponent</w:t>
            </w:r>
          </w:p>
        </w:tc>
        <w:tc>
          <w:tcPr>
            <w:tcW w:type="dxa" w:w="403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Out-of-sample resultat</w:t>
            </w:r>
          </w:p>
        </w:tc>
        <w:tc>
          <w:tcPr>
            <w:tcW w:type="dxa" w:w="259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Ramp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median feil ±5 mnd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Punkt-estimat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Plateau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median feil ±4 mnd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Punkt-estimat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Peak (nivå)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median feil ~35%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E65100"/>
                <w:sz w:val="20"/>
              </w:rPr>
              <w:t>Range-verktøy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Decline (V5.1)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nested CV R²=0.66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Punkt-estimat</w:t>
            </w:r>
          </w:p>
        </w:tc>
      </w:tr>
    </w:tbl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12.2 Hvorfor 'log R²=0.84' og '35% feil' ikke motsier hverandre</w:t>
      </w:r>
    </w:p>
    <w:p>
      <w:pPr>
        <w:spacing w:before="80" w:after="80"/>
      </w:pPr>
      <w:r>
        <w:rPr>
          <w:rFonts w:ascii="Arial" w:hAnsi="Arial"/>
          <w:sz w:val="22"/>
        </w:rPr>
        <w:t>Peak-modellen har log-space CV R²=0.84 men lineær median feil ~35%. Dette er konsistent: log-R² belønner å treffe størrelsesorden, mens lineær %-feil måler absolutt presisjon. Et felt predikert 0.34 vs faktisk 0.53 er −37% lineært, men bare −0.44 i log-skala (liten på SD~1.0). For NPV er det den lineære feilen som teller — derfor rapporterer vi den ærlig.</w:t>
      </w:r>
    </w:p>
    <w:p>
      <w:pPr>
        <w:spacing w:before="80" w:after="80"/>
      </w:pPr>
      <w:r>
        <w:rPr>
          <w:rFonts w:ascii="Arial" w:hAnsi="Arial"/>
          <w:b/>
          <w:sz w:val="22"/>
        </w:rPr>
        <w:t>To regimer modellen ikke fanger med ex-ante data: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Mega-felt (Johan Sverdrup, −68%): ekstrem deliverabilitet krever reservoardata (permeabilitet, net pay) som per definisjon ikke er kjent før produksjon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Små tie-back-felt (Maria, +102%): peak settes av facility-arrangement, ikke reservoaret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12.3 Korrekt bruk i ER</w:t>
      </w:r>
    </w:p>
    <w:p>
      <w:pPr>
        <w:spacing w:before="80" w:after="80"/>
      </w:pPr>
      <w:r>
        <w:rPr>
          <w:rFonts w:ascii="Arial" w:hAnsi="Arial"/>
          <w:sz w:val="22"/>
        </w:rPr>
        <w:t>Peak-modellen skal brukes til å triangulere mot operatør-guidance, ikke som et frittstående punkt-estimat. Dette er en sterkere ER-posisjon enn et oppblåst R²-tall — den tåler kritiske spørsmål i en modell-validering. Vi rapporterer det ekte out-of-sample-tallet (~35%), ikke det optimistiske log-R²=0.84 som om det betyr 16% feil.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13. Case study: Yggdrasil (Aker BP NOAKA)</w:t>
      </w:r>
    </w:p>
    <w:p>
      <w:pPr>
        <w:spacing w:before="80" w:after="80"/>
      </w:pPr>
      <w:r>
        <w:rPr>
          <w:rFonts w:ascii="Arial" w:hAnsi="Arial"/>
          <w:sz w:val="22"/>
        </w:rPr>
        <w:t>Yggdrasil er Aker BPs store NOAKA-hub med planlagt produksjonsstart 2027. Vi anvender hele rammeverket på dette nye prosjektet — først på hub-nivå, deretter dekomponert i fem reservoarer.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13.1 Hub-nivå med triangulerte scenarier</w:t>
      </w:r>
    </w:p>
    <w:p>
      <w:pPr>
        <w:spacing w:before="80" w:after="80"/>
      </w:pPr>
      <w:r>
        <w:rPr>
          <w:rFonts w:ascii="Arial" w:hAnsi="Arial"/>
          <w:sz w:val="22"/>
        </w:rPr>
        <w:t>Siden recoverable reserves er den dominerende usikkerheten, kjører vi tre scenarier: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259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Recoverable</w:t>
            </w:r>
          </w:p>
        </w:tc>
        <w:tc>
          <w:tcPr>
            <w:tcW w:type="dxa" w:w="259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Peak P50</w:t>
            </w:r>
          </w:p>
        </w:tc>
        <w:tc>
          <w:tcPr>
            <w:tcW w:type="dxa" w:w="259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vs guidance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30 MSm³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111 kboe/d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1.3×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sz w:val="20"/>
              </w:rPr>
              <w:t>Base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50 MSm³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151 kboe/d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1.8×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80 MSm³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189 kboe/d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2.2×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Aker BP CMD-guidance: ~85 kboe/d olje peak.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44028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yggdrasil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2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7: Yggdrasil V2 forecast. Øverst: hub-nivå tre scenarier. Midten/nederst: aggregat og fem komponenter (Krafla, Fulla, Frøy, Munin, Hugin) med staggered first oil og P10/P50/P90-bånd.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13.2 ER-tolkning</w:t>
      </w:r>
    </w:p>
    <w:p>
      <w:pPr>
        <w:spacing w:before="80" w:after="80"/>
      </w:pPr>
      <w:r>
        <w:rPr>
          <w:rFonts w:ascii="Arial" w:hAnsi="Arial"/>
          <w:sz w:val="22"/>
        </w:rPr>
        <w:t>Modellen sier konsistent over operatør-guidance (1.3-2.2×). Tre forklaringer, alle ER-relevante: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PDO-konservatisme: operatører guider typisk lavt; NCS-felt outperformer ofte initial-guidance med 30-70%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Vår modell underpredikerer systematisk (−11% bias selv etter smearing), så gapet til guidance kan være enda større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Komponent-aggregatet (221 kboe/d) er høyere enn hub-nivå, da hver tie-back bidrar med egen peak</w:t>
      </w:r>
    </w:p>
    <w:p>
      <w:pPr>
        <w:spacing w:before="80" w:after="80"/>
      </w:pPr>
      <w:r>
        <w:rPr>
          <w:rFonts w:ascii="Arial" w:hAnsi="Arial"/>
          <w:sz w:val="22"/>
        </w:rPr>
        <w:t>Den ærlige ER-observasjonen: "Yggdrasil viser oppside til Aker BP's produksjons-guidance, med et P10-P90-bånd på 119-189 kboe/d (hub-nivå, base scenario). Dette er en triangulering, ikke et presist punkt-estimat — peak-usikkerheten er ±35%."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Appendix A: Modellutvikling-historikk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Trinn</w:t>
            </w:r>
          </w:p>
        </w:tc>
        <w:tc>
          <w:tcPr>
            <w:tcW w:type="dxa" w:w="48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Forbedring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CV R²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Aker BP RMSE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Bare viskositet (Beggs-Robinson) med blend-API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−0.015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0.095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+ lifetime premium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0.473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0.076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Switch til siste 3 års premium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0.544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0.063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+ 12 mnd premium + |premium|  (V1 final)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0.713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0.056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+ Sodir DST + operatør research (110 felt)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0.701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0.064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+ Selektiv enrichment (V3, kun høy konfidens)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0.713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0.056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sz w:val="20"/>
              </w:rPr>
              <w:t>7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sz w:val="20"/>
              </w:rPr>
              <w:t>+ Felt-spesifikk T (V5.1 final) ★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color w:val="2E7D32"/>
                <w:sz w:val="20"/>
              </w:rPr>
              <w:t>0.662*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color w:val="2E7D32"/>
                <w:sz w:val="20"/>
              </w:rPr>
              <w:t>0.062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*Trinn 7 viser ærlig nested CV R²=0.662 (trinn 4-6 viser simple LOO som var litt optimistisk pga premium-sirkularitet, korrigert i V5.1).</w:t>
      </w:r>
    </w:p>
    <w:p>
      <w:pPr>
        <w:spacing w:before="80" w:after="80"/>
      </w:pPr>
      <w:r>
        <w:rPr>
          <w:rFonts w:ascii="Arial" w:hAnsi="Arial"/>
          <w:sz w:val="22"/>
        </w:rPr>
        <w:t>Pre-peak forecast-suite (V2) ble bygget på toppen av decline-modellen: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Modell</w:t>
            </w:r>
          </w:p>
        </w:tc>
        <w:tc>
          <w:tcPr>
            <w:tcW w:type="dxa" w:w="316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Out-of-sample</w:t>
            </w:r>
          </w:p>
        </w:tc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Peak (med smearing)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±35% median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Range-verktøy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Ramp duration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±5 mnd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Punkt-estimat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Plateau duration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±4 mnd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Punkt-estimat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Lifecycle (joint bootstrap)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recovery 1.00-1.01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Scenario-verktøy</w:t>
            </w:r>
          </w:p>
        </w:tc>
      </w:tr>
    </w:tbl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Appendix B: Variabel-definisjoner</w:t>
      </w:r>
    </w:p>
    <w:p>
      <w:pPr>
        <w:spacing w:before="80" w:after="80"/>
      </w:pPr>
      <w:r>
        <w:rPr>
          <w:rFonts w:ascii="Arial" w:hAnsi="Arial"/>
          <w:sz w:val="22"/>
        </w:rPr>
        <w:t>API gravity (reservoar): Tetthet av reservoarvæske målt på discovery well DST eller direct assay. NCS-typisk: 25° (tung) til 50° (lett kondensat).</w:t>
      </w:r>
    </w:p>
    <w:p>
      <w:pPr>
        <w:spacing w:before="80" w:after="80"/>
      </w:pPr>
      <w:r>
        <w:rPr>
          <w:rFonts w:ascii="Arial" w:hAnsi="Arial"/>
          <w:sz w:val="22"/>
        </w:rPr>
        <w:t>Viskositet (μ): Beggs-Robinson dead-oil viskositet i centipoise (cP), beregnet med felt-spesifikk T der tilgjengelig.</w:t>
      </w:r>
    </w:p>
    <w:p>
      <w:pPr>
        <w:spacing w:before="80" w:after="80"/>
      </w:pPr>
      <w:r>
        <w:rPr>
          <w:rFonts w:ascii="Arial" w:hAnsi="Arial"/>
          <w:sz w:val="22"/>
        </w:rPr>
        <w:t>D_annual: Eksponentiell decline rate på årlig basis. Production_year_T = Peak · exp(−D · T).</w:t>
      </w:r>
    </w:p>
    <w:p>
      <w:pPr>
        <w:spacing w:before="80" w:after="80"/>
      </w:pPr>
      <w:r>
        <w:rPr>
          <w:rFonts w:ascii="Arial" w:hAnsi="Arial"/>
          <w:sz w:val="22"/>
        </w:rPr>
        <w:t>Premium (P₁₂): Gjennomsnittlig log-avvik mellom faktisk og fysikk-forventet produksjon siste 12 måneder.</w:t>
      </w:r>
    </w:p>
    <w:p>
      <w:pPr>
        <w:spacing w:before="80" w:after="80"/>
      </w:pPr>
      <w:r>
        <w:rPr>
          <w:rFonts w:ascii="Arial" w:hAnsi="Arial"/>
          <w:sz w:val="22"/>
        </w:rPr>
        <w:t>Quality tier: operator_direct &gt; dst_robust &gt; operator_medium &gt; dst_limited &gt; operator_low &gt; blend_inherited.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Appendix C: Master Fluid Library — Datakilder</w:t>
      </w:r>
    </w:p>
    <w:p>
      <w:pPr>
        <w:spacing w:before="80" w:after="80"/>
      </w:pPr>
      <w:r>
        <w:rPr>
          <w:rFonts w:ascii="Arial" w:hAnsi="Arial"/>
          <w:sz w:val="22"/>
        </w:rPr>
        <w:t>110 NCS-felt har innhentet reservoar-data fra: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Sodir DST-database (sodir_wellbore_dst.csv): 1186 brønntester, 85 felt med oljedensitet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Equinor crude assays: 15 høykonfidens med formasjon, reservoardybde, temperatur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Aker BP CMD/research: 17 felt med API, reserver, eierandel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Vår Energi research: Balder, Jotun, Ringhorne, Goliat, Marulk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OKEA, Harbour Energy, DNO, ConocoPhillips: portfolio research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Wikipedia, SPE-artikler, Norsk Petroleum, OffshoreTechnology.com</w:t>
      </w:r>
    </w:p>
    <w:p>
      <w:pPr>
        <w:spacing w:before="80" w:after="80"/>
      </w:pPr>
      <w:r>
        <w:rPr>
          <w:rFonts w:ascii="Arial" w:hAnsi="Arial"/>
          <w:sz w:val="22"/>
        </w:rPr>
        <w:t>Alle scripts og data er versjonskontrollert i prosjektet (analyses/decline_quality/).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