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400" w:after="200"/>
        <w:jc w:val="center"/>
      </w:pPr>
      <w:r>
        <w:rPr>
          <w:rFonts w:ascii="Arial" w:hAnsi="Arial"/>
          <w:b/>
          <w:color w:val="1F4E79"/>
          <w:sz w:val="54"/>
        </w:rPr>
        <w:t>Feltspesifikk Realisert Oljepris-modell</w:t>
      </w:r>
    </w:p>
    <w:p>
      <w:pPr>
        <w:spacing w:before="80" w:after="80"/>
        <w:jc w:val="center"/>
      </w:pPr>
      <w:r>
        <w:rPr>
          <w:rFonts w:ascii="Arial" w:hAnsi="Arial"/>
          <w:i/>
          <w:color w:val="595959"/>
          <w:sz w:val="34"/>
        </w:rPr>
        <w:t>Brent-linket differensial-dekomponering for norsk sokkel</w:t>
      </w:r>
    </w:p>
    <w:p>
      <w:pPr>
        <w:spacing w:before="80" w:after="600"/>
        <w:jc w:val="center"/>
      </w:pPr>
      <w:r>
        <w:rPr>
          <w:rFonts w:ascii="Arial" w:hAnsi="Arial"/>
          <w:i/>
          <w:color w:val="E65100"/>
          <w:sz w:val="24"/>
        </w:rPr>
        <w:t>Versjon 1.0 — med Script 63 kvalitets-fallback</w:t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  <w:jc w:val="center"/>
      </w:pPr>
      <w:r>
        <w:rPr>
          <w:rFonts w:ascii="Arial" w:hAnsi="Arial"/>
          <w:b/>
          <w:sz w:val="28"/>
        </w:rPr>
        <w:t>Emma Strandenskaar</w:t>
      </w:r>
    </w:p>
    <w:p>
      <w:pPr>
        <w:spacing w:before="80" w:after="80"/>
        <w:jc w:val="center"/>
      </w:pPr>
      <w:r>
        <w:rPr>
          <w:rFonts w:ascii="Arial" w:hAnsi="Arial"/>
          <w:sz w:val="24"/>
        </w:rPr>
        <w:t>Metodikk-dokumentasjon</w:t>
      </w:r>
    </w:p>
    <w:p>
      <w:pPr>
        <w:spacing w:before="80" w:after="600"/>
        <w:jc w:val="center"/>
      </w:pPr>
      <w:r>
        <w:rPr>
          <w:rFonts w:ascii="Arial" w:hAnsi="Arial"/>
          <w:color w:val="808080"/>
          <w:sz w:val="24"/>
        </w:rPr>
        <w:t>Juni 2026</w:t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345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Metrikk</w:t>
            </w:r>
          </w:p>
        </w:tc>
        <w:tc>
          <w:tcPr>
            <w:tcW w:type="dxa" w:w="201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Verdi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Realisert pris (validering)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R² vs AKRBP rapportert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0.989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Realisert pris (validering)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1.56 USD/bbl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Differensial-modell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Out-of-time R²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0.379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Differensial-modell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RMSE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2.78 USD/bbl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Felt-dekning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Aker BP-felt med offisiell assay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12 / 12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Felt-dekning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NCS-felt via Script 63 fallback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104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1. Sammendrag</w:t>
      </w:r>
    </w:p>
    <w:p>
      <w:pPr>
        <w:spacing w:before="80" w:after="80"/>
      </w:pPr>
      <w:r>
        <w:rPr>
          <w:rFonts w:ascii="Arial" w:hAnsi="Arial"/>
          <w:sz w:val="22"/>
        </w:rPr>
        <w:t>Dette dokumentet beskriver en modell som dekomponerer Aker BPs (og generelt enhver NCS-operatørs) realiserte oljepris ned til feltnivå. Modellen forklarer hvorfor selskapets realiserte pris avviker fra Brent — drevet av oljekvalitet (API, svovel, metaller), logistikk og markedsforhold per felt.</w:t>
      </w:r>
    </w:p>
    <w:p>
      <w:pPr>
        <w:spacing w:before="80" w:after="80"/>
      </w:pPr>
      <w:r>
        <w:rPr>
          <w:rFonts w:ascii="Arial" w:hAnsi="Arial"/>
          <w:b/>
          <w:sz w:val="22"/>
        </w:rPr>
        <w:t>Kjerne-identiteten er enkel: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Realisert_pris = Brent + Σᵢ [andelᵢ × differensialᵢ]</w:t>
      </w:r>
    </w:p>
    <w:p>
      <w:pPr>
        <w:spacing w:before="80" w:after="80"/>
      </w:pPr>
      <w:r>
        <w:rPr>
          <w:rFonts w:ascii="Arial" w:hAnsi="Arial"/>
          <w:sz w:val="22"/>
        </w:rPr>
        <w:t>der andelᵢ er feltets produksjonsandel og differensialᵢ er den modell-predikerte prisforskjellen mot Brent for feltets crude-kvalitet i gitt marked.</w:t>
      </w:r>
    </w:p>
    <w:p>
      <w:pPr>
        <w:spacing w:before="80" w:after="80"/>
      </w:pPr>
      <w:r>
        <w:rPr>
          <w:rFonts w:ascii="Arial" w:hAnsi="Arial"/>
          <w:sz w:val="22"/>
        </w:rPr>
        <w:t>Modellen validerer mot Aker BPs faktiske rapporterte realiserte priser med R² = 0.989 og MAE 1.56 USD/bbl over 24 kvartaler (2020-2026).</w:t>
      </w:r>
    </w:p>
    <w:p>
      <w:pPr>
        <w:spacing w:before="80" w:after="80"/>
      </w:pPr>
      <w:r>
        <w:rPr>
          <w:rFonts w:ascii="Arial" w:hAnsi="Arial"/>
          <w:b/>
          <w:sz w:val="22"/>
        </w:rPr>
        <w:t>Nytt i denne versjonen:</w:t>
      </w:r>
    </w:p>
    <w:p>
      <w:pPr>
        <w:spacing w:before="80" w:after="80"/>
      </w:pPr>
      <w:r>
        <w:rPr>
          <w:rFonts w:ascii="Arial" w:hAnsi="Arial"/>
          <w:sz w:val="22"/>
        </w:rPr>
        <w:t>Felt uten offisiell publisert assay henter nå kvalitetsvektor automatisk fra Script 63 (NCS felt→kvalitet-imputering) i stedet for en ren geografi-fallback. Dette gjør modellen portabel til andre operatører og fremtidige feltutbygginger (f.eks. Yggdrasil-komponentene Frøy/Fulla/Munin).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2. Konseptet: realisert pris som Brent pluss differensial</w:t>
      </w:r>
    </w:p>
    <w:p>
      <w:pPr>
        <w:spacing w:before="80" w:after="80"/>
      </w:pPr>
      <w:r>
        <w:rPr>
          <w:rFonts w:ascii="Arial" w:hAnsi="Arial"/>
          <w:sz w:val="22"/>
        </w:rPr>
        <w:t>Et oljeselskaps realiserte pris er ikke Brent. Hvert felt produserer en crude med spesifikk kvalitet som prises med et påslag eller en rabatt mot Brent-referansen: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Lett, søt olje (høy API, lav svovel) → premium mot Brent (lettere å raffinere til høyverdiprodukter)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Tung, sur olje (lav API, høy svovel) → rabatt mot Brent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Logistikk: avstand til marked, FPSO vs rørledning → påvirker netto realisering</w:t>
      </w:r>
    </w:p>
    <w:p>
      <w:pPr>
        <w:spacing w:before="80" w:after="80"/>
      </w:pPr>
      <w:r>
        <w:rPr>
          <w:rFonts w:ascii="Arial" w:hAnsi="Arial"/>
          <w:sz w:val="22"/>
        </w:rPr>
        <w:t>Selskapets blended realiserte pris er produksjonsvektet snitt av feltenes differensialer, lagt til Brent. Når produksjonsmiksen endres (mix-shift), endres realisert pris selv om Brent er konstant — dette er kjernen i ER-analysen.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3. To-trinns modellstruktur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3.1 Trinn 1 — Grade-nivå differensial-regresjon</w:t>
      </w:r>
    </w:p>
    <w:p>
      <w:pPr>
        <w:spacing w:before="80" w:after="80"/>
      </w:pPr>
      <w:r>
        <w:rPr>
          <w:rFonts w:ascii="Arial" w:hAnsi="Arial"/>
          <w:sz w:val="22"/>
        </w:rPr>
        <w:t>En parsimonisk OLS-regresjon predikerer differensialen mot Brent for hver crude-grade, fra statiske kvalitetsvariabler interagert med dynamiske markedsforhold. Trent på 2 207 grade-måned observasjoner fra normpris-differensialer.</w:t>
      </w:r>
    </w:p>
    <w:p>
      <w:pPr>
        <w:spacing w:before="80" w:after="80"/>
      </w:pPr>
      <w:r>
        <w:rPr>
          <w:rFonts w:ascii="Arial" w:hAnsi="Arial"/>
          <w:sz w:val="22"/>
        </w:rPr>
        <w:t>Modellen kombinerer: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Statisk kvalitet: API gravity, svovel, CCR, vacuum resid, vanadium/nikkel, middeldestillat-utbytte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Logistikk: avstand-til-marked, FPSO-flagg, region (Nordsjøen)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Dynamisk marked: Brent-nivå, diesel/bensin-cracks, Brent-Dubai-spread, raffineri-utnyttelse, lagernivåer, forward-kurve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Interaksjoner: svovel×Brent, vacuum-resid×Brent, CCR×Brent (kvalitetsrabatten skalerer med oljeprisnivå)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Politiske dummies: Russland-/Iran-sanksjoner, COVID, OPEC+-kutt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3.2 Trinn 2 — Feltnivå produksjonsvektet blending</w:t>
      </w:r>
    </w:p>
    <w:p>
      <w:pPr>
        <w:spacing w:before="80" w:after="80"/>
      </w:pPr>
      <w:r>
        <w:rPr>
          <w:rFonts w:ascii="Arial" w:hAnsi="Arial"/>
          <w:sz w:val="22"/>
        </w:rPr>
        <w:t>For hvert felt × måned bygges full feature-matrise (feltets kvalitet × det måneds markedet), differensialen predikeres, og kvartalsvis blandes feltene med Sodir-produksjonsvekter (justert for Aker BPs eierandel per felt).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4. Differensial-modellen — drivere og presisjon</w:t>
      </w:r>
    </w:p>
    <w:p>
      <w:pPr>
        <w:spacing w:before="80" w:after="80"/>
      </w:pPr>
      <w:r>
        <w:rPr>
          <w:rFonts w:ascii="Arial" w:hAnsi="Arial"/>
          <w:sz w:val="22"/>
        </w:rPr>
        <w:t>Modell: Parsimonisk OLS (Brent-linket, klyngerobuste standardfeil), 25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Metrikk</w:t>
            </w:r>
          </w:p>
        </w:tc>
        <w:tc>
          <w:tcPr>
            <w:tcW w:type="dxa" w:w="47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Verdi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In-sample R²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0.492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Cross-validated R²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0.472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Out-of-time R² (holdt ut nyeste periode)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0.379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RMSE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2.78 USD/bbl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Observasjoner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2 207 grade-måneder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Differensial-modellens ytelse. OOT R²=0.38 er det ærlige out-of-time-anslaget.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4.1 Hoveddrivere</w:t>
      </w:r>
    </w:p>
    <w:p>
      <w:pPr>
        <w:spacing w:before="80" w:after="80"/>
      </w:pPr>
      <w:r>
        <w:rPr>
          <w:rFonts w:ascii="Arial" w:hAnsi="Arial"/>
          <w:sz w:val="22"/>
        </w:rPr>
        <w:t>De viktigste kvalitetsdriverne av differensialen (med markedsinteraksjoner):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Svovel — sterkest kvalitetsdriver; rabatten skalerer med Brent-nivå (svovel×Brent-interaksjon) og raffineri-utnyttelse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API gravity — lettere olje gir premium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CCR / vacuum resid — bunnfraksjon trekker ned verdien (mer lavverdi-rest)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Logistikk: lang avstand (−6.3 USD/bbl) og FPSO-lasting (−2.0 USD/bbl) gir rabatt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Marked: raffineri-slakk, sanksjoner og OPEC+-kutt forskyver hele differensial-nivået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5. Datakilder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Kilde</w:t>
            </w:r>
          </w:p>
        </w:tc>
        <w:tc>
          <w:tcPr>
            <w:tcW w:type="dxa" w:w="403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Bruk</w:t>
            </w:r>
          </w:p>
        </w:tc>
        <w:tc>
          <w:tcPr>
            <w:tcW w:type="dxa" w:w="201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Rolle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Normpris-differensialer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Treningsmål for differensial-regresjon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Target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Unified crude assays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Statisk kvalitet per grade (Equinor/Exxon/Total)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Feature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månedlig produksjon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Produksjonsvekter per felt × eierandel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Vekt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Markedspanel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Brent, cracks, spreads, lager, sanksjoner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Feature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AKRBP kvartalsrapporter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Validering mot rapportert realisert pris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Validering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Script 63 felt→kvalitet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Fallback for felt uten offisiell assay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Fallback</w:t>
            </w:r>
          </w:p>
        </w:tc>
      </w:tr>
    </w:tbl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6. Felt → kvalitet med Script 63 fallback (nytt)</w:t>
      </w:r>
    </w:p>
    <w:p>
      <w:pPr>
        <w:spacing w:before="80" w:after="80"/>
      </w:pPr>
      <w:r>
        <w:rPr>
          <w:rFonts w:ascii="Arial" w:hAnsi="Arial"/>
          <w:sz w:val="22"/>
        </w:rPr>
        <w:t>Hjertet av feltspesifisiteten er hvordan hvert felt tildeles en kvalitetsvektor. Modellen bruker nå et eksplisitt prioritert hierarki: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Prioritet</w:t>
            </w:r>
          </w:p>
        </w:tc>
        <w:tc>
          <w:tcPr>
            <w:tcW w:type="dxa" w:w="403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Kilde</w:t>
            </w:r>
          </w:p>
        </w:tc>
        <w:tc>
          <w:tcPr>
            <w:tcW w:type="dxa" w:w="345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Når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1 (høyest)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Hardkodet offisiell assay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 med publisert Equinor-assay eller navngitt eksport-blend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Script 63: standalone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Feltet har egen publisert assay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Script 63: blend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Feltet selges som navngitt blend m/ assay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E65100"/>
                <w:sz w:val="20"/>
              </w:rPr>
              <w:t>4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Script 63: median+DST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Ingen assay: område-median + feltspesifikk Sodir-DST API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sz w:val="22"/>
        </w:rPr>
        <w:t>VIKTIG NYANSE — pris ≠ decline:</w:t>
      </w:r>
    </w:p>
    <w:p>
      <w:pPr>
        <w:spacing w:before="80" w:after="80"/>
      </w:pPr>
      <w:r>
        <w:rPr>
          <w:rFonts w:ascii="Arial" w:hAnsi="Arial"/>
          <w:sz w:val="22"/>
        </w:rPr>
        <w:t>For PRIS teller salgsvaren. Et felt som selges inn i en navngitt blend (f.eks. Edvard Grieg → Grane Blend) prises som blenden, uansett reservoar-API. Derfor er blend-assayen korrekt prisinput — det motsatte av decline-modellen, der reservoar-API var riktig.</w:t>
      </w:r>
    </w:p>
    <w:p>
      <w:pPr>
        <w:spacing w:before="80" w:after="80"/>
      </w:pPr>
      <w:r>
        <w:rPr>
          <w:rFonts w:ascii="Arial" w:hAnsi="Arial"/>
          <w:sz w:val="22"/>
        </w:rPr>
        <w:t>Sodir wellbore (DST) gir kun API/GOR/temperatur, ikke svovel/metaller/destillasjonskutt — de krever lab-assay. Derfor: for felt uten assay hentes API fra Sodir-DST (feltspesifikk, målt), mens lab-variablene tas fra område-median (validert robust valg — API forutsier ikke svovel/metaller innen NCS).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7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field_quality_impu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1: Script 63 felt→kvalitet-imputering. 104 NCS-felt med eksplisitt provenance-tier. Område-median for lab-variabler slår NCS-bred median (+25% svovel, +37% CCR); API fra Sodir-DST er den feltspesifikke gevinsten.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6.1 Effekt på Aker BP-modellen</w:t>
      </w:r>
    </w:p>
    <w:p>
      <w:pPr>
        <w:spacing w:before="80" w:after="80"/>
      </w:pPr>
      <w:r>
        <w:rPr>
          <w:rFonts w:ascii="Arial" w:hAnsi="Arial"/>
          <w:sz w:val="22"/>
        </w:rPr>
        <w:t>Alle 12 produserende Aker BP-felt har hardkodet offisiell assay (tier 1) — så den validerte modellen er uendret (R²=0.989). Fallbacken aktiverer for felt utenfor dette settet, og gjør modellen portabel: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Yggdrasil-komponenter (Frøy, Fulla, Munin, Symra) resolver automatisk til tier-3 median+DST-vektorer — klar for forward-looking analyse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Andre operatørers felt (Equinor-satellitter, Vår Energi) kan analyseres uten manuell assay-innlegging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7. Validering mot rapporterte realiserte priser</w:t>
      </w:r>
    </w:p>
    <w:p>
      <w:pPr>
        <w:spacing w:before="80" w:after="80"/>
      </w:pPr>
      <w:r>
        <w:rPr>
          <w:rFonts w:ascii="Arial" w:hAnsi="Arial"/>
          <w:sz w:val="22"/>
        </w:rPr>
        <w:t>Modellen valideres mot Aker BPs faktiske rapporterte realiserte priser (kvartalsrapporter, 'realised price liquids'), hentet direkte fra selskapets investor 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Valideringsmetrikk</w:t>
            </w:r>
          </w:p>
        </w:tc>
        <w:tc>
          <w:tcPr>
            <w:tcW w:type="dxa" w:w="47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Verdi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R² vs rapportert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0.989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Korrelasjon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0.995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1.56 USD/bbl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RMSE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2.02 USD/bbl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Bias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+0.30 USD/bbl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Antall kvartaler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24 (2020-2026)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Validering. Lav bias (+0.30) bekrefter at modellen fanger AKRBP realisert pris strukturelt, ikke bare i nivå.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5753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krbp_realized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2: Aker BP realisert pris-dekomponering. Øverst: modell-predikert vs rapportert realisert pris. Midten: feltbidrag til differensial. Nederst: produksjonsandeler og kvalitetsposisjonering per felt.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8. Bruk i Equity Research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Dekomponering: hvilke felt driver realisert pris opp/ned, og med hvor mye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Mix-shift-prognose: når produksjonsmiksen endres (Yggdrasil kommer inn 2027), endres realisert pris — kvantifiserbart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Følsomhet: hvordan realisert pris responderer på Brent-nivå, cracks, sanksjoner per felt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Cross-selskap: samme rammeverk på Equinor, Vår Energi via Script 63-fallback</w:t>
      </w:r>
    </w:p>
    <w:p>
      <w:pPr>
        <w:spacing w:before="80" w:after="80"/>
      </w:pPr>
      <w:r>
        <w:rPr>
          <w:rFonts w:ascii="Arial" w:hAnsi="Arial"/>
          <w:sz w:val="22"/>
        </w:rPr>
        <w:t>Differansen mot konsensus: de fleste analytikere bruker en flat Brent-rabatt for hele selskapet. Denne modellen gir feltspesifikk dekomponering med en validert R²=0.989 mot faktiske rapporterte tall.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9. Begrensninger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Differensial-modellens OOT R²=0.38 — markedsdynamikken har betydelig støy; realisert-pris-valideringen (R²=0.989) er høyere fordi produksjonsvekting og Brent-nivå dominerer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Sodir-produksjonslag: nyeste kvartal kan mangle data (mars-spike ikke fanget) — ekskluderes fra metrikk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NGL/kondensat: rapportert 'realised liquids' inkluderer NGL; modellen approksimerer dette via grade-miks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Tier-3-felt (median+DST): lab-variabler har reell restusikkerhet (svovel ±0.06%-poeng); brukes kun for felt uten assay, og har lav produksjonsvekt for Aker BP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Blend-tilordning forutsetter kjent eksportrute; nye felt kan endre rute over tid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A: Differensial-modell hovedkoeffisienter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3744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Koeffisient (USD/bbl)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Konstant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−18.58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Svovel %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+13.58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Lang avstand (dummy)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−6.28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Region Nordsjøen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−3.56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CCR vekt-%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−3.19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FPSO-lasting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−1.98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Raffineri-slakk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+1.29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−1.27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OPEC+-kutt 2023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−1.10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Russland-sanksjoner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+1.02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API gravity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+0.87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Svovel×Brent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−0.085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Koeffisientene tolkes i sammenheng med interaksjoner; svovel-effekten skaleres f.eks. ned med svovel×Brent ved høye oljepriser.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B: Variabel-definisjoner</w:t>
      </w:r>
    </w:p>
    <w:p>
      <w:pPr>
        <w:spacing w:before="80" w:after="80"/>
      </w:pPr>
      <w:r>
        <w:rPr>
          <w:rFonts w:ascii="Arial" w:hAnsi="Arial"/>
          <w:sz w:val="22"/>
        </w:rPr>
        <w:t>Differensial: prisforskjell (USD/bbl) mellom en crude-grade og Brent-referansen.</w:t>
      </w:r>
    </w:p>
    <w:p>
      <w:pPr>
        <w:spacing w:before="80" w:after="80"/>
      </w:pPr>
      <w:r>
        <w:rPr>
          <w:rFonts w:ascii="Arial" w:hAnsi="Arial"/>
          <w:sz w:val="22"/>
        </w:rPr>
        <w:t>Produksjonsandel: feltets netto oljeproduksjon (× eierandel) / total netto produksjon i kvartalet.</w:t>
      </w:r>
    </w:p>
    <w:p>
      <w:pPr>
        <w:spacing w:before="80" w:after="80"/>
      </w:pPr>
      <w:r>
        <w:rPr>
          <w:rFonts w:ascii="Arial" w:hAnsi="Arial"/>
          <w:sz w:val="22"/>
        </w:rPr>
        <w:t>Realisert pris: produksjonsvektet salgspris selskapet faktisk oppnår, inkl. NGL.</w:t>
      </w:r>
    </w:p>
    <w:p>
      <w:pPr>
        <w:spacing w:before="80" w:after="80"/>
      </w:pPr>
      <w:r>
        <w:rPr>
          <w:rFonts w:ascii="Arial" w:hAnsi="Arial"/>
          <w:sz w:val="22"/>
        </w:rPr>
        <w:t>Tier (Script 63): provenance for feltets kvalitetsvektor — standalone &gt; blend &gt; median+DST.</w:t>
      </w:r>
    </w:p>
    <w:p>
      <w:pPr>
        <w:spacing w:before="80" w:after="80"/>
      </w:pPr>
      <w:r>
        <w:rPr>
          <w:rFonts w:ascii="Arial" w:hAnsi="Arial"/>
          <w:sz w:val="22"/>
        </w:rPr>
        <w:t>OOT R²: out-of-time — modellen trent på eldre periode, testet på holdt-ut nyeste periode.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C: Prosjektmateriale</w:t>
      </w:r>
    </w:p>
    <w:p>
      <w:pPr>
        <w:spacing w:before="80" w:after="80"/>
      </w:pPr>
      <w:r>
        <w:rPr>
          <w:rFonts w:ascii="Arial" w:hAnsi="Arial"/>
          <w:sz w:val="22"/>
        </w:rPr>
        <w:t>Hovedscript: scripts/42_akrbp_realized_price_decomposition.py</w:t>
      </w:r>
    </w:p>
    <w:p>
      <w:pPr>
        <w:spacing w:before="80" w:after="80"/>
      </w:pPr>
      <w:r>
        <w:rPr>
          <w:rFonts w:ascii="Arial" w:hAnsi="Arial"/>
          <w:sz w:val="22"/>
        </w:rPr>
        <w:t>Differensial-modell: data/processed/34b_brent_model.json</w:t>
      </w:r>
    </w:p>
    <w:p>
      <w:pPr>
        <w:spacing w:before="80" w:after="80"/>
      </w:pPr>
      <w:r>
        <w:rPr>
          <w:rFonts w:ascii="Arial" w:hAnsi="Arial"/>
          <w:sz w:val="22"/>
        </w:rPr>
        <w:t>Felt→kvalitet fallback: scripts/63_field_quality_imputation.py → 63_ncs_field_quality.csv</w:t>
      </w:r>
    </w:p>
    <w:p>
      <w:pPr>
        <w:spacing w:before="80" w:after="80"/>
      </w:pPr>
      <w:r>
        <w:rPr>
          <w:rFonts w:ascii="Arial" w:hAnsi="Arial"/>
          <w:sz w:val="22"/>
        </w:rPr>
        <w:t>Alt versjonskontrollert i prosjektets git-repository.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