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rebuchet MS" w:cs="Trebuchet MS" w:eastAsia="Trebuchet MS" w:hAnsi="Trebuchet MS"/>
          <w:color w:val="3f48cc"/>
          <w:sz w:val="18"/>
          <w:szCs w:val="18"/>
          <w:highlight w:val="white"/>
        </w:rPr>
      </w:pPr>
      <w:r w:rsidDel="00000000" w:rsidR="00000000" w:rsidRPr="00000000">
        <w:rPr>
          <w:rFonts w:ascii="Trebuchet MS" w:cs="Trebuchet MS" w:eastAsia="Trebuchet MS" w:hAnsi="Trebuchet MS"/>
          <w:color w:val="3f48cc"/>
          <w:sz w:val="18"/>
          <w:szCs w:val="18"/>
          <w:highlight w:val="white"/>
          <w:rtl w:val="0"/>
        </w:rPr>
        <w:t xml:space="preserve">This section is structured in four sub-sections that must be completed on-line with suitable quality to enable direct publication by the Commission/Agency/other EU funding body. It should be easy to read i.e. written in a language easily understandable by a broader public, thereby promoting the dissemination and supporting the exploitation of EU funded results. It should preferably not exceed 7480 characters (equivalent to two pages of a text document) including spaces. This part must not contain any confidential or personal data (e.g. names and addresses).</w:t>
      </w:r>
    </w:p>
    <w:p w:rsidR="00000000" w:rsidDel="00000000" w:rsidP="00000000" w:rsidRDefault="00000000" w:rsidRPr="00000000" w14:paraId="00000002">
      <w:pPr>
        <w:shd w:fill="ffffff" w:val="clear"/>
        <w:spacing w:after="180" w:before="180" w:lineRule="auto"/>
        <w:jc w:val="both"/>
        <w:rPr>
          <w:rFonts w:ascii="Trebuchet MS" w:cs="Trebuchet MS" w:eastAsia="Trebuchet MS" w:hAnsi="Trebuchet MS"/>
          <w:color w:val="3f48cc"/>
          <w:sz w:val="18"/>
          <w:szCs w:val="18"/>
          <w:highlight w:val="white"/>
        </w:rPr>
      </w:pPr>
      <w:r w:rsidDel="00000000" w:rsidR="00000000" w:rsidRPr="00000000">
        <w:rPr>
          <w:rFonts w:ascii="Trebuchet MS" w:cs="Trebuchet MS" w:eastAsia="Trebuchet MS" w:hAnsi="Trebuchet MS"/>
          <w:color w:val="3f48cc"/>
          <w:sz w:val="18"/>
          <w:szCs w:val="18"/>
          <w:highlight w:val="white"/>
          <w:rtl w:val="0"/>
        </w:rPr>
        <w:t xml:space="preserve">The summary for publication must be drafted as a "stand-alone" text. No references should be made to other parts of the report. References can be made only to publicly available information.</w:t>
      </w:r>
    </w:p>
    <w:p w:rsidR="00000000" w:rsidDel="00000000" w:rsidP="00000000" w:rsidRDefault="00000000" w:rsidRPr="00000000" w14:paraId="00000003">
      <w:pPr>
        <w:jc w:val="both"/>
        <w:rPr>
          <w:color w:val="222222"/>
          <w:highlight w:val="white"/>
        </w:rPr>
      </w:pPr>
      <w:r w:rsidDel="00000000" w:rsidR="00000000" w:rsidRPr="00000000">
        <w:rPr>
          <w:rtl w:val="0"/>
        </w:rPr>
      </w:r>
    </w:p>
    <w:p w:rsidR="00000000" w:rsidDel="00000000" w:rsidP="00000000" w:rsidRDefault="00000000" w:rsidRPr="00000000" w14:paraId="00000004">
      <w:pPr>
        <w:jc w:val="both"/>
        <w:rPr>
          <w:color w:val="222222"/>
          <w:sz w:val="24"/>
          <w:szCs w:val="24"/>
          <w:highlight w:val="white"/>
        </w:rPr>
      </w:pPr>
      <w:r w:rsidDel="00000000" w:rsidR="00000000" w:rsidRPr="00000000">
        <w:rPr>
          <w:rFonts w:ascii="Trebuchet MS" w:cs="Trebuchet MS" w:eastAsia="Trebuchet MS" w:hAnsi="Trebuchet MS"/>
          <w:b w:val="1"/>
          <w:bCs w:val="1"/>
          <w:color w:val="0000ff"/>
          <w:sz w:val="20"/>
          <w:szCs w:val="20"/>
          <w:highlight w:val="white"/>
          <w:rtl w:val="0"/>
        </w:rPr>
        <w:t xml:space="preserve">Context and overall objectives</w:t>
      </w:r>
      <w:r w:rsidDel="00000000" w:rsidR="00000000" w:rsidRPr="00000000">
        <w:rPr>
          <w:rtl w:val="0"/>
        </w:rPr>
      </w:r>
    </w:p>
    <w:p w:rsidR="00000000" w:rsidDel="00000000" w:rsidP="00000000" w:rsidRDefault="00000000" w:rsidRPr="00000000" w14:paraId="00000005">
      <w:pPr>
        <w:jc w:val="both"/>
        <w:rPr>
          <w:color w:val="222222"/>
          <w:highlight w:val="white"/>
        </w:rPr>
      </w:pPr>
      <w:r w:rsidDel="00000000" w:rsidR="00000000" w:rsidRPr="00000000">
        <w:rPr>
          <w:rtl w:val="0"/>
        </w:rPr>
      </w:r>
    </w:p>
    <w:p w:rsidR="00000000" w:rsidDel="00000000" w:rsidP="00000000" w:rsidRDefault="00000000" w:rsidRPr="00000000" w14:paraId="00000006">
      <w:pPr>
        <w:jc w:val="both"/>
        <w:rPr>
          <w:color w:val="222222"/>
          <w:highlight w:val="white"/>
        </w:rPr>
      </w:pPr>
      <w:r w:rsidDel="00000000" w:rsidR="00000000" w:rsidRPr="00000000">
        <w:rPr>
          <w:color w:val="222222"/>
          <w:highlight w:val="white"/>
          <w:rtl w:val="0"/>
        </w:rPr>
        <w:t xml:space="preserve">Stroke and other focal brain injuries often lead to long-lasting deficits, including motor, cognitive, and sensory impairments. Recovery is highly variable, and predicting outcomes or optimizing rehabilitation remains a major challenge. A key contributor to this variability is the diffuse disruption of brain networks caused by focal lesions. Despite advances, the mechanisms determining recovery of function are still poorly understood. The NEMESIS project addresses this gap by investigating how focal lesions disrupt brain networks and their dynamics.  A central hypothesis is that lesions cause, through disconnection, the emergence of sleep-like slow wave activity during wakefulness in structurally intact regions/networks. These slow waves may reflect either maladaptive or protective processes, but their precise role in recovery remains unclear.</w:t>
      </w:r>
    </w:p>
    <w:p w:rsidR="00000000" w:rsidDel="00000000" w:rsidP="00000000" w:rsidRDefault="00000000" w:rsidRPr="00000000" w14:paraId="00000007">
      <w:pPr>
        <w:jc w:val="both"/>
        <w:rPr>
          <w:color w:val="222222"/>
          <w:highlight w:val="white"/>
        </w:rPr>
      </w:pPr>
      <w:r w:rsidDel="00000000" w:rsidR="00000000" w:rsidRPr="00000000">
        <w:rPr>
          <w:rtl w:val="0"/>
        </w:rPr>
      </w:r>
    </w:p>
    <w:p w:rsidR="00000000" w:rsidDel="00000000" w:rsidP="00000000" w:rsidRDefault="00000000" w:rsidRPr="00000000" w14:paraId="00000008">
      <w:pPr>
        <w:jc w:val="both"/>
        <w:rPr>
          <w:color w:val="222222"/>
          <w:highlight w:val="white"/>
        </w:rPr>
      </w:pPr>
      <w:r w:rsidDel="00000000" w:rsidR="00000000" w:rsidRPr="00000000">
        <w:rPr>
          <w:color w:val="222222"/>
          <w:highlight w:val="white"/>
          <w:rtl w:val="0"/>
        </w:rPr>
        <w:t xml:space="preserve">To tackle this problem, NEMESIS integrates human studies, animal models, in vitro preparations, and computational modeling to capture brain dynamics across multiple scales. The project aims to (i) identify the relationship between anatomical disconnection and slow-wave emergence, (ii) uncover cellular and network mechanisms through which lesions induce sleep-like activity, and (iii) develop neurophysiology-informed computational models to predict recovery trajectories and optimize neuromodulation strategies. </w:t>
      </w:r>
    </w:p>
    <w:p w:rsidR="00000000" w:rsidDel="00000000" w:rsidP="00000000" w:rsidRDefault="00000000" w:rsidRPr="00000000" w14:paraId="00000009">
      <w:pPr>
        <w:jc w:val="both"/>
        <w:rPr>
          <w:color w:val="222222"/>
          <w:highlight w:val="white"/>
        </w:rPr>
      </w:pPr>
      <w:r w:rsidDel="00000000" w:rsidR="00000000" w:rsidRPr="00000000">
        <w:rPr>
          <w:color w:val="222222"/>
          <w:highlight w:val="white"/>
          <w:rtl w:val="0"/>
        </w:rPr>
        <w:t xml:space="preserve">By revealing the causal links between lesions, slow-wave intrusion, network dysfunction, and behavioral deficits, NEMESIS seeks to transform therapeutic approaches and provide mechanistic biomarkers to guide recovery and intervention.</w:t>
      </w:r>
    </w:p>
    <w:p w:rsidR="00000000" w:rsidDel="00000000" w:rsidP="00000000" w:rsidRDefault="00000000" w:rsidRPr="00000000" w14:paraId="0000000A">
      <w:pPr>
        <w:jc w:val="both"/>
        <w:rPr>
          <w:color w:val="222222"/>
          <w:sz w:val="24"/>
          <w:szCs w:val="24"/>
          <w:highlight w:val="white"/>
        </w:rPr>
      </w:pPr>
      <w:r w:rsidDel="00000000" w:rsidR="00000000" w:rsidRPr="00000000">
        <w:rPr>
          <w:rtl w:val="0"/>
        </w:rPr>
      </w:r>
    </w:p>
    <w:p w:rsidR="00000000" w:rsidDel="00000000" w:rsidP="00000000" w:rsidRDefault="00000000" w:rsidRPr="00000000" w14:paraId="0000000B">
      <w:pPr>
        <w:jc w:val="both"/>
        <w:rPr>
          <w:color w:val="222222"/>
          <w:sz w:val="24"/>
          <w:szCs w:val="24"/>
          <w:highlight w:val="white"/>
        </w:rPr>
      </w:pPr>
      <w:r w:rsidDel="00000000" w:rsidR="00000000" w:rsidRPr="00000000">
        <w:rPr>
          <w:rFonts w:ascii="Trebuchet MS" w:cs="Trebuchet MS" w:eastAsia="Trebuchet MS" w:hAnsi="Trebuchet MS"/>
          <w:b w:val="1"/>
          <w:bCs w:val="1"/>
          <w:color w:val="0000ff"/>
          <w:sz w:val="20"/>
          <w:szCs w:val="20"/>
          <w:highlight w:val="white"/>
          <w:rtl w:val="0"/>
        </w:rPr>
        <w:t xml:space="preserve">Work performed and main achievements</w:t>
      </w:r>
      <w:r w:rsidDel="00000000" w:rsidR="00000000" w:rsidRPr="00000000">
        <w:rPr>
          <w:rtl w:val="0"/>
        </w:rPr>
      </w:r>
    </w:p>
    <w:p w:rsidR="00000000" w:rsidDel="00000000" w:rsidP="00000000" w:rsidRDefault="00000000" w:rsidRPr="00000000" w14:paraId="0000000C">
      <w:pPr>
        <w:jc w:val="both"/>
        <w:rPr>
          <w:color w:val="222222"/>
          <w:highlight w:val="white"/>
        </w:rPr>
      </w:pPr>
      <w:r w:rsidDel="00000000" w:rsidR="00000000" w:rsidRPr="00000000">
        <w:rPr>
          <w:rtl w:val="0"/>
        </w:rPr>
      </w:r>
    </w:p>
    <w:p w:rsidR="00000000" w:rsidDel="00000000" w:rsidP="00000000" w:rsidRDefault="00000000" w:rsidRPr="00000000" w14:paraId="0000000D">
      <w:pPr>
        <w:jc w:val="both"/>
        <w:rPr>
          <w:color w:val="222222"/>
          <w:highlight w:val="white"/>
        </w:rPr>
      </w:pPr>
      <w:r w:rsidDel="00000000" w:rsidR="00000000" w:rsidRPr="00000000">
        <w:rPr>
          <w:color w:val="222222"/>
          <w:highlight w:val="white"/>
          <w:rtl w:val="0"/>
        </w:rPr>
        <w:t xml:space="preserve">The project’s work is unfolding across its complementary objectives. </w:t>
      </w:r>
    </w:p>
    <w:p w:rsidR="00000000" w:rsidDel="00000000" w:rsidP="00000000" w:rsidRDefault="00000000" w:rsidRPr="00000000" w14:paraId="0000000E">
      <w:pPr>
        <w:jc w:val="both"/>
        <w:rPr>
          <w:color w:val="222222"/>
          <w:highlight w:val="white"/>
        </w:rPr>
      </w:pPr>
      <w:r w:rsidDel="00000000" w:rsidR="00000000" w:rsidRPr="00000000">
        <w:rPr>
          <w:rtl w:val="0"/>
        </w:rPr>
      </w:r>
    </w:p>
    <w:p w:rsidR="00000000" w:rsidDel="00000000" w:rsidP="00000000" w:rsidRDefault="00000000" w:rsidRPr="00000000" w14:paraId="0000000F">
      <w:pPr>
        <w:jc w:val="both"/>
        <w:rPr>
          <w:color w:val="222222"/>
          <w:highlight w:val="white"/>
        </w:rPr>
      </w:pPr>
      <w:r w:rsidDel="00000000" w:rsidR="00000000" w:rsidRPr="00000000">
        <w:rPr>
          <w:color w:val="222222"/>
          <w:highlight w:val="white"/>
          <w:rtl w:val="0"/>
        </w:rPr>
        <w:t xml:space="preserve">First, NEMESIS sought to identify the neurophysiological correlates of structural and functional disconnection. Longitudinal studies in stroke patients, combining structural MRI and high-density EEG, revealed that perilesional and disconnected regions exhibit increased slow-wave activity alongside reduced beta power, closely correlating with clinical severity. Human studies were complemented by investigations of focal lesions induced by radio-frequency thermocoagulation in epilepsy patients and by rodent models of stroke and traumatic brain injury with similar results. Mesoscale calcium imaging, local field potentials, and behavioral assays confirmed that slow-wave activity emerges both locally and across networks, providing convergent evidence across species and experimental modalities.</w:t>
      </w:r>
    </w:p>
    <w:p w:rsidR="00000000" w:rsidDel="00000000" w:rsidP="00000000" w:rsidRDefault="00000000" w:rsidRPr="00000000" w14:paraId="00000010">
      <w:pPr>
        <w:jc w:val="both"/>
        <w:rPr>
          <w:color w:val="222222"/>
          <w:highlight w:val="white"/>
        </w:rPr>
      </w:pPr>
      <w:r w:rsidDel="00000000" w:rsidR="00000000" w:rsidRPr="00000000">
        <w:rPr>
          <w:rtl w:val="0"/>
        </w:rPr>
      </w:r>
    </w:p>
    <w:p w:rsidR="00000000" w:rsidDel="00000000" w:rsidP="00000000" w:rsidRDefault="00000000" w:rsidRPr="00000000" w14:paraId="00000011">
      <w:pPr>
        <w:jc w:val="both"/>
        <w:rPr>
          <w:color w:val="222222"/>
          <w:highlight w:val="white"/>
        </w:rPr>
      </w:pPr>
      <w:r w:rsidDel="00000000" w:rsidR="00000000" w:rsidRPr="00000000">
        <w:rPr>
          <w:color w:val="222222"/>
          <w:highlight w:val="white"/>
          <w:rtl w:val="0"/>
        </w:rPr>
        <w:t xml:space="preserve">Second, NEMESIS employed causal manipulations to probe abnormal cortical dynamics. TMS–EEG studies in acute and subacute stroke patients demonstrated that perilesional slow waves and local OFF-periods track behavioral recovery. In parallel, in vitro slice experiments and computational network models elucidated the ionic and circuit mechanisms that facilitate pathological slow-wave propagation, including the roles of potassium channels in regulating up-down states and network excitability. These studies provided a mechanistic framework for understanding how focal lesions disrupt cortical processing and promote diaschisis-like effects.</w:t>
      </w:r>
    </w:p>
    <w:p w:rsidR="00000000" w:rsidDel="00000000" w:rsidP="00000000" w:rsidRDefault="00000000" w:rsidRPr="00000000" w14:paraId="00000012">
      <w:pPr>
        <w:jc w:val="both"/>
        <w:rPr>
          <w:color w:val="222222"/>
          <w:highlight w:val="white"/>
        </w:rPr>
      </w:pPr>
      <w:r w:rsidDel="00000000" w:rsidR="00000000" w:rsidRPr="00000000">
        <w:rPr>
          <w:rtl w:val="0"/>
        </w:rPr>
      </w:r>
    </w:p>
    <w:p w:rsidR="00000000" w:rsidDel="00000000" w:rsidP="00000000" w:rsidRDefault="00000000" w:rsidRPr="00000000" w14:paraId="00000013">
      <w:pPr>
        <w:jc w:val="both"/>
        <w:rPr>
          <w:color w:val="222222"/>
          <w:highlight w:val="white"/>
        </w:rPr>
      </w:pPr>
      <w:r w:rsidDel="00000000" w:rsidR="00000000" w:rsidRPr="00000000">
        <w:rPr>
          <w:color w:val="222222"/>
          <w:highlight w:val="white"/>
          <w:rtl w:val="0"/>
        </w:rPr>
        <w:t xml:space="preserve">Third, the empirical findings will be integrated into biophysically informed whole-brain models. Preliminary models are successfully reproducing lesion-induced slow waves, dynamic network reorganization, and functional connectivity changes. These models allow in silico testing of neurostimulation strategies, highlighting optimal targets for rehabilitation and offering mechanistic predictions linking focal lesions, slow-wave emergence, and behavioral outcomes. Across all these activities, the project generated a unique multimodal dataset, including longitudinal human recordings and animal data, which will be made openly available for the scientific community.</w:t>
      </w:r>
    </w:p>
    <w:p w:rsidR="00000000" w:rsidDel="00000000" w:rsidP="00000000" w:rsidRDefault="00000000" w:rsidRPr="00000000" w14:paraId="00000014">
      <w:pPr>
        <w:jc w:val="both"/>
        <w:rPr>
          <w:color w:val="222222"/>
          <w:highlight w:val="white"/>
        </w:rPr>
      </w:pPr>
      <w:r w:rsidDel="00000000" w:rsidR="00000000" w:rsidRPr="00000000">
        <w:rPr>
          <w:rtl w:val="0"/>
        </w:rPr>
      </w:r>
    </w:p>
    <w:p w:rsidR="00000000" w:rsidDel="00000000" w:rsidP="00000000" w:rsidRDefault="00000000" w:rsidRPr="00000000" w14:paraId="00000015">
      <w:pPr>
        <w:jc w:val="both"/>
        <w:rPr>
          <w:color w:val="222222"/>
          <w:sz w:val="24"/>
          <w:szCs w:val="24"/>
          <w:highlight w:val="white"/>
        </w:rPr>
      </w:pPr>
      <w:r w:rsidDel="00000000" w:rsidR="00000000" w:rsidRPr="00000000">
        <w:rPr>
          <w:rFonts w:ascii="Trebuchet MS" w:cs="Trebuchet MS" w:eastAsia="Trebuchet MS" w:hAnsi="Trebuchet MS"/>
          <w:b w:val="1"/>
          <w:bCs w:val="1"/>
          <w:color w:val="0000ff"/>
          <w:sz w:val="20"/>
          <w:szCs w:val="20"/>
          <w:highlight w:val="white"/>
          <w:rtl w:val="0"/>
        </w:rPr>
        <w:t xml:space="preserve">Results beyond the state of the arts</w:t>
      </w:r>
      <w:r w:rsidDel="00000000" w:rsidR="00000000" w:rsidRPr="00000000">
        <w:rPr>
          <w:rtl w:val="0"/>
        </w:rPr>
      </w:r>
    </w:p>
    <w:p w:rsidR="00000000" w:rsidDel="00000000" w:rsidP="00000000" w:rsidRDefault="00000000" w:rsidRPr="00000000" w14:paraId="00000016">
      <w:pPr>
        <w:jc w:val="both"/>
        <w:rPr>
          <w:color w:val="222222"/>
          <w:highlight w:val="white"/>
        </w:rPr>
      </w:pPr>
      <w:r w:rsidDel="00000000" w:rsidR="00000000" w:rsidRPr="00000000">
        <w:rPr>
          <w:rtl w:val="0"/>
        </w:rPr>
      </w:r>
    </w:p>
    <w:p w:rsidR="00000000" w:rsidDel="00000000" w:rsidP="00000000" w:rsidRDefault="00000000" w:rsidRPr="00000000" w14:paraId="00000017">
      <w:pPr>
        <w:jc w:val="both"/>
        <w:rPr>
          <w:color w:val="222222"/>
          <w:highlight w:val="white"/>
        </w:rPr>
      </w:pPr>
      <w:r w:rsidDel="00000000" w:rsidR="00000000" w:rsidRPr="00000000">
        <w:rPr>
          <w:color w:val="222222"/>
          <w:highlight w:val="white"/>
          <w:rtl w:val="0"/>
        </w:rPr>
        <w:t xml:space="preserve">NEMESIS has produced advances that significantly extend the state-of-the-art in understanding post-lesional brain dynamics. The project established a unifying framework linking stroke and other focal injuries with large-scale network dysfunction, diaschisis, and sleep-like cortical activity. It proposes that the structurally disconnected cortex enters a ‘default’ pathological state characterized by slow-wave activity resembling deep sleep. This framework provides a mechanistic explanation for widespread post-lesion dysfunction across multiple fields, from clinical neurology to systems neuroscience. In parallel, the project generated a unique longitudinal dataset of stroke patients combining behavioral assessments with multimodal imaging, including structural MRI, diffusion imaging, resting-state fMRI, and high-density EEG. This resource, which will be made publicly available, offers an unprecedented platform for studying recovery and network reorganization. Evidence from human and animal studies suggests that slow-wave delta activity in perilesional and disconnected regions could serve both as a biomarker of recovery and as a target for neuromodulation. Finally, the development of personalized, multimodal, generative whole-brain models represents a major methodological advance, capturing lesion-induced slow waves, structure–function decoupling, and dynamic network reorganization. By enabling the simulation of diverse neurostimulation strategies and generating testable predictions, these models will inform rehabilitation protocols and open new avenues for precision interventions.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