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W w:type="dxa" w:w="10200"/>
            <w:shd w:fill="14213D" w:color="14213D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PROPUESTA COMERCIAL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color w:val="C9A15A"/>
                <w:sz w:val="24"/>
                <w:szCs w:val="24"/>
              </w:rPr>
              <w:t xml:space="preserve">Etapa 2 — Continuidad de Marca Personal</w:t>
            </w:r>
          </w:p>
          <w:p>
            <w:pPr>
              <w:spacing w:after="10"/>
              <w:jc w:val="center"/>
            </w:pPr>
            <w:r>
              <w:rPr>
                <w:rFonts w:ascii="Calibri" w:cs="Calibri" w:eastAsia="Calibri" w:hAnsi="Calibri"/>
                <w:color w:val="F5F1EA"/>
                <w:sz w:val="20"/>
                <w:szCs w:val="20"/>
              </w:rPr>
              <w:t xml:space="preserve">Yocelyn Cea · Psicóloga Clínica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5F1EA"/>
                <w:sz w:val="17"/>
                <w:szCs w:val="17"/>
              </w:rPr>
              <w:t xml:space="preserve">Fecha: _______________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9A15A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1. Contexto</w:t>
      </w:r>
    </w:p>
    <w:p>
      <w:pPr>
        <w:spacing w:after="14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La Etapa 1 dejó la marca personal de Yocelyn Cea funcionando: identidad visual, cuentas activas, contenido publicado, y una charla online gratuita que confirmó demanda real (32 inscritos, ~27 asistentes, con más de la mitad llegando por recomendación directa). Esta propuesta plantea una segunda etapa para sostener y hacer crecer ese resultado de forma constante, sumando un canal propio: una landing page.</w:t>
      </w:r>
    </w:p>
    <w:p>
      <w:pPr>
        <w:pStyle w:val="Heading1"/>
        <w:pBdr>
          <w:bottom w:val="single" w:color="C9A15A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2. Alcance de la Etapa 2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7A2E2E"/>
          <w:sz w:val="22"/>
          <w:szCs w:val="22"/>
        </w:rPr>
        <w:t xml:space="preserve">Gestión de contenido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C9A15A"/>
          <w:sz w:val="21"/>
          <w:szCs w:val="21"/>
        </w:rPr>
        <w:t xml:space="preserve">—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2 Reels semanales.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C9A15A"/>
          <w:sz w:val="21"/>
          <w:szCs w:val="21"/>
        </w:rPr>
        <w:t xml:space="preserve">—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Historias diarias.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C9A15A"/>
          <w:sz w:val="21"/>
          <w:szCs w:val="21"/>
        </w:rPr>
        <w:t xml:space="preserve">—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3 publicaciones semanales en el feed.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C9A15A"/>
          <w:sz w:val="21"/>
          <w:szCs w:val="21"/>
        </w:rPr>
        <w:t xml:space="preserve">—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Asesoría estratégica y planificación de contenido, mes a mes.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7A2E2E"/>
          <w:sz w:val="22"/>
          <w:szCs w:val="22"/>
        </w:rPr>
        <w:t xml:space="preserve">Landing page</w:t>
      </w:r>
    </w:p>
    <w:p>
      <w:pPr>
        <w:spacing w:after="14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Página propia para captar contactos y agendamientos fuera de Instagram, con foco en el eje de postulantes a la PDI y Fuerzas Armadas.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C9A15A"/>
          <w:sz w:val="21"/>
          <w:szCs w:val="21"/>
        </w:rPr>
        <w:t xml:space="preserve">—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Plazo de elaboración: 1 mes desde el inicio de la Etapa 2.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C9A15A"/>
          <w:sz w:val="21"/>
          <w:szCs w:val="21"/>
        </w:rPr>
        <w:t xml:space="preserve">—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Incluye dominio propio (arriendo anual, con renovación cada 12 meses) y hosting.</w:t>
      </w:r>
    </w:p>
    <w:p>
      <w:pPr>
        <w:pStyle w:val="Heading1"/>
        <w:pBdr>
          <w:bottom w:val="single" w:color="C9A15A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3. Inversión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7A2E2E"/>
          <w:sz w:val="22"/>
          <w:szCs w:val="22"/>
        </w:rPr>
        <w:t xml:space="preserve">Inversión única — Landing page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600"/>
      </w:tblGrid>
      <w:tr>
        <w:tc>
          <w:tcPr>
            <w:tcW w:type="dxa" w:w="6600"/>
            <w:shd w:fill="14213D" w:color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3600"/>
            <w:shd w:fill="14213D" w:color="14213D" w:val="clea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Costo</w:t>
            </w:r>
          </w:p>
        </w:tc>
      </w:tr>
      <w:tr>
        <w:tc>
          <w:tcPr>
            <w:tcW w:type="dxa" w:w="6600"/>
            <w:vAlign w:val="center"/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Desarrollo y diseño de la landing page</w:t>
            </w:r>
          </w:p>
        </w:tc>
        <w:tc>
          <w:tcPr>
            <w:tcW w:type="dxa" w:w="3600"/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$60.000</w:t>
            </w:r>
          </w:p>
        </w:tc>
      </w:tr>
      <w:tr>
        <w:tc>
          <w:tcPr>
            <w:tcW w:type="dxa" w:w="6600"/>
            <w:vAlign w:val="center"/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Implementación (dominio + configuración inicial de hosting)</w:t>
            </w:r>
          </w:p>
        </w:tc>
        <w:tc>
          <w:tcPr>
            <w:tcW w:type="dxa" w:w="3600"/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$30.000</w:t>
            </w:r>
          </w:p>
        </w:tc>
      </w:tr>
      <w:tr>
        <w:tc>
          <w:tcPr>
            <w:tcW w:type="dxa" w:w="6600"/>
            <w:shd w:fill="EDE4CF" w:color="EDE4C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Total inversión única</w:t>
            </w:r>
          </w:p>
        </w:tc>
        <w:tc>
          <w:tcPr>
            <w:tcW w:type="dxa" w:w="3600"/>
            <w:shd w:fill="EDE4CF" w:color="EDE4CF" w:val="clear"/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$90.000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7A2E2E"/>
          <w:sz w:val="22"/>
          <w:szCs w:val="22"/>
        </w:rPr>
        <w:t xml:space="preserve">Inversión mensual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600"/>
      </w:tblGrid>
      <w:tr>
        <w:tc>
          <w:tcPr>
            <w:tcW w:type="dxa" w:w="6600"/>
            <w:shd w:fill="14213D" w:color="1421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3600"/>
            <w:shd w:fill="14213D" w:color="14213D" w:val="clea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Costo mensual</w:t>
            </w:r>
          </w:p>
        </w:tc>
      </w:tr>
      <w:tr>
        <w:tc>
          <w:tcPr>
            <w:tcW w:type="dxa" w:w="6600"/>
            <w:vAlign w:val="center"/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Asesoría, planificación y gestión de contenido</w:t>
            </w:r>
          </w:p>
        </w:tc>
        <w:tc>
          <w:tcPr>
            <w:tcW w:type="dxa" w:w="3600"/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$100.000 + IVA</w:t>
            </w:r>
          </w:p>
        </w:tc>
      </w:tr>
      <w:tr>
        <w:tc>
          <w:tcPr>
            <w:tcW w:type="dxa" w:w="6600"/>
            <w:vAlign w:val="center"/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Hosting de la landing page (desde su puesta en marcha)</w:t>
            </w:r>
          </w:p>
        </w:tc>
        <w:tc>
          <w:tcPr>
            <w:tcW w:type="dxa" w:w="3600"/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$15.000</w:t>
            </w:r>
          </w:p>
        </w:tc>
      </w:tr>
      <w:tr>
        <w:tc>
          <w:tcPr>
            <w:tcW w:type="dxa" w:w="6600"/>
            <w:shd w:fill="EDE4CF" w:color="EDE4C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Total mensual aprox. (con landing activa)</w:t>
            </w:r>
          </w:p>
        </w:tc>
        <w:tc>
          <w:tcPr>
            <w:tcW w:type="dxa" w:w="3600"/>
            <w:shd w:fill="EDE4CF" w:color="EDE4CF" w:val="clear"/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$115.000 + IVA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Nota: mientras la landing page está en desarrollo (primer mes), el cobro mensual corresponde solo a la asesoría y gestión de contenido ($100.000 + IVA); el hosting se suma una vez la página esté en línea.</w:t>
      </w:r>
    </w:p>
    <w:p>
      <w:pPr>
        <w:pStyle w:val="Heading1"/>
        <w:pBdr>
          <w:bottom w:val="single" w:color="C9A15A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4. Condiciones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C9A15A"/>
          <w:sz w:val="21"/>
          <w:szCs w:val="21"/>
        </w:rPr>
        <w:t xml:space="preserve">—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Duración sugerida: 6 meses, con posibilidad de renovar según resultados.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C9A15A"/>
          <w:sz w:val="21"/>
          <w:szCs w:val="21"/>
        </w:rPr>
        <w:t xml:space="preserve">—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El dominio se arrienda por períodos de 12 meses; su costo de renovación depende del proveedor y la extensión elegida (.cl, .com, etc.), y se cotiza aparte llegado el momento.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C9A15A"/>
          <w:sz w:val="21"/>
          <w:szCs w:val="21"/>
        </w:rPr>
        <w:t xml:space="preserve">— 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Esta propuesta no tiene fecha de vencimiento — queda disponible para activarse cuando Yocelyn lo decida.</w:t>
      </w:r>
    </w:p>
    <w:p>
      <w:pPr>
        <w:pStyle w:val="Heading1"/>
        <w:pBdr>
          <w:bottom w:val="single" w:color="C9A15A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4213D"/>
          <w:sz w:val="30"/>
          <w:szCs w:val="30"/>
        </w:rPr>
        <w:t xml:space="preserve">5. Cierre</w:t>
      </w:r>
    </w:p>
    <w:p>
      <w:pPr>
        <w:spacing w:after="140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Quedo disponible para resolver cualquier duda sobre este alcance o ajustar la propuesta según lo que Yocelyn necesite antes de comenzar.</w:t>
      </w:r>
    </w:p>
    <w:sectPr>
      <w:footerReference w:type="default" r:id="rId7"/>
      <w:pgSz w:w="12240" w:h="15840" w:orient="portrait"/>
      <w:pgMar w:top="1000" w:right="1150" w:bottom="10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5"/>
        <w:szCs w:val="15"/>
      </w:rPr>
      <w:t xml:space="preserve">Propuesta Etapa 2 — Yocelyn Cea · </w:t>
    </w:r>
    <w:r>
      <w:rPr>
        <w:rFonts w:ascii="Calibri" w:cs="Calibri" w:eastAsia="Calibri" w:hAnsi="Calibri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2026-08-29T15:57:47.790Z</dcterms:created>
  <dcterms:modified xsi:type="dcterms:W3CDTF">2026-08-29T15:57:47.805Z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