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4254C"/>
          <w:sz w:val="32"/>
        </w:rPr>
        <w:t>CONTRATO DE PRESTACIÓN DE SERVICIOS DE SOFTWARE (SaaS)</w:t>
      </w:r>
    </w:p>
    <w:p>
      <w:pPr>
        <w:spacing w:after="80"/>
        <w:jc w:val="center"/>
      </w:pPr>
      <w:r>
        <w:rPr>
          <w:b/>
          <w:color w:val="14254C"/>
          <w:sz w:val="32"/>
        </w:rPr>
        <w:t>Y TRATAMIENTO DE DATOS PERSONALES</w:t>
      </w:r>
    </w:p>
    <w:p>
      <w:pPr>
        <w:spacing w:after="320"/>
        <w:jc w:val="center"/>
      </w:pPr>
      <w:r>
        <w:rPr>
          <w:i/>
          <w:color w:val="475569"/>
          <w:sz w:val="20"/>
        </w:rPr>
        <w:t>Contrato tipo — LexCRM · Sistema de gestión legal para abogados en Chile</w:t>
      </w:r>
    </w:p>
    <w:p>
      <w:pPr>
        <w:spacing w:before="80" w:after="280"/>
        <w:shd w:val="clear" w:fill="FFFBEB"/>
        <w:pBdr>
          <w:left w:val="single" w:sz="18" w:space="8" w:color="F59E0B"/>
        </w:pBdr>
      </w:pPr>
      <w:r>
        <w:rPr>
          <w:i/>
          <w:color w:val="92400E"/>
          <w:sz w:val="19"/>
        </w:rPr>
        <w:t>Nota de uso: Este es un modelo de contrato base. Los campos resaltados en amarillo entre corchetes [ ] deben completarse en cada caso concreto. Se recomienda revisión de un/a abogado/a antes de su firma, ajustando montos, plazos y cláusulas según el cliente y el tipo de servicio contratado.</w:t>
      </w:r>
    </w:p>
    <w:p>
      <w:r>
        <w:t xml:space="preserve">En </w:t>
      </w:r>
      <w:r>
        <w:rPr>
          <w:b/>
          <w:color w:val="92400E"/>
          <w:highlight w:val="yellow"/>
        </w:rPr>
        <w:t>[ciudad]</w:t>
      </w:r>
      <w:r>
        <w:t xml:space="preserve">, Chile, a </w:t>
      </w:r>
      <w:r>
        <w:rPr>
          <w:b/>
          <w:color w:val="92400E"/>
          <w:highlight w:val="yellow"/>
        </w:rPr>
        <w:t>[día]</w:t>
      </w:r>
      <w:r>
        <w:t xml:space="preserve"> de </w:t>
      </w:r>
      <w:r>
        <w:rPr>
          <w:b/>
          <w:color w:val="92400E"/>
          <w:highlight w:val="yellow"/>
        </w:rPr>
        <w:t>[mes]</w:t>
      </w:r>
      <w:r>
        <w:t xml:space="preserve"> de </w:t>
      </w:r>
      <w:r>
        <w:rPr>
          <w:b/>
          <w:color w:val="92400E"/>
          <w:highlight w:val="yellow"/>
        </w:rPr>
        <w:t>[año]</w:t>
      </w:r>
      <w:r>
        <w:t>, comparecen:</w:t>
      </w:r>
    </w:p>
    <w:p>
      <w:r>
        <w:rPr>
          <w:b/>
        </w:rPr>
        <w:t>(a)</w:t>
      </w:r>
      <w:r>
        <w:t xml:space="preserve"> </w:t>
      </w:r>
      <w:r>
        <w:rPr>
          <w:b/>
          <w:color w:val="92400E"/>
          <w:highlight w:val="yellow"/>
        </w:rPr>
        <w:t>[RAZÓN SOCIAL DEL PROVEEDOR]</w:t>
      </w:r>
      <w:r>
        <w:t xml:space="preserve">, sociedad del giro de desarrollo de software, RUT N° </w:t>
      </w:r>
      <w:r>
        <w:rPr>
          <w:b/>
          <w:color w:val="92400E"/>
          <w:highlight w:val="yellow"/>
        </w:rPr>
        <w:t>[RUT]</w:t>
      </w:r>
      <w:r>
        <w:t xml:space="preserve">, representada legalmente por don/doña </w:t>
      </w:r>
      <w:r>
        <w:rPr>
          <w:b/>
          <w:color w:val="92400E"/>
          <w:highlight w:val="yellow"/>
        </w:rPr>
        <w:t>[NOMBRE REPRESENTANTE]</w:t>
      </w:r>
      <w:r>
        <w:t xml:space="preserve">, cédula de identidad N° </w:t>
      </w:r>
      <w:r>
        <w:rPr>
          <w:b/>
          <w:color w:val="92400E"/>
          <w:highlight w:val="yellow"/>
        </w:rPr>
        <w:t>[RUT representante]</w:t>
      </w:r>
      <w:r>
        <w:t xml:space="preserve">, ambos domiciliados para estos efectos en </w:t>
      </w:r>
      <w:r>
        <w:rPr>
          <w:b/>
          <w:color w:val="92400E"/>
          <w:highlight w:val="yellow"/>
        </w:rPr>
        <w:t>[domicilio]</w:t>
      </w:r>
      <w:r>
        <w:t>, en adelante indistintamente "el Proveedor"; y</w:t>
      </w:r>
    </w:p>
    <w:p>
      <w:r>
        <w:rPr>
          <w:b/>
        </w:rPr>
        <w:t>(b)</w:t>
      </w:r>
      <w:r>
        <w:t xml:space="preserve"> </w:t>
      </w:r>
      <w:r>
        <w:rPr>
          <w:b/>
          <w:color w:val="92400E"/>
          <w:highlight w:val="yellow"/>
        </w:rPr>
        <w:t>[RAZÓN SOCIAL DEL ESTUDIO JURÍDICO / NOMBRE DEL ABOGADO(A)]</w:t>
      </w:r>
      <w:r>
        <w:t xml:space="preserve">, RUT N° </w:t>
      </w:r>
      <w:r>
        <w:rPr>
          <w:b/>
          <w:color w:val="92400E"/>
          <w:highlight w:val="yellow"/>
        </w:rPr>
        <w:t>[RUT]</w:t>
      </w:r>
      <w:r>
        <w:t xml:space="preserve">, representado legalmente por don/doña </w:t>
      </w:r>
      <w:r>
        <w:rPr>
          <w:b/>
          <w:color w:val="92400E"/>
          <w:highlight w:val="yellow"/>
        </w:rPr>
        <w:t>[NOMBRE REPRESENTANTE]</w:t>
      </w:r>
      <w:r>
        <w:t xml:space="preserve">, cédula de identidad N° </w:t>
      </w:r>
      <w:r>
        <w:rPr>
          <w:b/>
          <w:color w:val="92400E"/>
          <w:highlight w:val="yellow"/>
        </w:rPr>
        <w:t>[RUT representante]</w:t>
      </w:r>
      <w:r>
        <w:t xml:space="preserve">, domiciliado para estos efectos en </w:t>
      </w:r>
      <w:r>
        <w:rPr>
          <w:b/>
          <w:color w:val="92400E"/>
          <w:highlight w:val="yellow"/>
        </w:rPr>
        <w:t>[domicilio]</w:t>
      </w:r>
      <w:r>
        <w:t>, en adelante indistintamente "el Cliente";</w:t>
      </w:r>
    </w:p>
    <w:p>
      <w:r>
        <w:t>en conjunto "las Partes", quienes exponen que han convenido el presente Contrato de Prestación de Servicios de Software y Tratamiento de Datos Personales (en adelante, el "Contrato"), que se rige por las cláusulas siguientes:</w:t>
      </w:r>
    </w:p>
    <w:p>
      <w:pPr>
        <w:spacing w:before="320" w:after="120"/>
        <w:pBdr>
          <w:bottom w:val="single" w:sz="6" w:space="4" w:color="CBD5E1"/>
        </w:pBdr>
      </w:pPr>
      <w:r>
        <w:rPr>
          <w:b/>
          <w:color w:val="14254C"/>
          <w:sz w:val="25"/>
        </w:rPr>
        <w:t>CLÁUSULA PRIMERA — ANTECEDENTES</w:t>
      </w:r>
    </w:p>
    <w:p>
      <w:r>
        <w:t xml:space="preserve">1.1. El Proveedor es una empresa dedicada al desarrollo y explotación comercial de una plataforma de gestión de relación con clientes (CRM) con funcionalidades de inteligencia artificial, orientada a estudios jurídicos y profesionales del derecho, denominada </w:t>
      </w:r>
      <w:r>
        <w:rPr>
          <w:b/>
        </w:rPr>
        <w:t>"LexCRM"</w:t>
      </w:r>
      <w:r>
        <w:t xml:space="preserve"> (en adelante, la "Plataforma").</w:t>
      </w:r>
    </w:p>
    <w:p>
      <w:r>
        <w:t>1.2. El Cliente es un estudio jurídico o profesional independiente que ejerce la abogacía y requiere contratar los servicios de la Plataforma para la gestión de sus causas, clientes, contrapartes y demás información asociada al ejercicio de su actividad profesional.</w:t>
      </w:r>
    </w:p>
    <w:p>
      <w:r>
        <w:t>1.3. En el marco de la prestación del Servicio, el Proveedor tratará datos personales de los clientes, contrapartes y terceros vinculados a las causas del Cliente, por cuenta y siguiendo instrucciones de este último, motivo por el cual las Partes acuerdan regular dicho tratamiento conforme a la Ley N° 21.719, que Regula la Protección y el Tratamiento de los Datos Personales y crea la Agencia de Protección de Datos Personales (en adelante, la "Ley"), y a su normativa complementaria.</w:t>
      </w:r>
    </w:p>
    <w:p>
      <w:pPr>
        <w:spacing w:before="320" w:after="120"/>
        <w:pBdr>
          <w:bottom w:val="single" w:sz="6" w:space="4" w:color="CBD5E1"/>
        </w:pBdr>
      </w:pPr>
      <w:r>
        <w:rPr>
          <w:b/>
          <w:color w:val="14254C"/>
          <w:sz w:val="25"/>
        </w:rPr>
        <w:t>CLÁUSULA SEGUNDA — DEFINICIONES</w:t>
      </w:r>
    </w:p>
    <w:p>
      <w:r>
        <w:t>Para los efectos de este Contrato, se entenderá por:</w:t>
      </w:r>
    </w:p>
    <w:p>
      <w:pPr>
        <w:pStyle w:val="ListBullet"/>
      </w:pPr>
      <w:r>
        <w:t>"Datos Personales": toda información vinculada o referida a una persona natural identificada o identificable, en los términos del artículo 2° letra f) de la Ley.</w:t>
      </w:r>
    </w:p>
    <w:p>
      <w:pPr>
        <w:pStyle w:val="ListBullet"/>
      </w:pPr>
      <w:r>
        <w:t>"Datos Sensibles": aquellos definidos en el artículo 2° letra g) de la Ley, incluyendo datos de salud, situación socioeconómica, convicciones, orientación sexual, entre otros.</w:t>
      </w:r>
    </w:p>
    <w:p>
      <w:pPr>
        <w:pStyle w:val="ListBullet"/>
      </w:pPr>
      <w:r>
        <w:t>"Datos de Infracciones Penales": los datos personales relativos a la comisión y sanción de infracciones penales, civiles, administrativas y disciplinarias, regulados especialmente en los artículos 24 y 25 de la Ley, que revisten carácter reservado.</w:t>
      </w:r>
    </w:p>
    <w:p>
      <w:pPr>
        <w:pStyle w:val="ListBullet"/>
      </w:pPr>
      <w:r>
        <w:t>"Responsable de Datos": el Cliente, quien decide los fines y medios del tratamiento de los Datos Personales que ingresa o gestiona a través de la Plataforma.</w:t>
      </w:r>
    </w:p>
    <w:p>
      <w:pPr>
        <w:pStyle w:val="ListBullet"/>
      </w:pPr>
      <w:r>
        <w:t>"Encargado de Datos" o "Tercero Mandatario": el Proveedor, quien trata los Datos Personales por cuenta del Cliente y conforme a sus instrucciones, en los términos del artículo 15 bis de la Ley.</w:t>
      </w:r>
    </w:p>
    <w:p>
      <w:pPr>
        <w:pStyle w:val="ListBullet"/>
      </w:pPr>
      <w:r>
        <w:t>"Titular de Datos": la persona natural a quien conciernen los Datos Personales tratados (clientes del Cliente, contrapartes, testigos, terceros relacionados con las causas).</w:t>
      </w:r>
    </w:p>
    <w:p>
      <w:pPr>
        <w:pStyle w:val="ListBullet"/>
      </w:pPr>
      <w:r>
        <w:t>"Incidente de Seguridad": toda vulneración a las medidas de seguridad que ocasione la destrucción, filtración, pérdida, alteración accidental o ilícita, o el acceso o comunicación no autorizados de los Datos Personales.</w:t>
      </w:r>
    </w:p>
    <w:p>
      <w:pPr>
        <w:pStyle w:val="ListBullet"/>
      </w:pPr>
      <w:r>
        <w:t>"Servicio": el acceso y uso de la Plataforma en modalidad Software as a Service (SaaS), conforme a las condiciones de este Contrato.</w:t>
      </w:r>
    </w:p>
    <w:p>
      <w:pPr>
        <w:spacing w:before="320" w:after="120"/>
        <w:pBdr>
          <w:bottom w:val="single" w:sz="6" w:space="4" w:color="CBD5E1"/>
        </w:pBdr>
      </w:pPr>
      <w:r>
        <w:rPr>
          <w:b/>
          <w:color w:val="14254C"/>
          <w:sz w:val="25"/>
        </w:rPr>
        <w:t>CLÁUSULA TERCERA — OBJETO DEL CONTRATO</w:t>
      </w:r>
    </w:p>
    <w:p>
      <w:r>
        <w:t>3.1. El Proveedor se obliga a otorgar al Cliente una licencia de uso, no exclusiva e intransferible, para acceder y utilizar la Plataforma durante la vigencia del presente Contrato, conforme a las funcionalidades descritas en el Anexo N° 3 (Descripción del Servicio), a cambio del pago del precio convenido en la Cláusula Quinta.</w:t>
      </w:r>
    </w:p>
    <w:p>
      <w:r>
        <w:t>3.2. El Servicio incluye, entre otras funcionalidades: gestión de causas y expedientes, gestión de clientes y contrapartes, agenda y plazos procesales, gestión documental, y herramientas de inteligencia artificial para apoyo en la revisión, redacción o análisis de documentos legales, según el plan contratado.</w:t>
      </w:r>
    </w:p>
    <w:p>
      <w:r>
        <w:t>3.3. Queda expresamente establecido que el objeto de este Contrato no incluye la prestación de asesoría jurídica por parte del Proveedor, ni la sustitución del criterio profesional del Cliente en el ejercicio de la abogacía.</w:t>
      </w:r>
    </w:p>
    <w:p>
      <w:pPr>
        <w:spacing w:before="320" w:after="120"/>
        <w:pBdr>
          <w:bottom w:val="single" w:sz="6" w:space="4" w:color="CBD5E1"/>
        </w:pBdr>
      </w:pPr>
      <w:r>
        <w:rPr>
          <w:b/>
          <w:color w:val="14254C"/>
          <w:sz w:val="25"/>
        </w:rPr>
        <w:t>CLÁUSULA CUARTA — ROLES DE LAS PARTES RESPECTO DE LOS DATOS PERSONALES</w:t>
      </w:r>
    </w:p>
    <w:p>
      <w:r>
        <w:t>4.1. Las Partes reconocen y declaran que, respecto de los Datos Personales que el Cliente ingrese, cargue o gestione a través de la Plataforma:</w:t>
      </w:r>
    </w:p>
    <w:p>
      <w:r>
        <w:rPr>
          <w:b/>
        </w:rPr>
        <w:t>(a)</w:t>
      </w:r>
      <w:r>
        <w:t xml:space="preserve"> El Cliente actúa como Responsable de Datos, siendo quien decide qué información se ingresa a la Plataforma, con qué finalidad y respecto de qué titulares.</w:t>
      </w:r>
    </w:p>
    <w:p>
      <w:r>
        <w:rPr>
          <w:b/>
        </w:rPr>
        <w:t>(b)</w:t>
      </w:r>
      <w:r>
        <w:t xml:space="preserve"> El Proveedor actúa como Encargado de Datos o Tercero Mandatario, tratando dichos Datos Personales exclusivamente por cuenta y bajo instrucciones documentadas del Cliente, para los fines de prestar el Servicio.</w:t>
      </w:r>
    </w:p>
    <w:p>
      <w:r>
        <w:t>4.2. El Proveedor no adquiere la condición de Responsable de Datos respecto de la información ingresada por el Cliente, salvo en aquello que corresponda a datos propios de la relación contractual con el Cliente (por ejemplo, sus antecedentes de contacto y facturación), respecto de los cuales el Proveedor sí actúa como Responsable.</w:t>
      </w:r>
    </w:p>
    <w:p>
      <w:r>
        <w:t>4.3. Si el Proveedor tratare los Datos Personales con un objeto distinto del convenido en este Contrato, o los cediere o entregare sin autorización expresa y específica del Cliente, se le considerará como Responsable de Datos para todos los efectos legales, debiendo responder personalmente por las infracciones en que incurra, sin perjuicio de la responsabilidad solidaria que le corresponda frente al Cliente por los daños ocasionados, conforme al artículo 15 bis de la Ley.</w:t>
      </w:r>
    </w:p>
    <w:p>
      <w:r>
        <w:t>4.4. Las condiciones específicas del tratamiento de Datos Personales por parte del Proveedor se regulan en detalle en el Anexo N° 1 (Acuerdo de Tratamiento de Datos Personales), que forma parte integrante de este Contrato para todos los efectos legales.</w:t>
      </w:r>
    </w:p>
    <w:p>
      <w:pPr>
        <w:spacing w:before="320" w:after="120"/>
        <w:pBdr>
          <w:bottom w:val="single" w:sz="6" w:space="4" w:color="CBD5E1"/>
        </w:pBdr>
      </w:pPr>
      <w:r>
        <w:rPr>
          <w:b/>
          <w:color w:val="14254C"/>
          <w:sz w:val="25"/>
        </w:rPr>
        <w:t>CLÁUSULA QUINTA — PRECIO Y FORMA DE PAGO</w:t>
      </w:r>
    </w:p>
    <w:p>
      <w:r>
        <w:t xml:space="preserve">5.1. El Cliente pagará al Proveedor la suma de </w:t>
      </w:r>
      <w:r>
        <w:rPr>
          <w:b/>
          <w:color w:val="92400E"/>
          <w:highlight w:val="yellow"/>
        </w:rPr>
        <w:t>[monto]</w:t>
      </w:r>
      <w:r>
        <w:t xml:space="preserve"> más IVA, con periodicidad </w:t>
      </w:r>
      <w:r>
        <w:rPr>
          <w:b/>
          <w:color w:val="92400E"/>
          <w:highlight w:val="yellow"/>
        </w:rPr>
        <w:t>[mensual/anual]</w:t>
      </w:r>
      <w:r>
        <w:t>, según el plan contratado en el Anexo N° 3.</w:t>
      </w:r>
    </w:p>
    <w:p>
      <w:r>
        <w:t xml:space="preserve">5.2. El pago se realizará dentro de los </w:t>
      </w:r>
      <w:r>
        <w:rPr>
          <w:b/>
          <w:color w:val="92400E"/>
          <w:highlight w:val="yellow"/>
        </w:rPr>
        <w:t>[N]</w:t>
      </w:r>
      <w:r>
        <w:t xml:space="preserve"> días siguientes a la emisión de la factura respectiva, mediante </w:t>
      </w:r>
      <w:r>
        <w:rPr>
          <w:b/>
          <w:color w:val="92400E"/>
          <w:highlight w:val="yellow"/>
        </w:rPr>
        <w:t>[medio de pago]</w:t>
      </w:r>
      <w:r>
        <w:t>.</w:t>
      </w:r>
    </w:p>
    <w:p>
      <w:r>
        <w:t xml:space="preserve">5.3. El atraso en el pago facultará al Proveedor para suspender el acceso a la Plataforma, previo aviso escrito con </w:t>
      </w:r>
      <w:r>
        <w:rPr>
          <w:b/>
          <w:color w:val="92400E"/>
          <w:highlight w:val="yellow"/>
        </w:rPr>
        <w:t>[N]</w:t>
      </w:r>
      <w:r>
        <w:t xml:space="preserve"> días de anticipación, sin perjuicio de las acciones de cobro que correspondan. La suspensión por mora no exime al Proveedor de sus obligaciones de custodia y seguridad respecto de los Datos Personales ya almacenados.</w:t>
      </w:r>
    </w:p>
    <w:p>
      <w:pPr>
        <w:spacing w:before="320" w:after="120"/>
        <w:pBdr>
          <w:bottom w:val="single" w:sz="6" w:space="4" w:color="CBD5E1"/>
        </w:pBdr>
      </w:pPr>
      <w:r>
        <w:rPr>
          <w:b/>
          <w:color w:val="14254C"/>
          <w:sz w:val="25"/>
        </w:rPr>
        <w:t>CLÁUSULA SEXTA — PLAZO Y VIGENCIA</w:t>
      </w:r>
    </w:p>
    <w:p>
      <w:r>
        <w:t xml:space="preserve">6.1. El presente Contrato tendrá una duración de </w:t>
      </w:r>
      <w:r>
        <w:rPr>
          <w:b/>
          <w:color w:val="92400E"/>
          <w:highlight w:val="yellow"/>
        </w:rPr>
        <w:t>[plazo]</w:t>
      </w:r>
      <w:r>
        <w:t xml:space="preserve">, contado desde la fecha de su suscripción, renovándose automáticamente por períodos iguales y sucesivos, salvo que alguna de las Partes comunique su voluntad de no renovar con </w:t>
      </w:r>
      <w:r>
        <w:rPr>
          <w:b/>
          <w:color w:val="92400E"/>
          <w:highlight w:val="yellow"/>
        </w:rPr>
        <w:t>[N]</w:t>
      </w:r>
      <w:r>
        <w:t xml:space="preserve"> días de anticipación al vencimiento.</w:t>
      </w:r>
    </w:p>
    <w:p>
      <w:r>
        <w:t xml:space="preserve">6.2. Cualquiera de las Partes podrá poner término anticipado al Contrato en caso de incumplimiento grave de la otra Parte, no subsanado dentro de </w:t>
      </w:r>
      <w:r>
        <w:rPr>
          <w:b/>
          <w:color w:val="92400E"/>
          <w:highlight w:val="yellow"/>
        </w:rPr>
        <w:t>[N]</w:t>
      </w:r>
      <w:r>
        <w:t xml:space="preserve"> días hábiles contados desde el requerimiento escrito respectivo.</w:t>
      </w:r>
    </w:p>
    <w:p>
      <w:pPr>
        <w:spacing w:before="320" w:after="120"/>
        <w:pBdr>
          <w:bottom w:val="single" w:sz="6" w:space="4" w:color="CBD5E1"/>
        </w:pBdr>
      </w:pPr>
      <w:r>
        <w:rPr>
          <w:b/>
          <w:color w:val="14254C"/>
          <w:sz w:val="25"/>
        </w:rPr>
        <w:t>CLÁUSULA SÉPTIMA — PROPIEDAD DE LA INFORMACIÓN</w:t>
      </w:r>
    </w:p>
    <w:p>
      <w:r>
        <w:t>7.1. Todos los Datos Personales y demás información ingresada por el Cliente a la Plataforma son y seguirán siendo de propiedad exclusiva del Cliente. El Proveedor no adquiere derecho alguno sobre dicha información, más allá de lo estrictamente necesario para la prestación del Servicio.</w:t>
      </w:r>
    </w:p>
    <w:p>
      <w:r>
        <w:t>7.2. El Proveedor se obliga a no utilizar la información del Cliente para fines propios, incluyendo — sin que la enumeración sea taxativa — entrenamiento de modelos de inteligencia artificial de uso general o comercialización a terceros, salvo autorización previa, expresa y por escrito del Cliente, en los términos que se regulan en el Anexo N° 1.</w:t>
      </w:r>
    </w:p>
    <w:p>
      <w:pPr>
        <w:spacing w:before="320" w:after="120"/>
        <w:pBdr>
          <w:bottom w:val="single" w:sz="6" w:space="4" w:color="CBD5E1"/>
        </w:pBdr>
      </w:pPr>
      <w:r>
        <w:rPr>
          <w:b/>
          <w:color w:val="14254C"/>
          <w:sz w:val="25"/>
        </w:rPr>
        <w:t>CLÁUSULA OCTAVA — CONFIDENCIALIDAD</w:t>
      </w:r>
    </w:p>
    <w:p>
      <w:r>
        <w:t>8.1. Cada Parte se obliga a mantener estricta confidencialidad respecto de toda información de la otra Parte a la que tenga acceso con ocasión de este Contrato, incluyendo información de clientes, causas judiciales, estrategias procesales y Datos Personales en general.</w:t>
      </w:r>
    </w:p>
    <w:p>
      <w:r>
        <w:t>8.2. Esta obligación de confidencialidad subsistirá indefinidamente respecto de los Datos Personales y Datos de Infracciones Penales, incluso después de terminado el presente Contrato, conforme al deber de secreto establecido en el artículo 14 bis de la Ley.</w:t>
      </w:r>
    </w:p>
    <w:p>
      <w:r>
        <w:t>8.3. El Proveedor se obliga a extender esta obligación de confidencialidad a todo su personal, contratistas y subencargados que tengan acceso a los Datos Personales del Cliente, mediante cláusulas contractuales equivalentes.</w:t>
      </w:r>
    </w:p>
    <w:p>
      <w:pPr>
        <w:spacing w:before="320" w:after="120"/>
        <w:pBdr>
          <w:bottom w:val="single" w:sz="6" w:space="4" w:color="CBD5E1"/>
        </w:pBdr>
      </w:pPr>
      <w:r>
        <w:rPr>
          <w:b/>
          <w:color w:val="14254C"/>
          <w:sz w:val="25"/>
        </w:rPr>
        <w:t>CLÁUSULA NOVENA — PROTECCIÓN DE DATOS PERSONALES</w:t>
      </w:r>
    </w:p>
    <w:p>
      <w:r>
        <w:t>9.1. El tratamiento de Datos Personales que el Proveedor realice en el marco de este Contrato se regirá íntegramente por lo dispuesto en la Ley N° 21.719 y por el Anexo N° 1 (Acuerdo de Tratamiento de Datos Personales), el cual las Partes declaran conocer y aceptar en este acto.</w:t>
      </w:r>
    </w:p>
    <w:p>
      <w:r>
        <w:t>9.2. En caso de contradicción entre las cláusulas del cuerpo principal de este Contrato y el Anexo N° 1 en materias de protección de datos personales, prevalecerá lo dispuesto en el Anexo N° 1.</w:t>
      </w:r>
    </w:p>
    <w:p>
      <w:pPr>
        <w:spacing w:before="320" w:after="120"/>
        <w:pBdr>
          <w:bottom w:val="single" w:sz="6" w:space="4" w:color="CBD5E1"/>
        </w:pBdr>
      </w:pPr>
      <w:r>
        <w:rPr>
          <w:b/>
          <w:color w:val="14254C"/>
          <w:sz w:val="25"/>
        </w:rPr>
        <w:t>CLÁUSULA DÉCIMA — SEGURIDAD DE LA INFORMACIÓN</w:t>
      </w:r>
    </w:p>
    <w:p>
      <w:r>
        <w:t>10.1. El Proveedor se obliga a mantener medidas de seguridad técnicas y organizativas acordes al estado de la técnica, conforme al detalle establecido en el Anexo N° 1, cláusula de Medidas de Seguridad.</w:t>
      </w:r>
    </w:p>
    <w:p>
      <w:r>
        <w:t>10.2. El Proveedor declara contar, a la fecha de este Contrato, con las siguientes medidas mínimas: cifrado en tránsito y en reposo, cifrado adicional a nivel de aplicación (AES-256-GCM) para credenciales de portales y datos bancarios, control de acceso basado en autenticación de usuario y aislamiento de datos por cuenta, registro de auditoría (logs) de exportaciones y eliminaciones de datos, y respaldo periódico de la base de datos.</w:t>
      </w:r>
    </w:p>
    <w:p>
      <w:pPr>
        <w:spacing w:before="320" w:after="120"/>
        <w:pBdr>
          <w:bottom w:val="single" w:sz="6" w:space="4" w:color="CBD5E1"/>
        </w:pBdr>
      </w:pPr>
      <w:r>
        <w:rPr>
          <w:b/>
          <w:color w:val="14254C"/>
          <w:sz w:val="25"/>
        </w:rPr>
        <w:t>CLÁUSULA UNDÉCIMA — PROPIEDAD INTELECTUAL</w:t>
      </w:r>
    </w:p>
    <w:p>
      <w:r>
        <w:t>11.1. La Plataforma, su código fuente, algoritmos, modelos de inteligencia artificial de base, interfaz, marca y demás elementos de propiedad intelectual asociados, son de exclusiva propiedad del Proveedor o de sus licenciantes, y el Cliente no adquiere derecho alguno sobre ellos, salvo el derecho de uso conforme a este Contrato.</w:t>
      </w:r>
    </w:p>
    <w:p>
      <w:r>
        <w:t>11.2. Nada en este Contrato podrá interpretarse como cesión de derechos de propiedad intelectual del Cliente al Proveedor respecto de la información y Datos Personales que aquel ingrese a la Plataforma.</w:t>
      </w:r>
    </w:p>
    <w:p>
      <w:pPr>
        <w:spacing w:before="320" w:after="120"/>
        <w:pBdr>
          <w:bottom w:val="single" w:sz="6" w:space="4" w:color="CBD5E1"/>
        </w:pBdr>
      </w:pPr>
      <w:r>
        <w:rPr>
          <w:b/>
          <w:color w:val="14254C"/>
          <w:sz w:val="25"/>
        </w:rPr>
        <w:t>CLÁUSULA DUODÉCIMA — RESPONSABILIDAD E INDEMNIDAD</w:t>
      </w:r>
    </w:p>
    <w:p>
      <w:r>
        <w:t>12.1. Cada Parte será responsable de los daños que cause a la otra Parte o a terceros con motivo de su propio incumplimiento de la Ley o de este Contrato.</w:t>
      </w:r>
    </w:p>
    <w:p>
      <w:r>
        <w:t>12.2. El Proveedor mantendrá indemne al Cliente frente a cualquier reclamo, multa o indemnización que se origine en un tratamiento de Datos Personales realizado por el Proveedor fuera de las instrucciones del Cliente o en incumplimiento del Anexo N° 1.</w:t>
      </w:r>
    </w:p>
    <w:p>
      <w:r>
        <w:t>12.3. El Cliente mantendrá indemne al Proveedor frente a reclamos originados en instrucciones ilícitas impartidas por el Cliente, o en la falta de un fundamento legal válido para el tratamiento de los Datos Personales que ingresó a la Plataforma.</w:t>
      </w:r>
    </w:p>
    <w:p>
      <w:r>
        <w:t>12.4. Lo anterior es sin perjuicio de las responsabilidades administrativas propias que cada Parte pueda tener frente a la Agencia de Protección de Datos Personales conforme a la Ley.</w:t>
      </w:r>
    </w:p>
    <w:p>
      <w:pPr>
        <w:spacing w:before="320" w:after="120"/>
        <w:pBdr>
          <w:bottom w:val="single" w:sz="6" w:space="4" w:color="CBD5E1"/>
        </w:pBdr>
      </w:pPr>
      <w:r>
        <w:rPr>
          <w:b/>
          <w:color w:val="14254C"/>
          <w:sz w:val="25"/>
        </w:rPr>
        <w:t>CLÁUSULA DÉCIMO TERCERA — TERMINACIÓN Y DESTINO DE LOS DATOS</w:t>
      </w:r>
    </w:p>
    <w:p>
      <w:r>
        <w:t>13.1. Terminado el Contrato por cualquier causa, el Proveedor deberá, a elección del Cliente:</w:t>
      </w:r>
    </w:p>
    <w:p>
      <w:r>
        <w:rPr>
          <w:b/>
        </w:rPr>
        <w:t>(a)</w:t>
      </w:r>
      <w:r>
        <w:t xml:space="preserve"> Devolver la totalidad de los Datos Personales en un formato estructurado y de uso común, dentro de un plazo de </w:t>
      </w:r>
      <w:r>
        <w:rPr>
          <w:b/>
          <w:color w:val="92400E"/>
          <w:highlight w:val="yellow"/>
        </w:rPr>
        <w:t>[N]</w:t>
      </w:r>
      <w:r>
        <w:t xml:space="preserve"> días hábiles; o</w:t>
      </w:r>
    </w:p>
    <w:p>
      <w:r>
        <w:rPr>
          <w:b/>
        </w:rPr>
        <w:t>(b)</w:t>
      </w:r>
      <w:r>
        <w:t xml:space="preserve"> Suprimir de forma segura y verificable la totalidad de los Datos Personales, incluidos los respaldos, dentro del mismo plazo, entregando constancia de dicha eliminación al Cliente.</w:t>
      </w:r>
    </w:p>
    <w:p>
      <w:r>
        <w:t>13.2. El Proveedor podrá conservar copias de los Datos Personales únicamente cuando exista una obligación legal que así lo exija, y solo por el tiempo estrictamente necesario para dicho fin, informando de ello al Cliente.</w:t>
      </w:r>
    </w:p>
    <w:p>
      <w:pPr>
        <w:spacing w:before="320" w:after="120"/>
        <w:pBdr>
          <w:bottom w:val="single" w:sz="6" w:space="4" w:color="CBD5E1"/>
        </w:pBdr>
      </w:pPr>
      <w:r>
        <w:rPr>
          <w:b/>
          <w:color w:val="14254C"/>
          <w:sz w:val="25"/>
        </w:rPr>
        <w:t>CLÁUSULA DÉCIMO CUARTA — LEGISLACIÓN APLICABLE Y RESOLUCIÓN DE CONTROVERSIAS</w:t>
      </w:r>
    </w:p>
    <w:p>
      <w:r>
        <w:t>14.1. Este Contrato se rige por las leyes de la República de Chile, y en especial por la Ley N° 21.719 en lo relativo al tratamiento de Datos Personales.</w:t>
      </w:r>
    </w:p>
    <w:p>
      <w:r>
        <w:t xml:space="preserve">14.2. Toda dificultad o controversia que se produzca entre las Partes respecto de la aplicación, interpretación, validez o ejecución de este Contrato, se someterá a </w:t>
      </w:r>
      <w:r>
        <w:rPr>
          <w:b/>
          <w:color w:val="92400E"/>
          <w:highlight w:val="yellow"/>
        </w:rPr>
        <w:t>[mediación previa / arbitraje / conocimiento de los tribunales ordinarios de justicia]</w:t>
      </w:r>
      <w:r>
        <w:t>, en la ciudad señalada en la Cláusula Décimo Quinta.</w:t>
      </w:r>
    </w:p>
    <w:p>
      <w:pPr>
        <w:spacing w:before="320" w:after="120"/>
        <w:pBdr>
          <w:bottom w:val="single" w:sz="6" w:space="4" w:color="CBD5E1"/>
        </w:pBdr>
      </w:pPr>
      <w:r>
        <w:rPr>
          <w:b/>
          <w:color w:val="14254C"/>
          <w:sz w:val="25"/>
        </w:rPr>
        <w:t>CLÁUSULA DÉCIMO QUINTA — DOMICILIO Y NOTIFICACIONES</w:t>
      </w:r>
    </w:p>
    <w:p>
      <w:r>
        <w:t xml:space="preserve">15.1. Para todos los efectos legales derivados de este Contrato, las Partes fijan domicilio en la ciudad de </w:t>
      </w:r>
      <w:r>
        <w:rPr>
          <w:b/>
          <w:color w:val="92400E"/>
          <w:highlight w:val="yellow"/>
        </w:rPr>
        <w:t>[ciudad]</w:t>
      </w:r>
      <w:r>
        <w:t xml:space="preserve"> y se someten a la jurisdicción de sus tribunales.</w:t>
      </w:r>
    </w:p>
    <w:p>
      <w:r>
        <w:t>15.2. Las notificaciones entre las Partes se entenderán válidamente efectuadas al ser remitidas a los correos electrónicos de contacto individualizados en el Anexo N° 1.</w:t>
      </w:r>
    </w:p>
    <w:p>
      <w:pPr>
        <w:spacing w:before="320" w:after="120"/>
        <w:pBdr>
          <w:bottom w:val="single" w:sz="6" w:space="4" w:color="CBD5E1"/>
        </w:pBdr>
      </w:pPr>
      <w:r>
        <w:rPr>
          <w:b/>
          <w:color w:val="14254C"/>
          <w:sz w:val="25"/>
        </w:rPr>
        <w:t>CLÁUSULA DÉCIMO SEXTA — DISPOSICIONES GENERALES</w:t>
      </w:r>
    </w:p>
    <w:p>
      <w:r>
        <w:t>16.1. Este Contrato, junto con sus Anexos, constituye el acuerdo íntegro entre las Partes respecto de su objeto, dejando sin efecto cualquier acuerdo previo, verbal o escrito, sobre la misma materia.</w:t>
      </w:r>
    </w:p>
    <w:p>
      <w:r>
        <w:t>16.2. Cualquier modificación a este Contrato deberá constar por escrito y ser suscrita por ambas Partes.</w:t>
      </w:r>
    </w:p>
    <w:p>
      <w:r>
        <w:t>16.3. Si alguna cláusula de este Contrato fuere declarada nula o inaplicable, ello no afectará la validez de las restantes.</w:t>
      </w:r>
    </w:p>
    <w:p>
      <w:r>
        <w:t xml:space="preserve">Se firma en </w:t>
      </w:r>
      <w:r>
        <w:rPr>
          <w:b/>
          <w:color w:val="92400E"/>
          <w:highlight w:val="yellow"/>
        </w:rPr>
        <w:t>[N]</w:t>
      </w:r>
      <w:r>
        <w:t xml:space="preserve"> ejemplares de idéntico tenor, quedando uno en poder de cada Parte, o mediante firma electrónica avanzada según lo dispuesto en la Ley N° 19.799.</w:t>
      </w:r>
    </w:p>
    <w:p>
      <w:pPr>
        <w:spacing w:before="480"/>
      </w:pPr>
      <w:r>
        <w:rPr>
          <w:b/>
          <w:color w:val="92400E"/>
          <w:highlight w:val="yellow"/>
        </w:rPr>
        <w:t>[FIRMA PROVEEDOR]</w:t>
      </w:r>
      <w:r>
        <w:t xml:space="preserve"> ______________________</w:t>
      </w:r>
    </w:p>
    <w:p>
      <w:r>
        <w:rPr>
          <w:b/>
          <w:color w:val="92400E"/>
          <w:highlight w:val="yellow"/>
        </w:rPr>
        <w:t>[FIRMA CLIENTE]</w:t>
      </w:r>
      <w:r>
        <w:t xml:space="preserve"> ______________________</w:t>
      </w:r>
    </w:p>
    <w:p>
      <w:r>
        <w:br w:type="page"/>
      </w:r>
    </w:p>
    <w:p>
      <w:pPr>
        <w:spacing w:after="80"/>
        <w:jc w:val="center"/>
      </w:pPr>
      <w:r>
        <w:rPr>
          <w:b/>
          <w:color w:val="14254C"/>
          <w:sz w:val="32"/>
        </w:rPr>
        <w:t>ANEXO N° 1</w:t>
      </w:r>
    </w:p>
    <w:p>
      <w:pPr>
        <w:spacing w:after="80"/>
        <w:jc w:val="center"/>
      </w:pPr>
      <w:r>
        <w:rPr>
          <w:b/>
          <w:color w:val="14254C"/>
          <w:sz w:val="32"/>
        </w:rPr>
        <w:t>ACUERDO DE TRATAMIENTO DE DATOS PERSONALES (ATDP)</w:t>
      </w:r>
    </w:p>
    <w:p>
      <w:pPr>
        <w:spacing w:after="320"/>
        <w:jc w:val="center"/>
      </w:pPr>
      <w:r>
        <w:rPr>
          <w:i/>
          <w:color w:val="475569"/>
          <w:sz w:val="20"/>
        </w:rPr>
        <w:t>Anexo integrante del Contrato de Prestación de Servicios de Software suscrito entre el Proveedor y el Cliente, conforme al artículo 15 bis de la Ley N° 21.719.</w:t>
      </w:r>
    </w:p>
    <w:p>
      <w:pPr>
        <w:spacing w:before="320" w:after="120"/>
        <w:pBdr>
          <w:bottom w:val="single" w:sz="6" w:space="4" w:color="CBD5E1"/>
        </w:pBdr>
      </w:pPr>
      <w:r>
        <w:rPr>
          <w:b/>
          <w:color w:val="14254C"/>
          <w:sz w:val="25"/>
        </w:rPr>
        <w:t>1. Objeto del Encargo</w:t>
      </w:r>
    </w:p>
    <w:p>
      <w:r>
        <w:t>El Cliente encarga al Proveedor el tratamiento de los Datos Personales necesarios para la prestación del Servicio, consistente en: almacenamiento, organización, estructuración, consulta, comunicación dentro de la Plataforma, respaldo y, en su caso, procesamiento mediante herramientas de inteligencia artificial para las funcionalidades descritas en el Anexo N° 3, todo ello exclusivamente para los fines aquí convenidos.</w:t>
      </w:r>
    </w:p>
    <w:p>
      <w:pPr>
        <w:spacing w:before="320" w:after="120"/>
        <w:pBdr>
          <w:bottom w:val="single" w:sz="6" w:space="4" w:color="CBD5E1"/>
        </w:pBdr>
      </w:pPr>
      <w:r>
        <w:rPr>
          <w:b/>
          <w:color w:val="14254C"/>
          <w:sz w:val="25"/>
        </w:rPr>
        <w:t>2. Duración</w:t>
      </w:r>
    </w:p>
    <w:p>
      <w:r>
        <w:t>El presente encargo de tratamiento tendrá vigencia mientras se mantenga vigente el Contrato principal, y las obligaciones de confidencialidad y seguridad subsistirán con posterioridad a su término, conforme a la Cláusula Octava del Contrato.</w:t>
      </w:r>
    </w:p>
    <w:p>
      <w:pPr>
        <w:spacing w:before="320" w:after="120"/>
        <w:pBdr>
          <w:bottom w:val="single" w:sz="6" w:space="4" w:color="CBD5E1"/>
        </w:pBdr>
      </w:pPr>
      <w:r>
        <w:rPr>
          <w:b/>
          <w:color w:val="14254C"/>
          <w:sz w:val="25"/>
        </w:rPr>
        <w:t>3. Finalidad del Tratamiento</w:t>
      </w:r>
    </w:p>
    <w:p>
      <w:r>
        <w:t>El Proveedor tratará los Datos Personales exclusivamente para permitir al Cliente gestionar sus causas, clientes, contrapartes y demás información profesional a través de la Plataforma. Queda expresamente prohibido:</w:t>
      </w:r>
    </w:p>
    <w:p>
      <w:pPr>
        <w:pStyle w:val="ListBullet"/>
      </w:pPr>
      <w:r>
        <w:t>Utilizar los Datos Personales del Cliente para entrenar modelos de inteligencia artificial de uso general, salvo autorización previa, expresa y específica del Cliente.</w:t>
      </w:r>
    </w:p>
    <w:p>
      <w:pPr>
        <w:pStyle w:val="ListBullet"/>
      </w:pPr>
      <w:r>
        <w:t>Utilizar los Datos Personales con fines de mercadotecnia, elaboración de perfiles comerciales o venta a terceros.</w:t>
      </w:r>
    </w:p>
    <w:p>
      <w:pPr>
        <w:pStyle w:val="ListBullet"/>
      </w:pPr>
      <w:r>
        <w:t>Realizar cualquier tratamiento no necesario para la prestación del Servicio contratado.</w:t>
      </w:r>
    </w:p>
    <w:p>
      <w:pPr>
        <w:spacing w:before="320" w:after="120"/>
        <w:pBdr>
          <w:bottom w:val="single" w:sz="6" w:space="4" w:color="CBD5E1"/>
        </w:pBdr>
      </w:pPr>
      <w:r>
        <w:rPr>
          <w:b/>
          <w:color w:val="14254C"/>
          <w:sz w:val="25"/>
        </w:rPr>
        <w:t>4. Tipo de Datos Personales y Categorías de Titulares</w:t>
      </w:r>
    </w:p>
    <w:p>
      <w:pPr>
        <w:spacing w:before="200" w:after="80"/>
      </w:pPr>
      <w:r>
        <w:rPr>
          <w:b/>
          <w:color w:val="2563EB"/>
          <w:sz w:val="22"/>
        </w:rPr>
        <w:t>4.1. Categorías de titulares</w:t>
      </w:r>
    </w:p>
    <w:p>
      <w:r>
        <w:t>Clientes del Cliente, contrapartes, testigos, peritos y demás terceros mencionados en las causas gestionadas a través de la Plataforma.</w:t>
      </w:r>
    </w:p>
    <w:p>
      <w:pPr>
        <w:spacing w:before="200" w:after="80"/>
      </w:pPr>
      <w:r>
        <w:rPr>
          <w:b/>
          <w:color w:val="2563EB"/>
          <w:sz w:val="22"/>
        </w:rPr>
        <w:t>4.2. Categorías de datos</w:t>
      </w:r>
    </w:p>
    <w:p>
      <w:pPr>
        <w:pStyle w:val="ListBullet"/>
      </w:pPr>
      <w:r>
        <w:t>Datos de identificación (nombre, RUT, domicilio, contacto).</w:t>
      </w:r>
    </w:p>
    <w:p>
      <w:pPr>
        <w:pStyle w:val="ListBullet"/>
      </w:pPr>
      <w:r>
        <w:t>Datos relativos a obligaciones económicas, financieras, bancarias o comerciales (situación de deudas, cobranzas), sujetos al régimen especial del Título III de la Ley.</w:t>
      </w:r>
    </w:p>
    <w:p>
      <w:pPr>
        <w:pStyle w:val="ListBullet"/>
      </w:pPr>
      <w:r>
        <w:t>Datos sensibles (salud, situación socioeconómica, u otros), cuando la naturaleza de la causa lo requiera.</w:t>
      </w:r>
    </w:p>
    <w:p>
      <w:pPr>
        <w:pStyle w:val="ListBullet"/>
      </w:pPr>
      <w:r>
        <w:t>Datos relativos a la comisión y sanción de infracciones penales, civiles, administrativas y disciplinarias, cuando el Cliente ejerza la abogacía en materia penal, sujetos al régimen especial y reservado de los artículos 24 y 25 de la Ley.</w:t>
      </w:r>
    </w:p>
    <w:p>
      <w:pPr>
        <w:spacing w:before="320" w:after="120"/>
        <w:pBdr>
          <w:bottom w:val="single" w:sz="6" w:space="4" w:color="CBD5E1"/>
        </w:pBdr>
      </w:pPr>
      <w:r>
        <w:rPr>
          <w:b/>
          <w:color w:val="14254C"/>
          <w:sz w:val="25"/>
        </w:rPr>
        <w:t>5. Instrucciones del Responsable</w:t>
      </w:r>
    </w:p>
    <w:p>
      <w:r>
        <w:t>5.1. El Proveedor tratará los Datos Personales únicamente conforme a las instrucciones documentadas del Cliente, expresadas a través de la configuración de la Plataforma, los términos de este Anexo, y las comunicaciones escritas que el Cliente curse en el futuro.</w:t>
      </w:r>
    </w:p>
    <w:p>
      <w:r>
        <w:t>5.2. Si el Proveedor estimare que alguna instrucción del Cliente infringe la Ley u otra normativa aplicable, deberá informarlo de inmediato al Cliente, pudiendo suspender su ejecución hasta recibir confirmación o rectificación de la instrucción.</w:t>
      </w:r>
    </w:p>
    <w:p>
      <w:pPr>
        <w:spacing w:before="320" w:after="120"/>
        <w:pBdr>
          <w:bottom w:val="single" w:sz="6" w:space="4" w:color="CBD5E1"/>
        </w:pBdr>
      </w:pPr>
      <w:r>
        <w:rPr>
          <w:b/>
          <w:color w:val="14254C"/>
          <w:sz w:val="25"/>
        </w:rPr>
        <w:t>6. Obligación de Confidencialidad</w:t>
      </w:r>
    </w:p>
    <w:p>
      <w:r>
        <w:t>El Proveedor se obliga a mantener estricto secreto sobre los Datos Personales tratados, obligación que hará extensiva contractualmente a todo su personal, contratistas y subencargados, subsistiendo dicha obligación incluso después de terminada la relación laboral, de servicios o contractual respectiva, conforme al artículo 14 bis de la Ley.</w:t>
      </w:r>
    </w:p>
    <w:p>
      <w:pPr>
        <w:spacing w:before="320" w:after="120"/>
        <w:pBdr>
          <w:bottom w:val="single" w:sz="6" w:space="4" w:color="CBD5E1"/>
        </w:pBdr>
      </w:pPr>
      <w:r>
        <w:rPr>
          <w:b/>
          <w:color w:val="14254C"/>
          <w:sz w:val="25"/>
        </w:rPr>
        <w:t>7. Medidas de Seguridad</w:t>
      </w:r>
    </w:p>
    <w:p>
      <w:r>
        <w:t>El Proveedor implementará, como mínimo, las siguientes medidas técnicas y organizativas, conforme al artículo 14 quinquies de la Ley:</w:t>
      </w:r>
    </w:p>
    <w:p>
      <w:pPr>
        <w:pStyle w:val="ListBullet"/>
      </w:pPr>
      <w:r>
        <w:t>Cifrado de los Datos Personales en tránsito y en reposo.</w:t>
      </w:r>
    </w:p>
    <w:p>
      <w:pPr>
        <w:pStyle w:val="ListBullet"/>
      </w:pPr>
      <w:r>
        <w:t>Cifrado adicional a nivel de aplicación (AES-256-GCM) para credenciales de portales de terceros y datos de cuentas bancarias.</w:t>
      </w:r>
    </w:p>
    <w:p>
      <w:pPr>
        <w:pStyle w:val="ListBullet"/>
      </w:pPr>
      <w:r>
        <w:t>Control de acceso basado en autenticación de usuario y aislamiento estricto de datos por cuenta.</w:t>
      </w:r>
    </w:p>
    <w:p>
      <w:pPr>
        <w:pStyle w:val="ListBullet"/>
      </w:pPr>
      <w:r>
        <w:t>Registro y trazabilidad (logs) de auditoría sobre exportaciones y eliminaciones de datos sensibles y de infracciones penales.</w:t>
      </w:r>
    </w:p>
    <w:p>
      <w:pPr>
        <w:pStyle w:val="ListBullet"/>
      </w:pPr>
      <w:r>
        <w:t>Copias de respaldo periódicas con igual nivel de seguridad que los datos originales.</w:t>
      </w:r>
    </w:p>
    <w:p>
      <w:pPr>
        <w:pStyle w:val="ListBullet"/>
      </w:pPr>
      <w:r>
        <w:t>Restricciones específicas a funcionalidades de exportación o descarga masiva de datos relativos a causas penales, conforme a la prohibición de tratamiento masivo del artículo 25 de la Ley.</w:t>
      </w:r>
    </w:p>
    <w:p>
      <w:pPr>
        <w:spacing w:before="320" w:after="120"/>
        <w:pBdr>
          <w:bottom w:val="single" w:sz="6" w:space="4" w:color="CBD5E1"/>
        </w:pBdr>
      </w:pPr>
      <w:r>
        <w:rPr>
          <w:b/>
          <w:color w:val="14254C"/>
          <w:sz w:val="25"/>
        </w:rPr>
        <w:t>8. Notificación de Incidentes de Seguridad</w:t>
      </w:r>
    </w:p>
    <w:p>
      <w:r>
        <w:t xml:space="preserve">8.1. El Proveedor notificará al Cliente, dentro de un plazo máximo de </w:t>
      </w:r>
      <w:r>
        <w:rPr>
          <w:b/>
        </w:rPr>
        <w:t>24 horas</w:t>
      </w:r>
      <w:r>
        <w:t xml:space="preserve"> desde que tome conocimiento, cualquier Incidente de Seguridad que afecte los Datos Personales tratados, indicando: naturaleza del incidente, categorías y número aproximado de titulares y datos afectados, posibles consecuencias, y medidas adoptadas o propuestas para mitigarlo. Este plazo se fija en consideración a que el Cliente, en su calidad de Responsable de Datos, dispone de un plazo legal de 72 horas para notificar a la Agencia de Protección de Datos Personales, requiriendo tiempo suficiente para evaluar el incidente y efectuar dicha notificación.</w:t>
      </w:r>
    </w:p>
    <w:p>
      <w:r>
        <w:t>8.2. Corresponderá exclusivamente al Cliente, en su calidad de Responsable de Datos, evaluar y efectuar las comunicaciones que correspondan a la Agencia de Protección de Datos Personales y a los titulares afectados, conforme al artículo 14 sexies de la Ley, sin perjuicio de la obligación de colaboración del Proveedor para dichos efectos.</w:t>
      </w:r>
    </w:p>
    <w:p>
      <w:pPr>
        <w:spacing w:before="320" w:after="120"/>
        <w:pBdr>
          <w:bottom w:val="single" w:sz="6" w:space="4" w:color="CBD5E1"/>
        </w:pBdr>
      </w:pPr>
      <w:r>
        <w:rPr>
          <w:b/>
          <w:color w:val="14254C"/>
          <w:sz w:val="25"/>
        </w:rPr>
        <w:t>9. Subcontratación (Subencargo)</w:t>
      </w:r>
    </w:p>
    <w:p>
      <w:r>
        <w:t>9.1. El Proveedor no podrá subcontratar total o parcialmente el tratamiento de los Datos Personales sin autorización previa, expresa y por escrito del Cliente.</w:t>
      </w:r>
    </w:p>
    <w:p>
      <w:r>
        <w:t>9.2. Autorizado un subencargo, el Proveedor deberá imponer al subencargado las mismas obligaciones de protección de datos establecidas en este Anexo, mediante contrato escrito, permaneciendo el Proveedor solidariamente responsable frente al Cliente por el cumplimiento de dichas obligaciones, sin poder eximirse alegando la delegación del tratamiento.</w:t>
      </w:r>
    </w:p>
    <w:p>
      <w:r>
        <w:t>9.3. El Proveedor mantendrá a disposición del Cliente un listado actualizado de subencargados autorizados, incluyendo la naturaleza del servicio prestado por cada uno de ellos y la ubicación de sus servidores (ver listado inicial en el punto 12 de este Anexo).</w:t>
      </w:r>
    </w:p>
    <w:p>
      <w:pPr>
        <w:spacing w:before="320" w:after="120"/>
        <w:pBdr>
          <w:bottom w:val="single" w:sz="6" w:space="4" w:color="CBD5E1"/>
        </w:pBdr>
      </w:pPr>
      <w:r>
        <w:rPr>
          <w:b/>
          <w:color w:val="14254C"/>
          <w:sz w:val="25"/>
        </w:rPr>
        <w:t>10. Transferencia Internacional de Datos</w:t>
      </w:r>
    </w:p>
    <w:p>
      <w:r>
        <w:t>10.1. En caso de que el almacenamiento o procesamiento de los Datos Personales se realice, total o parcialmente, en servidores ubicados fuera del territorio nacional, el Proveedor deberá informarlo previamente al Cliente, señalando el país o países de destino.</w:t>
      </w:r>
    </w:p>
    <w:p>
      <w:r>
        <w:t>10.2. Dicha transferencia se sujetará a alguna de las hipótesis de licitud del Título V de la Ley: (a) transferencia a un país con nivel adecuado de protección según determinación de la Agencia; (b) cláusulas contractuales tipo u otro instrumento que otorgue garantías adecuadas; o (c) consentimiento expreso del titular obtenido por el Cliente para una transferencia específica.</w:t>
      </w:r>
    </w:p>
    <w:p>
      <w:r>
        <w:t>10.3. El Proveedor se obliga a colaborar con el Cliente para acreditar, si fuere requerido por la Agencia, que la transferencia internacional se practicó conforme a las reglas de la Ley.</w:t>
      </w:r>
    </w:p>
    <w:p>
      <w:pPr>
        <w:spacing w:before="320" w:after="120"/>
        <w:pBdr>
          <w:bottom w:val="single" w:sz="6" w:space="4" w:color="CBD5E1"/>
        </w:pBdr>
      </w:pPr>
      <w:r>
        <w:rPr>
          <w:b/>
          <w:color w:val="14254C"/>
          <w:sz w:val="25"/>
        </w:rPr>
        <w:t>11. Asistencia para el Ejercicio de Derechos de los Titulares</w:t>
      </w:r>
    </w:p>
    <w:p>
      <w:r>
        <w:t>El Proveedor pondrá a disposición del Cliente las herramientas técnicas o procedimientos razonables para que este último pueda atender, dentro de los plazos legales, las solicitudes de acceso, rectificación, supresión, oposición, portabilidad y bloqueo temporal que le formulen los titulares de los Datos Personales, conforme a los artículos 5° a 9° de la Ley.</w:t>
      </w:r>
    </w:p>
    <w:p>
      <w:pPr>
        <w:spacing w:before="320" w:after="120"/>
        <w:pBdr>
          <w:bottom w:val="single" w:sz="6" w:space="4" w:color="CBD5E1"/>
        </w:pBdr>
      </w:pPr>
      <w:r>
        <w:rPr>
          <w:b/>
          <w:color w:val="14254C"/>
          <w:sz w:val="25"/>
        </w:rPr>
        <w:t>12. Listado Inicial de Subencargados / Proveedores de Infraestructura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fill="14254c"/>
          </w:tcPr>
          <w:p>
            <w:r/>
            <w:r>
              <w:rPr>
                <w:b/>
                <w:color w:val="FFFFFF"/>
                <w:sz w:val="18"/>
              </w:rPr>
              <w:t>Subencargado</w:t>
            </w:r>
          </w:p>
        </w:tc>
        <w:tc>
          <w:tcPr>
            <w:tcW w:type="dxa" w:w="2351"/>
            <w:shd w:val="clear" w:fill="14254c"/>
          </w:tcPr>
          <w:p>
            <w:r/>
            <w:r>
              <w:rPr>
                <w:b/>
                <w:color w:val="FFFFFF"/>
                <w:sz w:val="18"/>
              </w:rPr>
              <w:t>Servicio prestado</w:t>
            </w:r>
          </w:p>
        </w:tc>
        <w:tc>
          <w:tcPr>
            <w:tcW w:type="dxa" w:w="2351"/>
            <w:shd w:val="clear" w:fill="14254c"/>
          </w:tcPr>
          <w:p>
            <w:r/>
            <w:r>
              <w:rPr>
                <w:b/>
                <w:color w:val="FFFFFF"/>
                <w:sz w:val="18"/>
              </w:rPr>
              <w:t>Ubicación de servidores</w:t>
            </w:r>
          </w:p>
        </w:tc>
        <w:tc>
          <w:tcPr>
            <w:tcW w:type="dxa" w:w="2351"/>
            <w:shd w:val="clear" w:fill="14254c"/>
          </w:tcPr>
          <w:p>
            <w:r/>
            <w:r>
              <w:rPr>
                <w:b/>
                <w:color w:val="FFFFFF"/>
                <w:sz w:val="18"/>
              </w:rPr>
              <w:t>País con nivel adecuado (Sí/No)</w:t>
            </w:r>
          </w:p>
        </w:tc>
      </w:tr>
      <w:tr>
        <w:tc>
          <w:tcPr>
            <w:tcW w:type="dxa" w:w="2351"/>
          </w:tcPr>
          <w:p>
            <w:r>
              <w:rPr>
                <w:sz w:val="18"/>
              </w:rPr>
            </w:r>
            <w:r>
              <w:rPr>
                <w:sz w:val="18"/>
              </w:rPr>
              <w:t>Vercel Inc.</w:t>
            </w:r>
          </w:p>
        </w:tc>
        <w:tc>
          <w:tcPr>
            <w:tcW w:type="dxa" w:w="2351"/>
          </w:tcPr>
          <w:p>
            <w:r>
              <w:rPr>
                <w:sz w:val="18"/>
              </w:rPr>
            </w:r>
            <w:r>
              <w:rPr>
                <w:sz w:val="18"/>
              </w:rPr>
              <w:t>Hosting, CDN y ejecución de la aplicación (Vercel)</w:t>
            </w:r>
          </w:p>
        </w:tc>
        <w:tc>
          <w:tcPr>
            <w:tcW w:type="dxa" w:w="2351"/>
          </w:tcPr>
          <w:p>
            <w:r>
              <w:rPr>
                <w:sz w:val="18"/>
              </w:rPr>
            </w:r>
            <w:r>
              <w:rPr>
                <w:sz w:val="18"/>
              </w:rPr>
              <w:t>Estados Unidos</w:t>
            </w:r>
          </w:p>
        </w:tc>
        <w:tc>
          <w:tcPr>
            <w:tcW w:type="dxa" w:w="2351"/>
          </w:tcPr>
          <w:p>
            <w:r>
              <w:rPr>
                <w:sz w:val="18"/>
              </w:rPr>
            </w:r>
            <w:r>
              <w:rPr>
                <w:b/>
                <w:color w:val="92400E"/>
                <w:sz w:val="18"/>
                <w:highlight w:val="yellow"/>
              </w:rPr>
              <w:t>[Pendiente determinación Agencia]</w:t>
            </w:r>
          </w:p>
        </w:tc>
      </w:tr>
      <w:tr>
        <w:tc>
          <w:tcPr>
            <w:tcW w:type="dxa" w:w="2351"/>
          </w:tcPr>
          <w:p>
            <w:r>
              <w:rPr>
                <w:sz w:val="18"/>
              </w:rPr>
            </w:r>
            <w:r>
              <w:rPr>
                <w:sz w:val="18"/>
              </w:rPr>
              <w:t>Turso (libSQL)</w:t>
            </w:r>
          </w:p>
        </w:tc>
        <w:tc>
          <w:tcPr>
            <w:tcW w:type="dxa" w:w="2351"/>
          </w:tcPr>
          <w:p>
            <w:r>
              <w:rPr>
                <w:sz w:val="18"/>
              </w:rPr>
            </w:r>
            <w:r>
              <w:rPr>
                <w:sz w:val="18"/>
              </w:rPr>
              <w:t>Almacenamiento de la base de datos</w:t>
            </w:r>
          </w:p>
        </w:tc>
        <w:tc>
          <w:tcPr>
            <w:tcW w:type="dxa" w:w="2351"/>
          </w:tcPr>
          <w:p>
            <w:r>
              <w:rPr>
                <w:sz w:val="18"/>
              </w:rPr>
            </w:r>
            <w:r>
              <w:rPr>
                <w:sz w:val="18"/>
              </w:rPr>
              <w:t>Infraestructura distribuida (Estados Unidos)</w:t>
            </w:r>
          </w:p>
        </w:tc>
        <w:tc>
          <w:tcPr>
            <w:tcW w:type="dxa" w:w="2351"/>
          </w:tcPr>
          <w:p>
            <w:r>
              <w:rPr>
                <w:sz w:val="18"/>
              </w:rPr>
            </w:r>
            <w:r>
              <w:rPr>
                <w:b/>
                <w:color w:val="92400E"/>
                <w:sz w:val="18"/>
                <w:highlight w:val="yellow"/>
              </w:rPr>
              <w:t>[Pendiente determinación Agencia]</w:t>
            </w:r>
          </w:p>
        </w:tc>
      </w:tr>
      <w:tr>
        <w:tc>
          <w:tcPr>
            <w:tcW w:type="dxa" w:w="2351"/>
          </w:tcPr>
          <w:p>
            <w:r>
              <w:rPr>
                <w:sz w:val="18"/>
              </w:rPr>
            </w:r>
            <w:r>
              <w:rPr>
                <w:sz w:val="18"/>
              </w:rPr>
              <w:t>Anthropic PBC</w:t>
            </w:r>
          </w:p>
        </w:tc>
        <w:tc>
          <w:tcPr>
            <w:tcW w:type="dxa" w:w="2351"/>
          </w:tcPr>
          <w:p>
            <w:r>
              <w:rPr>
                <w:sz w:val="18"/>
              </w:rPr>
            </w:r>
            <w:r>
              <w:rPr>
                <w:sz w:val="18"/>
              </w:rPr>
              <w:t>Procesamiento de lenguaje natural — funcionalidades de IA (Claude API)</w:t>
            </w:r>
          </w:p>
        </w:tc>
        <w:tc>
          <w:tcPr>
            <w:tcW w:type="dxa" w:w="2351"/>
          </w:tcPr>
          <w:p>
            <w:r>
              <w:rPr>
                <w:sz w:val="18"/>
              </w:rPr>
            </w:r>
            <w:r>
              <w:rPr>
                <w:sz w:val="18"/>
              </w:rPr>
              <w:t>Estados Unidos</w:t>
            </w:r>
          </w:p>
        </w:tc>
        <w:tc>
          <w:tcPr>
            <w:tcW w:type="dxa" w:w="2351"/>
          </w:tcPr>
          <w:p>
            <w:r>
              <w:rPr>
                <w:sz w:val="18"/>
              </w:rPr>
            </w:r>
            <w:r>
              <w:rPr>
                <w:b/>
                <w:color w:val="92400E"/>
                <w:sz w:val="18"/>
                <w:highlight w:val="yellow"/>
              </w:rPr>
              <w:t>[Pendiente determinación Agencia]</w:t>
            </w:r>
          </w:p>
        </w:tc>
      </w:tr>
      <w:tr>
        <w:tc>
          <w:tcPr>
            <w:tcW w:type="dxa" w:w="2351"/>
          </w:tcPr>
          <w:p>
            <w:r>
              <w:rPr>
                <w:sz w:val="18"/>
              </w:rPr>
            </w:r>
            <w:r>
              <w:rPr>
                <w:sz w:val="18"/>
              </w:rPr>
              <w:t>Resend</w:t>
            </w:r>
          </w:p>
        </w:tc>
        <w:tc>
          <w:tcPr>
            <w:tcW w:type="dxa" w:w="2351"/>
          </w:tcPr>
          <w:p>
            <w:r>
              <w:rPr>
                <w:sz w:val="18"/>
              </w:rPr>
            </w:r>
            <w:r>
              <w:rPr>
                <w:sz w:val="18"/>
              </w:rPr>
              <w:t>Envío de correo electrónico transaccional</w:t>
            </w:r>
          </w:p>
        </w:tc>
        <w:tc>
          <w:tcPr>
            <w:tcW w:type="dxa" w:w="2351"/>
          </w:tcPr>
          <w:p>
            <w:r>
              <w:rPr>
                <w:sz w:val="18"/>
              </w:rPr>
            </w:r>
            <w:r>
              <w:rPr>
                <w:sz w:val="18"/>
              </w:rPr>
              <w:t>Estados Unidos</w:t>
            </w:r>
          </w:p>
        </w:tc>
        <w:tc>
          <w:tcPr>
            <w:tcW w:type="dxa" w:w="2351"/>
          </w:tcPr>
          <w:p>
            <w:r>
              <w:rPr>
                <w:sz w:val="18"/>
              </w:rPr>
            </w:r>
            <w:r>
              <w:rPr>
                <w:b/>
                <w:color w:val="92400E"/>
                <w:sz w:val="18"/>
                <w:highlight w:val="yellow"/>
              </w:rPr>
              <w:t>[Pendiente determinación Agencia]</w:t>
            </w:r>
          </w:p>
        </w:tc>
      </w:tr>
    </w:tbl>
    <w:p>
      <w:pPr>
        <w:spacing w:after="80"/>
      </w:pPr>
    </w:p>
    <w:p>
      <w:r>
        <w:rPr>
          <w:i/>
        </w:rPr>
        <w:t>El listado anterior refleja los subencargados en uso a la fecha de elaboración de este documento. El Proveedor lo mantendrá actualizado conforme a la Cláusula 9.3 precedente.</w:t>
      </w:r>
    </w:p>
    <w:p>
      <w:pPr>
        <w:spacing w:before="320" w:after="120"/>
        <w:pBdr>
          <w:bottom w:val="single" w:sz="6" w:space="4" w:color="CBD5E1"/>
        </w:pBdr>
      </w:pPr>
      <w:r>
        <w:rPr>
          <w:b/>
          <w:color w:val="14254C"/>
          <w:sz w:val="25"/>
        </w:rPr>
        <w:t>13. Devolución o Eliminación de Datos al Término del Encargo</w:t>
      </w:r>
    </w:p>
    <w:p>
      <w:r>
        <w:t>Conforme a la Cláusula Décimo Tercera del Contrato principal, terminado el encargo el Proveedor devolverá o eliminará de forma segura y verificable la totalidad de los Datos Personales, incluidos los respaldos, dentro del plazo allí establecido, entregando constancia formal de dicha gestión al Cliente.</w:t>
      </w:r>
    </w:p>
    <w:p>
      <w:pPr>
        <w:spacing w:before="320" w:after="120"/>
        <w:pBdr>
          <w:bottom w:val="single" w:sz="6" w:space="4" w:color="CBD5E1"/>
        </w:pBdr>
      </w:pPr>
      <w:r>
        <w:rPr>
          <w:b/>
          <w:color w:val="14254C"/>
          <w:sz w:val="25"/>
        </w:rPr>
        <w:t>14. Derecho de Auditoría</w:t>
      </w:r>
    </w:p>
    <w:p>
      <w:r>
        <w:t xml:space="preserve">El Cliente podrá solicitar al Proveedor, con una anticipación razonable y hasta </w:t>
      </w:r>
      <w:r>
        <w:rPr>
          <w:b/>
          <w:color w:val="92400E"/>
          <w:highlight w:val="yellow"/>
        </w:rPr>
        <w:t>[N]</w:t>
      </w:r>
      <w:r>
        <w:t xml:space="preserve"> veces al año, información, documentación o evidencia razonable que acredite el cumplimiento de las obligaciones de seguridad y protección de datos establecidas en este Anexo, pudiendo el Proveedor sustituir una auditoría directa por la entrega de certificaciones vigentes equivalentes (ISO 27001, certificación de modelo de prevención de infracciones ante la Agencia, u otras).</w:t>
      </w:r>
    </w:p>
    <w:p>
      <w:pPr>
        <w:spacing w:before="320" w:after="120"/>
        <w:pBdr>
          <w:bottom w:val="single" w:sz="6" w:space="4" w:color="CBD5E1"/>
        </w:pBdr>
      </w:pPr>
      <w:r>
        <w:rPr>
          <w:b/>
          <w:color w:val="14254C"/>
          <w:sz w:val="25"/>
        </w:rPr>
        <w:t>15. Régimen Especial para Datos de Infracciones Penales</w:t>
      </w:r>
    </w:p>
    <w:p>
      <w:r>
        <w:t>Cuando el Cliente ejerza la abogacía en materia penal y trate a través de la Plataforma Datos de Infracciones Penales, se aplicarán además las siguientes reglas:</w:t>
      </w:r>
    </w:p>
    <w:p>
      <w:pPr>
        <w:pStyle w:val="ListBullet"/>
      </w:pPr>
      <w:r>
        <w:t>Dichos datos no podrán ser comunicados ni cedidos a terceros por el Proveedor bajo ninguna circunstancia, salvo instrucción expresa del Cliente amparada en una excepción legal.</w:t>
      </w:r>
    </w:p>
    <w:p>
      <w:pPr>
        <w:pStyle w:val="ListBullet"/>
      </w:pPr>
      <w:r>
        <w:t>El Proveedor no habilitará funcionalidades de exportación o tratamiento masivo de estos datos que no cuenten con trazabilidad y justificación específica, conforme a la prohibición del artículo 25 de la Ley.</w:t>
      </w:r>
    </w:p>
    <w:p>
      <w:pPr>
        <w:pStyle w:val="ListBullet"/>
      </w:pPr>
      <w:r>
        <w:t>El Proveedor colaborará con el Cliente para la implementación de alertas o recordatorios que faciliten la eliminación de estos datos una vez prescrita la acción penal o cumplida/prescrita la sanción respectiva.</w:t>
      </w:r>
    </w:p>
    <w:p>
      <w:pPr>
        <w:spacing w:before="320" w:after="120"/>
        <w:pBdr>
          <w:bottom w:val="single" w:sz="6" w:space="4" w:color="CBD5E1"/>
        </w:pBdr>
      </w:pPr>
      <w:r>
        <w:rPr>
          <w:b/>
          <w:color w:val="14254C"/>
          <w:sz w:val="25"/>
        </w:rPr>
        <w:t>16. Contactos de las Partes para Efectos de este Anexo</w:t>
      </w:r>
    </w:p>
    <w:p>
      <w:pPr>
        <w:pStyle w:val="ListBullet"/>
      </w:pPr>
      <w:r>
        <w:t xml:space="preserve">Por el Proveedor: </w:t>
      </w:r>
      <w:r>
        <w:rPr>
          <w:b/>
          <w:color w:val="92400E"/>
          <w:highlight w:val="yellow"/>
        </w:rPr>
        <w:t>[nombre / cargo]</w:t>
      </w:r>
      <w:r>
        <w:t xml:space="preserve"> — contacto@lexcrm.site</w:t>
      </w:r>
    </w:p>
    <w:p>
      <w:pPr>
        <w:pStyle w:val="ListBullet"/>
      </w:pPr>
      <w:r>
        <w:t xml:space="preserve">Por el Cliente: </w:t>
      </w:r>
      <w:r>
        <w:rPr>
          <w:b/>
          <w:color w:val="92400E"/>
          <w:highlight w:val="yellow"/>
        </w:rPr>
        <w:t>[nombre / cargo / correo electrónico]</w:t>
      </w:r>
    </w:p>
    <w:p>
      <w:r>
        <w:br w:type="page"/>
      </w:r>
    </w:p>
    <w:p>
      <w:pPr>
        <w:spacing w:after="80"/>
        <w:jc w:val="center"/>
      </w:pPr>
      <w:r>
        <w:rPr>
          <w:b/>
          <w:color w:val="14254C"/>
          <w:sz w:val="32"/>
        </w:rPr>
        <w:t>ANEXO N° 2</w:t>
      </w:r>
    </w:p>
    <w:p>
      <w:pPr>
        <w:spacing w:after="80"/>
        <w:jc w:val="center"/>
      </w:pPr>
      <w:r>
        <w:rPr>
          <w:b/>
          <w:color w:val="14254C"/>
          <w:sz w:val="32"/>
        </w:rPr>
        <w:t>REGISTRO DE ACTIVIDADES DE TRATAMIENTO</w:t>
      </w:r>
    </w:p>
    <w:p>
      <w:pPr>
        <w:spacing w:after="320"/>
        <w:jc w:val="center"/>
      </w:pPr>
      <w:r>
        <w:rPr>
          <w:i/>
          <w:color w:val="475569"/>
          <w:sz w:val="20"/>
        </w:rPr>
        <w:t>(Documento vivo, a completar y mantener actualizado durante la vigencia del Contrato)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fill="14254c"/>
          </w:tcPr>
          <w:p>
            <w:r/>
            <w:r>
              <w:rPr>
                <w:b/>
                <w:color w:val="FFFFFF"/>
                <w:sz w:val="18"/>
              </w:rPr>
              <w:t>Actividad</w:t>
            </w:r>
          </w:p>
        </w:tc>
        <w:tc>
          <w:tcPr>
            <w:tcW w:type="dxa" w:w="1344"/>
            <w:shd w:val="clear" w:fill="14254c"/>
          </w:tcPr>
          <w:p>
            <w:r/>
            <w:r>
              <w:rPr>
                <w:b/>
                <w:color w:val="FFFFFF"/>
                <w:sz w:val="18"/>
              </w:rPr>
              <w:t>Finalidad</w:t>
            </w:r>
          </w:p>
        </w:tc>
        <w:tc>
          <w:tcPr>
            <w:tcW w:type="dxa" w:w="1344"/>
            <w:shd w:val="clear" w:fill="14254c"/>
          </w:tcPr>
          <w:p>
            <w:r/>
            <w:r>
              <w:rPr>
                <w:b/>
                <w:color w:val="FFFFFF"/>
                <w:sz w:val="18"/>
              </w:rPr>
              <w:t>Categoría de Datos</w:t>
            </w:r>
          </w:p>
        </w:tc>
        <w:tc>
          <w:tcPr>
            <w:tcW w:type="dxa" w:w="1344"/>
            <w:shd w:val="clear" w:fill="14254c"/>
          </w:tcPr>
          <w:p>
            <w:r/>
            <w:r>
              <w:rPr>
                <w:b/>
                <w:color w:val="FFFFFF"/>
                <w:sz w:val="18"/>
              </w:rPr>
              <w:t>Titulares</w:t>
            </w:r>
          </w:p>
        </w:tc>
        <w:tc>
          <w:tcPr>
            <w:tcW w:type="dxa" w:w="1344"/>
            <w:shd w:val="clear" w:fill="14254c"/>
          </w:tcPr>
          <w:p>
            <w:r/>
            <w:r>
              <w:rPr>
                <w:b/>
                <w:color w:val="FFFFFF"/>
                <w:sz w:val="18"/>
              </w:rPr>
              <w:t>Base de Licitud</w:t>
            </w:r>
          </w:p>
        </w:tc>
        <w:tc>
          <w:tcPr>
            <w:tcW w:type="dxa" w:w="1344"/>
            <w:shd w:val="clear" w:fill="14254c"/>
          </w:tcPr>
          <w:p>
            <w:r/>
            <w:r>
              <w:rPr>
                <w:b/>
                <w:color w:val="FFFFFF"/>
                <w:sz w:val="18"/>
              </w:rPr>
              <w:t>Conservación</w:t>
            </w:r>
          </w:p>
        </w:tc>
        <w:tc>
          <w:tcPr>
            <w:tcW w:type="dxa" w:w="1344"/>
            <w:shd w:val="clear" w:fill="14254c"/>
          </w:tcPr>
          <w:p>
            <w:r/>
            <w:r>
              <w:rPr>
                <w:b/>
                <w:color w:val="FFFFFF"/>
                <w:sz w:val="18"/>
              </w:rPr>
              <w:t>Seguridad</w:t>
            </w:r>
          </w:p>
        </w:tc>
      </w:tr>
      <w:tr>
        <w:tc>
          <w:tcPr>
            <w:tcW w:type="dxa" w:w="1344"/>
          </w:tcPr>
          <w:p>
            <w:r>
              <w:rPr>
                <w:sz w:val="18"/>
              </w:rPr>
            </w:r>
            <w:r>
              <w:rPr>
                <w:sz w:val="18"/>
              </w:rPr>
              <w:t>Gestión de causas y expedientes</w:t>
            </w:r>
          </w:p>
        </w:tc>
        <w:tc>
          <w:tcPr>
            <w:tcW w:type="dxa" w:w="1344"/>
          </w:tcPr>
          <w:p>
            <w:r>
              <w:rPr>
                <w:sz w:val="18"/>
              </w:rPr>
            </w:r>
            <w:r>
              <w:rPr>
                <w:sz w:val="18"/>
              </w:rPr>
              <w:t>Prestación del Servicio</w:t>
            </w:r>
          </w:p>
        </w:tc>
        <w:tc>
          <w:tcPr>
            <w:tcW w:type="dxa" w:w="1344"/>
          </w:tcPr>
          <w:p>
            <w:r>
              <w:rPr>
                <w:sz w:val="18"/>
              </w:rPr>
            </w:r>
            <w:r>
              <w:rPr>
                <w:sz w:val="18"/>
              </w:rPr>
              <w:t>Identificación, judiciales</w:t>
            </w:r>
          </w:p>
        </w:tc>
        <w:tc>
          <w:tcPr>
            <w:tcW w:type="dxa" w:w="1344"/>
          </w:tcPr>
          <w:p>
            <w:r>
              <w:rPr>
                <w:sz w:val="18"/>
              </w:rPr>
            </w:r>
            <w:r>
              <w:rPr>
                <w:sz w:val="18"/>
              </w:rPr>
              <w:t>Clientes, contrapartes</w:t>
            </w:r>
          </w:p>
        </w:tc>
        <w:tc>
          <w:tcPr>
            <w:tcW w:type="dxa" w:w="1344"/>
          </w:tcPr>
          <w:p>
            <w:r>
              <w:rPr>
                <w:sz w:val="18"/>
              </w:rPr>
            </w:r>
            <w:r>
              <w:rPr>
                <w:sz w:val="18"/>
              </w:rPr>
              <w:t>Ejecución del Contrato / instrucción del Responsable</w:t>
            </w:r>
          </w:p>
        </w:tc>
        <w:tc>
          <w:tcPr>
            <w:tcW w:type="dxa" w:w="1344"/>
          </w:tcPr>
          <w:p>
            <w:r>
              <w:rPr>
                <w:sz w:val="18"/>
              </w:rPr>
            </w:r>
            <w:r>
              <w:rPr>
                <w:sz w:val="18"/>
              </w:rPr>
              <w:t xml:space="preserve">Vigencia del Contrato + </w:t>
            </w:r>
            <w:r>
              <w:rPr>
                <w:b/>
                <w:color w:val="92400E"/>
                <w:sz w:val="18"/>
                <w:highlight w:val="yellow"/>
              </w:rPr>
              <w:t>[plazo legal]</w:t>
            </w:r>
          </w:p>
        </w:tc>
        <w:tc>
          <w:tcPr>
            <w:tcW w:type="dxa" w:w="1344"/>
          </w:tcPr>
          <w:p>
            <w:r>
              <w:rPr>
                <w:sz w:val="18"/>
              </w:rPr>
            </w:r>
            <w:r>
              <w:rPr>
                <w:sz w:val="18"/>
              </w:rPr>
              <w:t>Cifrado, control de acceso</w:t>
            </w:r>
          </w:p>
        </w:tc>
      </w:tr>
      <w:tr>
        <w:tc>
          <w:tcPr>
            <w:tcW w:type="dxa" w:w="1344"/>
          </w:tcPr>
          <w:p>
            <w:r>
              <w:rPr>
                <w:sz w:val="18"/>
              </w:rPr>
            </w:r>
            <w:r>
              <w:rPr>
                <w:sz w:val="18"/>
              </w:rPr>
              <w:t>Gestión de cobranza (si aplica)</w:t>
            </w:r>
          </w:p>
        </w:tc>
        <w:tc>
          <w:tcPr>
            <w:tcW w:type="dxa" w:w="1344"/>
          </w:tcPr>
          <w:p>
            <w:r>
              <w:rPr>
                <w:sz w:val="18"/>
              </w:rPr>
            </w:r>
            <w:r>
              <w:rPr>
                <w:sz w:val="18"/>
              </w:rPr>
              <w:t>Prestación del Servicio</w:t>
            </w:r>
          </w:p>
        </w:tc>
        <w:tc>
          <w:tcPr>
            <w:tcW w:type="dxa" w:w="1344"/>
          </w:tcPr>
          <w:p>
            <w:r>
              <w:rPr>
                <w:sz w:val="18"/>
              </w:rPr>
            </w:r>
            <w:r>
              <w:rPr>
                <w:sz w:val="18"/>
              </w:rPr>
              <w:t>Obligaciones económicas</w:t>
            </w:r>
          </w:p>
        </w:tc>
        <w:tc>
          <w:tcPr>
            <w:tcW w:type="dxa" w:w="1344"/>
          </w:tcPr>
          <w:p>
            <w:r>
              <w:rPr>
                <w:sz w:val="18"/>
              </w:rPr>
            </w:r>
            <w:r>
              <w:rPr>
                <w:sz w:val="18"/>
              </w:rPr>
              <w:t>Deudores/clientes</w:t>
            </w:r>
          </w:p>
        </w:tc>
        <w:tc>
          <w:tcPr>
            <w:tcW w:type="dxa" w:w="1344"/>
          </w:tcPr>
          <w:p>
            <w:r>
              <w:rPr>
                <w:sz w:val="18"/>
              </w:rPr>
            </w:r>
            <w:r>
              <w:rPr>
                <w:sz w:val="18"/>
              </w:rPr>
              <w:t>Título III de la Ley</w:t>
            </w:r>
          </w:p>
        </w:tc>
        <w:tc>
          <w:tcPr>
            <w:tcW w:type="dxa" w:w="1344"/>
          </w:tcPr>
          <w:p>
            <w:r>
              <w:rPr>
                <w:sz w:val="18"/>
              </w:rPr>
            </w:r>
            <w:r>
              <w:rPr>
                <w:b/>
                <w:color w:val="92400E"/>
                <w:sz w:val="18"/>
                <w:highlight w:val="yellow"/>
              </w:rPr>
              <w:t>[plazo]</w:t>
            </w:r>
          </w:p>
        </w:tc>
        <w:tc>
          <w:tcPr>
            <w:tcW w:type="dxa" w:w="1344"/>
          </w:tcPr>
          <w:p>
            <w:r>
              <w:rPr>
                <w:sz w:val="18"/>
              </w:rPr>
            </w:r>
            <w:r>
              <w:rPr>
                <w:sz w:val="18"/>
              </w:rPr>
              <w:t>Cifrado, control de acceso</w:t>
            </w:r>
          </w:p>
        </w:tc>
      </w:tr>
      <w:tr>
        <w:tc>
          <w:tcPr>
            <w:tcW w:type="dxa" w:w="1344"/>
          </w:tcPr>
          <w:p>
            <w:r>
              <w:rPr>
                <w:sz w:val="18"/>
              </w:rPr>
            </w:r>
            <w:r>
              <w:rPr>
                <w:sz w:val="18"/>
              </w:rPr>
              <w:t>Gestión de causas penales (si aplica)</w:t>
            </w:r>
          </w:p>
        </w:tc>
        <w:tc>
          <w:tcPr>
            <w:tcW w:type="dxa" w:w="1344"/>
          </w:tcPr>
          <w:p>
            <w:r>
              <w:rPr>
                <w:sz w:val="18"/>
              </w:rPr>
            </w:r>
            <w:r>
              <w:rPr>
                <w:sz w:val="18"/>
              </w:rPr>
              <w:t>Prestación del Servicio</w:t>
            </w:r>
          </w:p>
        </w:tc>
        <w:tc>
          <w:tcPr>
            <w:tcW w:type="dxa" w:w="1344"/>
          </w:tcPr>
          <w:p>
            <w:r>
              <w:rPr>
                <w:sz w:val="18"/>
              </w:rPr>
            </w:r>
            <w:r>
              <w:rPr>
                <w:sz w:val="18"/>
              </w:rPr>
              <w:t>Infracciones penales (reservado)</w:t>
            </w:r>
          </w:p>
        </w:tc>
        <w:tc>
          <w:tcPr>
            <w:tcW w:type="dxa" w:w="1344"/>
          </w:tcPr>
          <w:p>
            <w:r>
              <w:rPr>
                <w:sz w:val="18"/>
              </w:rPr>
            </w:r>
            <w:r>
              <w:rPr>
                <w:sz w:val="18"/>
              </w:rPr>
              <w:t>Imputados, víctimas, testigos</w:t>
            </w:r>
          </w:p>
        </w:tc>
        <w:tc>
          <w:tcPr>
            <w:tcW w:type="dxa" w:w="1344"/>
          </w:tcPr>
          <w:p>
            <w:r>
              <w:rPr>
                <w:sz w:val="18"/>
              </w:rPr>
            </w:r>
            <w:r>
              <w:rPr>
                <w:sz w:val="18"/>
              </w:rPr>
              <w:t>Instrucción del Responsable, Arts. 24-25</w:t>
            </w:r>
          </w:p>
        </w:tc>
        <w:tc>
          <w:tcPr>
            <w:tcW w:type="dxa" w:w="1344"/>
          </w:tcPr>
          <w:p>
            <w:r>
              <w:rPr>
                <w:sz w:val="18"/>
              </w:rPr>
            </w:r>
            <w:r>
              <w:rPr>
                <w:sz w:val="18"/>
              </w:rPr>
              <w:t>Hasta prescripción de la acción/pena</w:t>
            </w:r>
          </w:p>
        </w:tc>
        <w:tc>
          <w:tcPr>
            <w:tcW w:type="dxa" w:w="1344"/>
          </w:tcPr>
          <w:p>
            <w:r>
              <w:rPr>
                <w:sz w:val="18"/>
              </w:rPr>
            </w:r>
            <w:r>
              <w:rPr>
                <w:sz w:val="18"/>
              </w:rPr>
              <w:t>Cifrado reforzado, acceso restringido, sin exportación masiva</w:t>
            </w:r>
          </w:p>
        </w:tc>
      </w:tr>
      <w:tr>
        <w:tc>
          <w:tcPr>
            <w:tcW w:type="dxa" w:w="1344"/>
          </w:tcPr>
          <w:p>
            <w:r>
              <w:rPr>
                <w:sz w:val="18"/>
              </w:rPr>
            </w:r>
            <w:r>
              <w:rPr>
                <w:sz w:val="18"/>
              </w:rPr>
              <w:t>Uso de funcionalidades de IA</w:t>
            </w:r>
          </w:p>
        </w:tc>
        <w:tc>
          <w:tcPr>
            <w:tcW w:type="dxa" w:w="1344"/>
          </w:tcPr>
          <w:p>
            <w:r>
              <w:rPr>
                <w:sz w:val="18"/>
              </w:rPr>
            </w:r>
            <w:r>
              <w:rPr>
                <w:sz w:val="18"/>
              </w:rPr>
              <w:t>Apoyo en análisis/redacción documental</w:t>
            </w:r>
          </w:p>
        </w:tc>
        <w:tc>
          <w:tcPr>
            <w:tcW w:type="dxa" w:w="1344"/>
          </w:tcPr>
          <w:p>
            <w:r>
              <w:rPr>
                <w:sz w:val="18"/>
              </w:rPr>
            </w:r>
            <w:r>
              <w:rPr>
                <w:sz w:val="18"/>
              </w:rPr>
              <w:t>Según documento cargado</w:t>
            </w:r>
          </w:p>
        </w:tc>
        <w:tc>
          <w:tcPr>
            <w:tcW w:type="dxa" w:w="1344"/>
          </w:tcPr>
          <w:p>
            <w:r>
              <w:rPr>
                <w:sz w:val="18"/>
              </w:rPr>
            </w:r>
            <w:r>
              <w:rPr>
                <w:sz w:val="18"/>
              </w:rPr>
              <w:t>Según causa</w:t>
            </w:r>
          </w:p>
        </w:tc>
        <w:tc>
          <w:tcPr>
            <w:tcW w:type="dxa" w:w="1344"/>
          </w:tcPr>
          <w:p>
            <w:r>
              <w:rPr>
                <w:sz w:val="18"/>
              </w:rPr>
            </w:r>
            <w:r>
              <w:rPr>
                <w:sz w:val="18"/>
              </w:rPr>
              <w:t>Instrucción del Responsable</w:t>
            </w:r>
          </w:p>
        </w:tc>
        <w:tc>
          <w:tcPr>
            <w:tcW w:type="dxa" w:w="1344"/>
          </w:tcPr>
          <w:p>
            <w:r>
              <w:rPr>
                <w:sz w:val="18"/>
              </w:rPr>
            </w:r>
            <w:r>
              <w:rPr>
                <w:sz w:val="18"/>
              </w:rPr>
              <w:t>Vigencia del Contrato</w:t>
            </w:r>
          </w:p>
        </w:tc>
        <w:tc>
          <w:tcPr>
            <w:tcW w:type="dxa" w:w="1344"/>
          </w:tcPr>
          <w:p>
            <w:r>
              <w:rPr>
                <w:sz w:val="18"/>
              </w:rPr>
            </w:r>
            <w:r>
              <w:rPr>
                <w:sz w:val="18"/>
              </w:rPr>
              <w:t>Cifrado, procesamiento vía API sin entrenamiento de modelos de terceros</w:t>
            </w:r>
          </w:p>
        </w:tc>
      </w:tr>
    </w:tbl>
    <w:p>
      <w:pPr>
        <w:spacing w:after="80"/>
      </w:pPr>
    </w:p>
    <w:p>
      <w:r>
        <w:br w:type="page"/>
      </w:r>
    </w:p>
    <w:p>
      <w:pPr>
        <w:spacing w:after="80"/>
        <w:jc w:val="center"/>
      </w:pPr>
      <w:r>
        <w:rPr>
          <w:b/>
          <w:color w:val="14254C"/>
          <w:sz w:val="32"/>
        </w:rPr>
        <w:t>ANEXO N° 3</w:t>
      </w:r>
    </w:p>
    <w:p>
      <w:pPr>
        <w:spacing w:after="80"/>
        <w:jc w:val="center"/>
      </w:pPr>
      <w:r>
        <w:rPr>
          <w:b/>
          <w:color w:val="14254C"/>
          <w:sz w:val="32"/>
        </w:rPr>
        <w:t>DESCRIPCIÓN DEL SERVICIO Y CONDICIONES COMERCIALES</w:t>
      </w:r>
    </w:p>
    <w:p>
      <w:pPr>
        <w:pStyle w:val="ListBullet"/>
      </w:pPr>
      <w:r>
        <w:t xml:space="preserve">Plan contratado: </w:t>
      </w:r>
      <w:r>
        <w:rPr>
          <w:b/>
          <w:color w:val="92400E"/>
          <w:highlight w:val="yellow"/>
        </w:rPr>
        <w:t>[Básico / Pro]</w:t>
      </w:r>
    </w:p>
    <w:p>
      <w:pPr>
        <w:pStyle w:val="ListBullet"/>
      </w:pPr>
      <w:r>
        <w:t xml:space="preserve">N° de usuarios habilitados: </w:t>
      </w:r>
      <w:r>
        <w:rPr>
          <w:b/>
          <w:color w:val="92400E"/>
          <w:highlight w:val="yellow"/>
        </w:rPr>
        <w:t>[ ]</w:t>
      </w:r>
    </w:p>
    <w:p>
      <w:pPr>
        <w:pStyle w:val="ListBullet"/>
      </w:pPr>
      <w:r>
        <w:t>Funcionalidades incluidas: gestión de causas, clientes, honorarios, agenda y plazos, documentos, tareas, embudo de prospectos, bitácora de asesoría; plan Pro incluye además Asistente IA (resúmenes ejecutivos y borradores de escritos)</w:t>
      </w:r>
    </w:p>
    <w:p>
      <w:pPr>
        <w:pStyle w:val="ListBullet"/>
      </w:pPr>
      <w:r>
        <w:t>Nivel de servicio (SLA): disponibilidad conforme a la infraestructura del proveedor de hosting (Vercel), sin compromiso contractual de SLA específico salvo que se pacte por escrito</w:t>
      </w:r>
    </w:p>
    <w:p>
      <w:pPr>
        <w:pStyle w:val="ListBullet"/>
      </w:pPr>
      <w:r>
        <w:t>Soporte técnico: contacto@lexcrm.site — WhatsApp +56 9 7971 0838</w:t>
      </w:r>
    </w:p>
    <w:p>
      <w:r>
        <w:br w:type="page"/>
      </w:r>
    </w:p>
    <w:p>
      <w:pPr>
        <w:jc w:val="center"/>
      </w:pPr>
      <w:r>
        <w:rPr>
          <w:i/>
          <w:color w:val="475569"/>
          <w:sz w:val="18"/>
        </w:rPr>
        <w:t>Este documento constituye un modelo de contrato tipo elaborado con fines de referencia. No sustituye la asesoría legal individualizada. Se recomienda su revisión y adaptación por un/a profesional del derecho antes de su suscripción, considerando las particularidades del Proveedor, del Cliente y del servicio efectivamente prestado.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