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4254C"/>
          <w:sz w:val="30"/>
        </w:rPr>
        <w:t>Acta de Designación de Responsable Interno</w:t>
      </w:r>
    </w:p>
    <w:p>
      <w:pPr>
        <w:spacing w:after="400"/>
        <w:jc w:val="center"/>
      </w:pPr>
      <w:r>
        <w:rPr>
          <w:color w:val="475569"/>
          <w:sz w:val="22"/>
        </w:rPr>
        <w:t>de Protección de Datos Personales · Soluciones con IA SpA (LexCRM SpA)</w:t>
      </w:r>
    </w:p>
    <w:p>
      <w:r>
        <w:t>En Concepción, Región del Biobío, Chile, a 14 de julio de 2026.</w:t>
      </w:r>
    </w:p>
    <w:p>
      <w:pPr>
        <w:spacing w:before="280" w:after="120"/>
      </w:pPr>
      <w:r>
        <w:rPr>
          <w:b/>
          <w:color w:val="14254C"/>
          <w:sz w:val="25"/>
        </w:rPr>
        <w:t>Antecedentes</w:t>
      </w:r>
    </w:p>
    <w:p>
      <w:pPr>
        <w:pStyle w:val="ListNumber"/>
      </w:pPr>
      <w:r>
        <w:t>Soluciones con IA SpA, sociedad constituida por escritura de fecha 03 de julio de 2026 ante el Registro Electrónico de Empresas y Sociedades, cuyo objeto social incluye el desarrollo, implementación y comercialización de plataformas de software de gestión empresarial (Artículo Cuarto de los estatutos sociales), opera la plataforma LexCRM, un sistema de gestión legal ofrecido en modalidad SaaS a estudios jurídicos y abogados/as independientes en Chile.</w:t>
      </w:r>
    </w:p>
    <w:p>
      <w:pPr>
        <w:pStyle w:val="ListNumber"/>
      </w:pPr>
      <w:r>
        <w:t>En el marco de la prestación de este servicio, Soluciones con IA SpA trata datos personales de terceros (clientes, contrapartes y demás personas vinculadas a las causas de sus clientes) en calidad de Encargado de Tratamiento, conforme al artículo 15 bis de la Ley N° 21.719.</w:t>
      </w:r>
    </w:p>
    <w:p>
      <w:pPr>
        <w:pStyle w:val="ListNumber"/>
      </w:pPr>
      <w:r>
        <w:t>La Ley N° 21.719 sobre Protección de Datos Personales entra en plena vigencia el 1 de diciembre de 2026, y exige de las organizaciones un modelo de cumplimiento basado en la responsabilidad proactiva (accountability), lo que incluye la designación de una persona responsable de coordinar el programa de cumplimiento.</w:t>
      </w:r>
    </w:p>
    <w:p>
      <w:pPr>
        <w:pStyle w:val="ListNumber"/>
      </w:pPr>
      <w:r>
        <w:t>Conforme al Artículo Sexto de los estatutos sociales, la sociedad es administrada por un Gerente General, cargo que recae en don Emmanuel Alejandro Fernández Sandoval, RUT 15.222.189-4, quien además actúa como representante de la sociedad ante el Servicio de Impuestos Internos y se encuentra premunido, conforme al Artículo Octavo de los estatutos, de amplias facultades de representación y administración.</w:t>
      </w:r>
    </w:p>
    <w:p>
      <w:pPr>
        <w:spacing w:before="280" w:after="120"/>
      </w:pPr>
      <w:r>
        <w:rPr>
          <w:b/>
          <w:color w:val="14254C"/>
          <w:sz w:val="25"/>
        </w:rPr>
        <w:t>Designación</w:t>
      </w:r>
    </w:p>
    <w:p>
      <w:r>
        <w:t>En virtud de lo anterior, se designa formalmente a:</w:t>
      </w:r>
    </w:p>
    <w:p>
      <w:pPr>
        <w:spacing w:before="120" w:after="200"/>
        <w:ind w:left="567"/>
      </w:pPr>
      <w:r>
        <w:rPr>
          <w:i/>
          <w:color w:val="14254C"/>
        </w:rPr>
        <w:t>Emmanuel Alejandro Fernández Sandoval, RUT 15.222.189-4, en su calidad de Gerente General y representante legal de Soluciones con IA SpA,</w:t>
      </w:r>
    </w:p>
    <w:p>
      <w:r>
        <w:t>como Responsable Interno del Programa de Cumplimiento en materia de Protección de Datos Personales de la sociedad y de la plataforma LexCRM.</w:t>
      </w:r>
    </w:p>
    <w:p>
      <w:pPr>
        <w:spacing w:before="280" w:after="120"/>
      </w:pPr>
      <w:r>
        <w:rPr>
          <w:b/>
          <w:color w:val="14254C"/>
          <w:sz w:val="25"/>
        </w:rPr>
        <w:t>Funciones del Responsable Interno</w:t>
      </w:r>
    </w:p>
    <w:p>
      <w:r>
        <w:t>El Responsable Interno tendrá, entre otras, las siguientes funciones:</w:t>
      </w:r>
    </w:p>
    <w:p>
      <w:pPr>
        <w:pStyle w:val="ListNumber"/>
      </w:pPr>
      <w:r>
        <w:t>Coordinar el proceso de adecuación de Soluciones con IA SpA y de la plataforma LexCRM a la Ley N° 21.719.</w:t>
      </w:r>
    </w:p>
    <w:p>
      <w:pPr>
        <w:pStyle w:val="ListNumber"/>
      </w:pPr>
      <w:r>
        <w:t>Mantener actualizado el Registro de Actividades de Tratamiento (RAT) de la sociedad.</w:t>
      </w:r>
    </w:p>
    <w:p>
      <w:pPr>
        <w:pStyle w:val="ListNumber"/>
      </w:pPr>
      <w:r>
        <w:t>Actuar como punto de contacto para las solicitudes de derechos ARSOP-B (acceso, rectificación, supresión, oposición, portabilidad y bloqueo) que formulen los clientes de LexCRM (abogados/as) y, cuando corresponda, los titulares de datos.</w:t>
      </w:r>
    </w:p>
    <w:p>
      <w:pPr>
        <w:pStyle w:val="ListNumber"/>
      </w:pPr>
      <w:r>
        <w:t>Coordinar la respuesta ante incidentes de seguridad, incluida la notificación a los clientes dentro del plazo de 24 horas comprometido contractualmente (Anexo N° 1, cláusula 8.1 del Contrato de Prestación de Servicios de Software y Tratamiento de Datos Personales).</w:t>
      </w:r>
    </w:p>
    <w:p>
      <w:pPr>
        <w:pStyle w:val="ListNumber"/>
      </w:pPr>
      <w:r>
        <w:t>Evaluar y regular la relación con proveedores que actúan como subencargados de tratamiento (Vercel, Turso, Clerk, Resend, Anthropic), manteniendo actualizado el listado correspondiente.</w:t>
      </w:r>
    </w:p>
    <w:p>
      <w:pPr>
        <w:pStyle w:val="ListNumber"/>
      </w:pPr>
      <w:r>
        <w:t>Mantener y custodiar la carpeta digital de cumplimiento de la sociedad.</w:t>
      </w:r>
    </w:p>
    <w:p>
      <w:pPr>
        <w:pStyle w:val="ListNumber"/>
      </w:pPr>
      <w:r>
        <w:t>Revisar y actualizar periódicamente las políticas, procedimientos y demás evidencia de cumplimiento en materia de protección de datos personales.</w:t>
      </w:r>
    </w:p>
    <w:p>
      <w:pPr>
        <w:spacing w:before="280" w:after="120"/>
      </w:pPr>
      <w:r>
        <w:rPr>
          <w:b/>
          <w:color w:val="14254C"/>
          <w:sz w:val="25"/>
        </w:rPr>
        <w:t>Vigencia</w:t>
      </w:r>
    </w:p>
    <w:p>
      <w:r>
        <w:t>La presente designación rige desde esta fecha y se mantendrá vigente mientras el designado conserve la calidad de representante legal de la sociedad, o hasta que se designe formalmente a otra persona en su reemplazo mediante un acta equivalente.</w:t>
      </w:r>
    </w:p>
    <w:p>
      <w:pPr>
        <w:spacing w:before="600"/>
      </w:pPr>
      <w:r>
        <w:rPr>
          <w:b/>
        </w:rPr>
        <w:t>Emmanuel Alejandro Fernández Sandoval</w:t>
      </w:r>
    </w:p>
    <w:p>
      <w:r>
        <w:t>RUT 15.222.189-4</w:t>
      </w:r>
    </w:p>
    <w:p>
      <w:r>
        <w:t>Gerente General — Soluciones con IA SpA</w:t>
      </w:r>
    </w:p>
    <w:p>
      <w:pPr>
        <w:spacing w:before="400"/>
      </w:pPr>
      <w:r>
        <w:t>Firma: ______________________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12" w:lineRule="auto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