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0135" w:rsidRPr="00175DA3" w:rsidRDefault="00AC33E1" w:rsidP="00260135">
      <w:pPr>
        <w:jc w:val="center"/>
        <w:rPr>
          <w:rFonts w:ascii="Times New Roman"/>
          <w:sz w:val="24"/>
        </w:rPr>
      </w:pPr>
      <w:r>
        <w:rPr>
          <w:noProof/>
        </w:rPr>
        <w:drawing>
          <wp:inline distT="0" distB="0" distL="0" distR="0" wp14:anchorId="74254225" wp14:editId="2234200E">
            <wp:extent cx="2040255" cy="1495425"/>
            <wp:effectExtent l="0" t="0" r="0" b="952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stretch>
                      <a:fillRect/>
                    </a:stretch>
                  </pic:blipFill>
                  <pic:spPr>
                    <a:xfrm>
                      <a:off x="0" y="0"/>
                      <a:ext cx="2040255" cy="1495425"/>
                    </a:xfrm>
                    <a:prstGeom prst="rect">
                      <a:avLst/>
                    </a:prstGeom>
                  </pic:spPr>
                </pic:pic>
              </a:graphicData>
            </a:graphic>
          </wp:inline>
        </w:drawing>
      </w:r>
    </w:p>
    <w:p w:rsidR="00260135" w:rsidRPr="00175DA3" w:rsidRDefault="00260135" w:rsidP="00260135">
      <w:pPr>
        <w:tabs>
          <w:tab w:val="center" w:pos="4680"/>
          <w:tab w:val="left" w:pos="8151"/>
        </w:tabs>
        <w:rPr>
          <w:rFonts w:ascii="Times New Roman"/>
          <w:b/>
          <w:sz w:val="24"/>
        </w:rPr>
      </w:pPr>
      <w:r w:rsidRPr="00175DA3">
        <w:rPr>
          <w:rFonts w:ascii="Times New Roman"/>
          <w:b/>
          <w:sz w:val="24"/>
        </w:rPr>
        <w:tab/>
        <w:t>MZUZU UNIVERSITY</w:t>
      </w:r>
      <w:r w:rsidRPr="00175DA3">
        <w:rPr>
          <w:rFonts w:ascii="Times New Roman"/>
          <w:b/>
          <w:sz w:val="24"/>
        </w:rPr>
        <w:tab/>
      </w:r>
    </w:p>
    <w:p w:rsidR="00260135" w:rsidRPr="00175DA3" w:rsidRDefault="00260135" w:rsidP="00260135">
      <w:pPr>
        <w:jc w:val="center"/>
        <w:rPr>
          <w:rFonts w:ascii="Times New Roman"/>
          <w:b/>
          <w:sz w:val="24"/>
        </w:rPr>
      </w:pPr>
      <w:r w:rsidRPr="00175DA3">
        <w:rPr>
          <w:rFonts w:ascii="Times New Roman"/>
          <w:b/>
          <w:sz w:val="24"/>
        </w:rPr>
        <w:t>FACULTY OF SCIENCE, TECHNOLOGY AND INNOVATION</w:t>
      </w:r>
    </w:p>
    <w:p w:rsidR="00260135" w:rsidRPr="00175DA3" w:rsidRDefault="00260135" w:rsidP="00260135">
      <w:pPr>
        <w:jc w:val="center"/>
        <w:rPr>
          <w:rFonts w:ascii="Times New Roman"/>
          <w:b/>
          <w:sz w:val="24"/>
        </w:rPr>
      </w:pPr>
      <w:r w:rsidRPr="00175DA3">
        <w:rPr>
          <w:rFonts w:ascii="Times New Roman"/>
          <w:b/>
          <w:sz w:val="24"/>
        </w:rPr>
        <w:t>DEPARTMENT OF INFORMATION AND COMMUNICATION TECHNOLOGY</w:t>
      </w:r>
    </w:p>
    <w:p w:rsidR="00260135" w:rsidRPr="00175DA3" w:rsidRDefault="00260135" w:rsidP="00260135">
      <w:pPr>
        <w:pBdr>
          <w:bottom w:val="single" w:sz="4" w:space="1" w:color="auto"/>
        </w:pBdr>
        <w:jc w:val="center"/>
        <w:rPr>
          <w:rFonts w:ascii="Times New Roman"/>
          <w:sz w:val="24"/>
        </w:rPr>
      </w:pPr>
    </w:p>
    <w:p w:rsidR="00260135" w:rsidRPr="00175DA3" w:rsidRDefault="00BB3988" w:rsidP="00260135">
      <w:pPr>
        <w:pBdr>
          <w:bottom w:val="none" w:sz="4" w:space="4" w:color="auto"/>
        </w:pBdr>
        <w:rPr>
          <w:rFonts w:ascii="Times New Roman"/>
          <w:sz w:val="24"/>
        </w:rPr>
      </w:pPr>
      <w:r>
        <w:rPr>
          <w:rFonts w:ascii="Times New Roman"/>
          <w:b/>
          <w:sz w:val="24"/>
        </w:rPr>
        <w:t>TO</w:t>
      </w:r>
      <w:r>
        <w:rPr>
          <w:rFonts w:ascii="Times New Roman"/>
          <w:b/>
          <w:sz w:val="24"/>
        </w:rPr>
        <w:tab/>
      </w:r>
      <w:r>
        <w:rPr>
          <w:rFonts w:ascii="Times New Roman"/>
          <w:b/>
          <w:sz w:val="24"/>
        </w:rPr>
        <w:tab/>
      </w:r>
      <w:r>
        <w:rPr>
          <w:rFonts w:ascii="Times New Roman"/>
          <w:b/>
          <w:sz w:val="24"/>
        </w:rPr>
        <w:tab/>
      </w:r>
      <w:r>
        <w:rPr>
          <w:rFonts w:ascii="Times New Roman"/>
          <w:b/>
          <w:sz w:val="24"/>
        </w:rPr>
        <w:tab/>
      </w:r>
      <w:r w:rsidR="00260135" w:rsidRPr="00175DA3">
        <w:rPr>
          <w:rFonts w:ascii="Times New Roman"/>
          <w:b/>
          <w:sz w:val="24"/>
        </w:rPr>
        <w:t>:</w:t>
      </w:r>
      <w:r w:rsidR="00260135" w:rsidRPr="00175DA3">
        <w:rPr>
          <w:rFonts w:ascii="Times New Roman"/>
          <w:b/>
          <w:sz w:val="24"/>
        </w:rPr>
        <w:tab/>
      </w:r>
      <w:r w:rsidR="00F20A30" w:rsidRPr="00175DA3">
        <w:rPr>
          <w:rFonts w:ascii="Times New Roman"/>
          <w:sz w:val="24"/>
        </w:rPr>
        <w:t>MR. W. BANDA</w:t>
      </w:r>
    </w:p>
    <w:p w:rsidR="00260135" w:rsidRPr="00175DA3" w:rsidRDefault="00260135" w:rsidP="00260135">
      <w:pPr>
        <w:pBdr>
          <w:bottom w:val="none" w:sz="4" w:space="4" w:color="auto"/>
        </w:pBdr>
        <w:rPr>
          <w:rFonts w:ascii="Times New Roman"/>
          <w:b/>
          <w:sz w:val="24"/>
        </w:rPr>
      </w:pPr>
    </w:p>
    <w:p w:rsidR="00260135" w:rsidRDefault="00BB3988" w:rsidP="00260135">
      <w:pPr>
        <w:pBdr>
          <w:bottom w:val="none" w:sz="4" w:space="4" w:color="auto"/>
        </w:pBdr>
        <w:rPr>
          <w:rFonts w:ascii="Times New Roman"/>
          <w:sz w:val="24"/>
        </w:rPr>
      </w:pPr>
      <w:r>
        <w:rPr>
          <w:rFonts w:ascii="Times New Roman"/>
          <w:b/>
          <w:sz w:val="24"/>
        </w:rPr>
        <w:t>FROM</w:t>
      </w:r>
      <w:r>
        <w:rPr>
          <w:rFonts w:ascii="Times New Roman"/>
          <w:b/>
          <w:sz w:val="24"/>
        </w:rPr>
        <w:tab/>
      </w:r>
      <w:r>
        <w:rPr>
          <w:rFonts w:ascii="Times New Roman"/>
          <w:b/>
          <w:sz w:val="24"/>
        </w:rPr>
        <w:tab/>
      </w:r>
      <w:r>
        <w:rPr>
          <w:rFonts w:ascii="Times New Roman"/>
          <w:b/>
          <w:sz w:val="24"/>
        </w:rPr>
        <w:tab/>
      </w:r>
      <w:r w:rsidR="00260135" w:rsidRPr="00175DA3">
        <w:rPr>
          <w:rFonts w:ascii="Times New Roman"/>
          <w:b/>
          <w:sz w:val="24"/>
        </w:rPr>
        <w:t xml:space="preserve">: </w:t>
      </w:r>
      <w:r w:rsidR="00260135" w:rsidRPr="00175DA3">
        <w:rPr>
          <w:rFonts w:ascii="Times New Roman"/>
          <w:b/>
          <w:sz w:val="24"/>
        </w:rPr>
        <w:tab/>
      </w:r>
      <w:r w:rsidR="00AC33E1">
        <w:rPr>
          <w:rFonts w:ascii="Times New Roman"/>
          <w:sz w:val="24"/>
        </w:rPr>
        <w:t>GROUP 2 BICTU</w:t>
      </w:r>
    </w:p>
    <w:p w:rsidR="00AC33E1" w:rsidRDefault="00AC33E1" w:rsidP="00260135">
      <w:pPr>
        <w:pBdr>
          <w:bottom w:val="none" w:sz="4" w:space="4" w:color="auto"/>
        </w:pBdr>
        <w:rPr>
          <w:rFonts w:ascii="Times New Roman"/>
          <w:sz w:val="24"/>
        </w:rPr>
      </w:pPr>
      <w:r>
        <w:rPr>
          <w:rFonts w:ascii="Times New Roman"/>
          <w:sz w:val="24"/>
        </w:rPr>
        <w:tab/>
      </w:r>
      <w:r>
        <w:rPr>
          <w:rFonts w:ascii="Times New Roman"/>
          <w:sz w:val="24"/>
        </w:rPr>
        <w:tab/>
      </w:r>
      <w:r>
        <w:rPr>
          <w:rFonts w:ascii="Times New Roman"/>
          <w:sz w:val="24"/>
        </w:rPr>
        <w:tab/>
      </w:r>
      <w:r>
        <w:rPr>
          <w:rFonts w:ascii="Times New Roman"/>
          <w:sz w:val="24"/>
        </w:rPr>
        <w:tab/>
      </w:r>
      <w:r>
        <w:rPr>
          <w:rFonts w:ascii="Times New Roman"/>
          <w:sz w:val="24"/>
        </w:rPr>
        <w:tab/>
      </w:r>
      <w:r>
        <w:rPr>
          <w:rFonts w:ascii="Times New Roman"/>
          <w:sz w:val="24"/>
        </w:rPr>
        <w:tab/>
        <w:t>GEORGE MBEWE (BICTU2822)</w:t>
      </w:r>
    </w:p>
    <w:p w:rsidR="00AC33E1" w:rsidRDefault="00AC33E1" w:rsidP="00260135">
      <w:pPr>
        <w:pBdr>
          <w:bottom w:val="none" w:sz="4" w:space="4" w:color="auto"/>
        </w:pBdr>
        <w:rPr>
          <w:rFonts w:ascii="Times New Roman"/>
          <w:sz w:val="24"/>
        </w:rPr>
      </w:pPr>
      <w:r>
        <w:rPr>
          <w:rFonts w:ascii="Times New Roman"/>
          <w:sz w:val="24"/>
        </w:rPr>
        <w:tab/>
      </w:r>
      <w:r>
        <w:rPr>
          <w:rFonts w:ascii="Times New Roman"/>
          <w:sz w:val="24"/>
        </w:rPr>
        <w:tab/>
      </w:r>
      <w:r>
        <w:rPr>
          <w:rFonts w:ascii="Times New Roman"/>
          <w:sz w:val="24"/>
        </w:rPr>
        <w:tab/>
      </w:r>
      <w:r>
        <w:rPr>
          <w:rFonts w:ascii="Times New Roman"/>
          <w:sz w:val="24"/>
        </w:rPr>
        <w:tab/>
      </w:r>
      <w:r>
        <w:rPr>
          <w:rFonts w:ascii="Times New Roman"/>
          <w:sz w:val="24"/>
        </w:rPr>
        <w:tab/>
      </w:r>
      <w:r>
        <w:rPr>
          <w:rFonts w:ascii="Times New Roman"/>
          <w:sz w:val="24"/>
        </w:rPr>
        <w:tab/>
        <w:t>EMMANUEL MUKUMBWA (BICTU3522</w:t>
      </w:r>
    </w:p>
    <w:p w:rsidR="00AC33E1" w:rsidRDefault="00AC33E1" w:rsidP="00260135">
      <w:pPr>
        <w:pBdr>
          <w:bottom w:val="none" w:sz="4" w:space="4" w:color="auto"/>
        </w:pBdr>
        <w:rPr>
          <w:rFonts w:ascii="Times New Roman"/>
          <w:sz w:val="24"/>
        </w:rPr>
      </w:pPr>
      <w:r>
        <w:rPr>
          <w:rFonts w:ascii="Times New Roman"/>
          <w:sz w:val="24"/>
        </w:rPr>
        <w:tab/>
      </w:r>
      <w:r>
        <w:rPr>
          <w:rFonts w:ascii="Times New Roman"/>
          <w:sz w:val="24"/>
        </w:rPr>
        <w:tab/>
      </w:r>
      <w:r>
        <w:rPr>
          <w:rFonts w:ascii="Times New Roman"/>
          <w:sz w:val="24"/>
        </w:rPr>
        <w:tab/>
      </w:r>
      <w:r>
        <w:rPr>
          <w:rFonts w:ascii="Times New Roman"/>
          <w:sz w:val="24"/>
        </w:rPr>
        <w:tab/>
      </w:r>
      <w:r>
        <w:rPr>
          <w:rFonts w:ascii="Times New Roman"/>
          <w:sz w:val="24"/>
        </w:rPr>
        <w:tab/>
      </w:r>
      <w:r>
        <w:rPr>
          <w:rFonts w:ascii="Times New Roman"/>
          <w:sz w:val="24"/>
        </w:rPr>
        <w:tab/>
        <w:t>GEOFFREY MWANGOMBA (BICTU3822)</w:t>
      </w:r>
    </w:p>
    <w:p w:rsidR="00AC33E1" w:rsidRDefault="00AC33E1" w:rsidP="00260135">
      <w:pPr>
        <w:pBdr>
          <w:bottom w:val="none" w:sz="4" w:space="4" w:color="auto"/>
        </w:pBdr>
        <w:rPr>
          <w:rFonts w:ascii="Times New Roman"/>
          <w:sz w:val="24"/>
        </w:rPr>
      </w:pPr>
      <w:r>
        <w:rPr>
          <w:rFonts w:ascii="Times New Roman"/>
          <w:sz w:val="24"/>
        </w:rPr>
        <w:tab/>
      </w:r>
      <w:r>
        <w:rPr>
          <w:rFonts w:ascii="Times New Roman"/>
          <w:sz w:val="24"/>
        </w:rPr>
        <w:tab/>
      </w:r>
      <w:r>
        <w:rPr>
          <w:rFonts w:ascii="Times New Roman"/>
          <w:sz w:val="24"/>
        </w:rPr>
        <w:tab/>
      </w:r>
      <w:r>
        <w:rPr>
          <w:rFonts w:ascii="Times New Roman"/>
          <w:sz w:val="24"/>
        </w:rPr>
        <w:tab/>
      </w:r>
      <w:r>
        <w:rPr>
          <w:rFonts w:ascii="Times New Roman"/>
          <w:sz w:val="24"/>
        </w:rPr>
        <w:tab/>
      </w:r>
      <w:r>
        <w:rPr>
          <w:rFonts w:ascii="Times New Roman"/>
          <w:sz w:val="24"/>
        </w:rPr>
        <w:tab/>
        <w:t>FAITH MKANDAWIRE (BICTU3222)</w:t>
      </w:r>
    </w:p>
    <w:p w:rsidR="00260135" w:rsidRPr="00175DA3" w:rsidRDefault="00AC33E1" w:rsidP="00260135">
      <w:pPr>
        <w:pBdr>
          <w:bottom w:val="none" w:sz="4" w:space="4" w:color="auto"/>
        </w:pBdr>
        <w:rPr>
          <w:rFonts w:ascii="Times New Roman"/>
          <w:sz w:val="24"/>
        </w:rPr>
      </w:pPr>
      <w:r>
        <w:rPr>
          <w:rFonts w:ascii="Times New Roman"/>
          <w:sz w:val="24"/>
        </w:rPr>
        <w:tab/>
      </w:r>
      <w:r>
        <w:rPr>
          <w:rFonts w:ascii="Times New Roman"/>
          <w:sz w:val="24"/>
        </w:rPr>
        <w:tab/>
      </w:r>
      <w:r>
        <w:rPr>
          <w:rFonts w:ascii="Times New Roman"/>
          <w:sz w:val="24"/>
        </w:rPr>
        <w:tab/>
      </w:r>
      <w:r>
        <w:rPr>
          <w:rFonts w:ascii="Times New Roman"/>
          <w:sz w:val="24"/>
        </w:rPr>
        <w:tab/>
      </w:r>
      <w:r>
        <w:rPr>
          <w:rFonts w:ascii="Times New Roman"/>
          <w:sz w:val="24"/>
        </w:rPr>
        <w:tab/>
      </w:r>
      <w:r>
        <w:rPr>
          <w:rFonts w:ascii="Times New Roman"/>
          <w:sz w:val="24"/>
        </w:rPr>
        <w:tab/>
        <w:t>DYSON BANDA (BICTU0122)</w:t>
      </w:r>
    </w:p>
    <w:p w:rsidR="00260135" w:rsidRPr="00175DA3" w:rsidRDefault="00260135" w:rsidP="00260135">
      <w:pPr>
        <w:pBdr>
          <w:bottom w:val="none" w:sz="4" w:space="4" w:color="auto"/>
        </w:pBdr>
        <w:rPr>
          <w:rFonts w:ascii="Times New Roman"/>
          <w:sz w:val="24"/>
        </w:rPr>
      </w:pPr>
    </w:p>
    <w:p w:rsidR="00260135" w:rsidRPr="00175DA3" w:rsidRDefault="00BB3988" w:rsidP="00260135">
      <w:pPr>
        <w:pBdr>
          <w:bottom w:val="none" w:sz="4" w:space="4" w:color="auto"/>
        </w:pBdr>
        <w:rPr>
          <w:rFonts w:ascii="Times New Roman"/>
          <w:sz w:val="24"/>
        </w:rPr>
      </w:pPr>
      <w:r>
        <w:rPr>
          <w:rFonts w:ascii="Times New Roman"/>
          <w:b/>
          <w:sz w:val="24"/>
        </w:rPr>
        <w:t>PROGRAM OF STUDY</w:t>
      </w:r>
      <w:r>
        <w:rPr>
          <w:rFonts w:ascii="Times New Roman"/>
          <w:b/>
          <w:sz w:val="24"/>
        </w:rPr>
        <w:tab/>
      </w:r>
      <w:r w:rsidR="00260135" w:rsidRPr="00175DA3">
        <w:rPr>
          <w:rFonts w:ascii="Times New Roman"/>
          <w:b/>
          <w:sz w:val="24"/>
        </w:rPr>
        <w:t xml:space="preserve">: </w:t>
      </w:r>
      <w:r w:rsidR="00260135" w:rsidRPr="00175DA3">
        <w:rPr>
          <w:rFonts w:ascii="Times New Roman"/>
          <w:b/>
          <w:sz w:val="24"/>
        </w:rPr>
        <w:tab/>
      </w:r>
      <w:r w:rsidR="00260135" w:rsidRPr="00175DA3">
        <w:rPr>
          <w:rFonts w:ascii="Times New Roman"/>
          <w:sz w:val="24"/>
        </w:rPr>
        <w:t xml:space="preserve">BACHELOR OF SCIENCE IN INFORMATION                    </w:t>
      </w:r>
      <w:r w:rsidR="00260135" w:rsidRPr="00175DA3">
        <w:rPr>
          <w:rFonts w:ascii="Times New Roman"/>
          <w:sz w:val="24"/>
        </w:rPr>
        <w:tab/>
      </w:r>
      <w:r w:rsidR="00260135" w:rsidRPr="00175DA3">
        <w:rPr>
          <w:rFonts w:ascii="Times New Roman"/>
          <w:sz w:val="24"/>
        </w:rPr>
        <w:tab/>
      </w:r>
      <w:r w:rsidR="00260135" w:rsidRPr="00175DA3">
        <w:rPr>
          <w:rFonts w:ascii="Times New Roman"/>
          <w:sz w:val="24"/>
        </w:rPr>
        <w:tab/>
      </w:r>
      <w:r w:rsidR="00260135" w:rsidRPr="00175DA3">
        <w:rPr>
          <w:rFonts w:ascii="Times New Roman"/>
          <w:sz w:val="24"/>
        </w:rPr>
        <w:tab/>
      </w:r>
      <w:r w:rsidR="00260135" w:rsidRPr="00175DA3">
        <w:rPr>
          <w:rFonts w:ascii="Times New Roman"/>
          <w:sz w:val="24"/>
        </w:rPr>
        <w:tab/>
        <w:t xml:space="preserve">   </w:t>
      </w:r>
      <w:r w:rsidR="00260135" w:rsidRPr="00175DA3">
        <w:rPr>
          <w:rFonts w:ascii="Times New Roman"/>
          <w:sz w:val="24"/>
        </w:rPr>
        <w:tab/>
        <w:t>AND COMMUNICATION TECHNOLOGY.</w:t>
      </w:r>
    </w:p>
    <w:p w:rsidR="00260135" w:rsidRPr="00175DA3" w:rsidRDefault="00260135" w:rsidP="00260135">
      <w:pPr>
        <w:pBdr>
          <w:bottom w:val="none" w:sz="4" w:space="4" w:color="auto"/>
        </w:pBdr>
        <w:rPr>
          <w:rFonts w:ascii="Times New Roman"/>
          <w:sz w:val="24"/>
        </w:rPr>
      </w:pPr>
    </w:p>
    <w:p w:rsidR="00260135" w:rsidRPr="00175DA3" w:rsidRDefault="00BB3988" w:rsidP="00260135">
      <w:pPr>
        <w:pBdr>
          <w:bottom w:val="none" w:sz="4" w:space="4" w:color="auto"/>
        </w:pBdr>
        <w:rPr>
          <w:rFonts w:ascii="Times New Roman"/>
          <w:sz w:val="24"/>
        </w:rPr>
      </w:pPr>
      <w:r>
        <w:rPr>
          <w:rFonts w:ascii="Times New Roman"/>
          <w:b/>
          <w:sz w:val="24"/>
        </w:rPr>
        <w:t>COURSE TITLE</w:t>
      </w:r>
      <w:r>
        <w:rPr>
          <w:rFonts w:ascii="Times New Roman"/>
          <w:b/>
          <w:sz w:val="24"/>
        </w:rPr>
        <w:tab/>
      </w:r>
      <w:r>
        <w:rPr>
          <w:rFonts w:ascii="Times New Roman"/>
          <w:b/>
          <w:sz w:val="24"/>
        </w:rPr>
        <w:tab/>
      </w:r>
      <w:r w:rsidR="00260135" w:rsidRPr="00175DA3">
        <w:rPr>
          <w:rFonts w:ascii="Times New Roman"/>
          <w:b/>
          <w:sz w:val="24"/>
        </w:rPr>
        <w:t>:</w:t>
      </w:r>
      <w:r w:rsidR="00260135" w:rsidRPr="00175DA3">
        <w:rPr>
          <w:rFonts w:ascii="Times New Roman"/>
          <w:b/>
          <w:sz w:val="24"/>
        </w:rPr>
        <w:tab/>
      </w:r>
      <w:r w:rsidR="00AC33E1">
        <w:rPr>
          <w:rFonts w:ascii="Times New Roman"/>
          <w:sz w:val="24"/>
        </w:rPr>
        <w:t>BUSINESS MANAGEMENT</w:t>
      </w:r>
    </w:p>
    <w:p w:rsidR="00260135" w:rsidRPr="00175DA3" w:rsidRDefault="00260135" w:rsidP="00260135">
      <w:pPr>
        <w:pBdr>
          <w:bottom w:val="none" w:sz="4" w:space="4" w:color="auto"/>
        </w:pBdr>
        <w:rPr>
          <w:rFonts w:ascii="Times New Roman"/>
          <w:sz w:val="24"/>
        </w:rPr>
      </w:pPr>
    </w:p>
    <w:p w:rsidR="00260135" w:rsidRDefault="00260135" w:rsidP="00260135">
      <w:pPr>
        <w:pBdr>
          <w:bottom w:val="none" w:sz="4" w:space="4" w:color="auto"/>
        </w:pBdr>
        <w:rPr>
          <w:rFonts w:ascii="Times New Roman"/>
          <w:sz w:val="24"/>
        </w:rPr>
      </w:pPr>
      <w:r w:rsidRPr="00175DA3">
        <w:rPr>
          <w:rFonts w:ascii="Times New Roman"/>
          <w:b/>
          <w:sz w:val="24"/>
        </w:rPr>
        <w:t>LEVEL</w:t>
      </w:r>
      <w:r w:rsidR="00AC33E1">
        <w:rPr>
          <w:rFonts w:ascii="Times New Roman"/>
          <w:b/>
          <w:sz w:val="24"/>
        </w:rPr>
        <w:t xml:space="preserve"> &amp; </w:t>
      </w:r>
      <w:r w:rsidR="00AC33E1" w:rsidRPr="00175DA3">
        <w:rPr>
          <w:rFonts w:ascii="Times New Roman"/>
          <w:b/>
          <w:sz w:val="24"/>
        </w:rPr>
        <w:t>SEMESTER</w:t>
      </w:r>
      <w:r w:rsidR="00AC33E1">
        <w:rPr>
          <w:rFonts w:ascii="Times New Roman"/>
          <w:b/>
          <w:sz w:val="24"/>
        </w:rPr>
        <w:tab/>
      </w:r>
      <w:r w:rsidRPr="00175DA3">
        <w:rPr>
          <w:rFonts w:ascii="Times New Roman"/>
          <w:b/>
          <w:sz w:val="24"/>
        </w:rPr>
        <w:t>:</w:t>
      </w:r>
      <w:r w:rsidRPr="00175DA3">
        <w:rPr>
          <w:rFonts w:ascii="Times New Roman"/>
          <w:b/>
          <w:sz w:val="24"/>
        </w:rPr>
        <w:tab/>
      </w:r>
      <w:r w:rsidR="00AC33E1" w:rsidRPr="00BB3988">
        <w:rPr>
          <w:rFonts w:ascii="Times New Roman"/>
          <w:sz w:val="24"/>
        </w:rPr>
        <w:t xml:space="preserve">LEVEL </w:t>
      </w:r>
      <w:r w:rsidRPr="00BB3988">
        <w:rPr>
          <w:rFonts w:ascii="Times New Roman"/>
          <w:sz w:val="24"/>
        </w:rPr>
        <w:t>4</w:t>
      </w:r>
      <w:r w:rsidR="00AC33E1" w:rsidRPr="00BB3988">
        <w:rPr>
          <w:rFonts w:ascii="Times New Roman"/>
          <w:sz w:val="24"/>
        </w:rPr>
        <w:t xml:space="preserve">, </w:t>
      </w:r>
      <w:r w:rsidR="00BB3988" w:rsidRPr="00BB3988">
        <w:rPr>
          <w:rFonts w:ascii="Times New Roman"/>
          <w:sz w:val="24"/>
        </w:rPr>
        <w:t>SEMESTER</w:t>
      </w:r>
      <w:r w:rsidR="00AC33E1" w:rsidRPr="00BB3988">
        <w:rPr>
          <w:rFonts w:ascii="Times New Roman"/>
          <w:sz w:val="24"/>
        </w:rPr>
        <w:t xml:space="preserve"> 8</w:t>
      </w:r>
      <w:r w:rsidRPr="00175DA3">
        <w:rPr>
          <w:rFonts w:ascii="Times New Roman"/>
          <w:b/>
          <w:sz w:val="24"/>
        </w:rPr>
        <w:tab/>
      </w:r>
    </w:p>
    <w:p w:rsidR="00BB3988" w:rsidRPr="00175DA3" w:rsidRDefault="00BB3988" w:rsidP="00260135">
      <w:pPr>
        <w:pBdr>
          <w:bottom w:val="none" w:sz="4" w:space="4" w:color="auto"/>
        </w:pBdr>
        <w:rPr>
          <w:rFonts w:ascii="Times New Roman"/>
          <w:sz w:val="24"/>
        </w:rPr>
      </w:pPr>
    </w:p>
    <w:p w:rsidR="00260135" w:rsidRDefault="00BB3988" w:rsidP="00BB3988">
      <w:pPr>
        <w:pBdr>
          <w:bottom w:val="none" w:sz="4" w:space="4" w:color="auto"/>
        </w:pBdr>
        <w:ind w:left="3060" w:hanging="3060"/>
        <w:rPr>
          <w:rFonts w:ascii="Times New Roman"/>
          <w:sz w:val="24"/>
        </w:rPr>
      </w:pPr>
      <w:r>
        <w:rPr>
          <w:rFonts w:ascii="Times New Roman"/>
          <w:b/>
          <w:sz w:val="24"/>
        </w:rPr>
        <w:t>TASK</w:t>
      </w:r>
      <w:r>
        <w:rPr>
          <w:rFonts w:ascii="Times New Roman"/>
          <w:b/>
          <w:sz w:val="24"/>
        </w:rPr>
        <w:tab/>
      </w:r>
      <w:r w:rsidR="00260135" w:rsidRPr="00175DA3">
        <w:rPr>
          <w:rFonts w:ascii="Times New Roman"/>
          <w:b/>
          <w:sz w:val="24"/>
        </w:rPr>
        <w:t>:</w:t>
      </w:r>
      <w:r w:rsidR="00AC33E1">
        <w:rPr>
          <w:rFonts w:ascii="Times New Roman"/>
          <w:b/>
          <w:sz w:val="24"/>
        </w:rPr>
        <w:t xml:space="preserve"> </w:t>
      </w:r>
      <w:r>
        <w:rPr>
          <w:rFonts w:ascii="Times New Roman"/>
          <w:sz w:val="24"/>
        </w:rPr>
        <w:t xml:space="preserve"> </w:t>
      </w:r>
      <w:r>
        <w:rPr>
          <w:rFonts w:ascii="Times New Roman"/>
          <w:sz w:val="24"/>
        </w:rPr>
        <w:tab/>
      </w:r>
      <w:r w:rsidRPr="00BB3988">
        <w:rPr>
          <w:rFonts w:ascii="Times New Roman"/>
          <w:sz w:val="24"/>
        </w:rPr>
        <w:t>THE FIVE FUNCTIONS OF MANAGEMENT IN AN ICT BUSINESS</w:t>
      </w:r>
    </w:p>
    <w:p w:rsidR="00F20A30" w:rsidRDefault="00BB3988" w:rsidP="00BB3988">
      <w:pPr>
        <w:pBdr>
          <w:bottom w:val="none" w:sz="4" w:space="4" w:color="auto"/>
        </w:pBdr>
        <w:ind w:left="3060" w:hanging="3060"/>
        <w:rPr>
          <w:rFonts w:ascii="Times New Roman"/>
          <w:sz w:val="24"/>
        </w:rPr>
      </w:pPr>
      <w:r>
        <w:rPr>
          <w:rFonts w:ascii="Times New Roman"/>
          <w:b/>
          <w:sz w:val="24"/>
        </w:rPr>
        <w:t xml:space="preserve">DUE DATE </w:t>
      </w:r>
      <w:r>
        <w:rPr>
          <w:rFonts w:ascii="Times New Roman"/>
          <w:b/>
          <w:sz w:val="24"/>
        </w:rPr>
        <w:tab/>
        <w:t xml:space="preserve">: </w:t>
      </w:r>
      <w:r>
        <w:rPr>
          <w:rFonts w:ascii="Times New Roman"/>
          <w:sz w:val="24"/>
        </w:rPr>
        <w:t xml:space="preserve"> </w:t>
      </w:r>
      <w:r>
        <w:rPr>
          <w:rFonts w:ascii="Times New Roman"/>
          <w:sz w:val="24"/>
        </w:rPr>
        <w:tab/>
        <w:t>26</w:t>
      </w:r>
      <w:r w:rsidRPr="00BB3988">
        <w:rPr>
          <w:rFonts w:ascii="Times New Roman"/>
          <w:sz w:val="24"/>
          <w:vertAlign w:val="superscript"/>
        </w:rPr>
        <w:t>TH</w:t>
      </w:r>
      <w:r>
        <w:rPr>
          <w:rFonts w:ascii="Times New Roman"/>
          <w:sz w:val="24"/>
        </w:rPr>
        <w:t xml:space="preserve"> JUNE 2025</w:t>
      </w:r>
    </w:p>
    <w:p w:rsidR="00BB3988" w:rsidRPr="0008205F" w:rsidRDefault="00BB3988" w:rsidP="004F3E9A">
      <w:pPr>
        <w:pStyle w:val="NormalWeb"/>
        <w:spacing w:line="360" w:lineRule="auto"/>
        <w:jc w:val="both"/>
        <w:rPr>
          <w:b/>
        </w:rPr>
      </w:pPr>
      <w:r w:rsidRPr="0008205F">
        <w:rPr>
          <w:b/>
        </w:rPr>
        <w:lastRenderedPageBreak/>
        <w:t>Applying the Five Functions of Management in an ICT Business Venture</w:t>
      </w:r>
    </w:p>
    <w:p w:rsidR="00BB3988" w:rsidRDefault="00BB3988" w:rsidP="004F3E9A">
      <w:pPr>
        <w:pStyle w:val="NormalWeb"/>
        <w:spacing w:line="360" w:lineRule="auto"/>
        <w:jc w:val="both"/>
      </w:pPr>
      <w:r>
        <w:rPr>
          <w:rStyle w:val="Strong"/>
        </w:rPr>
        <w:t>Introduction</w:t>
      </w:r>
    </w:p>
    <w:p w:rsidR="00BB3988" w:rsidRDefault="00BB3988" w:rsidP="004F3E9A">
      <w:pPr>
        <w:pStyle w:val="NormalWeb"/>
        <w:spacing w:line="360" w:lineRule="auto"/>
        <w:jc w:val="both"/>
      </w:pPr>
      <w:r>
        <w:t xml:space="preserve">In today’s hyper-competitive technological landscape, information and communications technology ventures face unique challenges that demand both strategic foresight and operational excellence. The classical functions of management planning, organizing, leading, staffing, and controlling was first articulated by Henri </w:t>
      </w:r>
      <w:proofErr w:type="spellStart"/>
      <w:r>
        <w:t>Fayol</w:t>
      </w:r>
      <w:proofErr w:type="spellEnd"/>
      <w:r>
        <w:t xml:space="preserve"> in 1916 and refined by Koontz and </w:t>
      </w:r>
      <w:proofErr w:type="spellStart"/>
      <w:r>
        <w:t>Weihrich</w:t>
      </w:r>
      <w:proofErr w:type="spellEnd"/>
      <w:r>
        <w:t xml:space="preserve"> in 2010, serve as a timeless blueprint for building resilient and innovative enterprises. For ICT startups, whose lifecycles often unfold at the speed of software release cycles and market disruptions, these interdependent managerial functions become especially critical. Thoughtful application ensures that ventures can marshal limited resources, cultivate specialized talent, foster a cohesive culture of innovation, manage rapid growth, and maintain high standards of quality and security.</w:t>
      </w:r>
    </w:p>
    <w:p w:rsidR="00BB3988" w:rsidRDefault="00BB3988" w:rsidP="004F3E9A">
      <w:pPr>
        <w:pStyle w:val="NormalWeb"/>
        <w:spacing w:line="360" w:lineRule="auto"/>
        <w:jc w:val="both"/>
      </w:pPr>
      <w:r>
        <w:t xml:space="preserve">This essay adopts the example of a hypothetical cloud-based cybersecurity startup, </w:t>
      </w:r>
      <w:proofErr w:type="spellStart"/>
      <w:r>
        <w:t>SecureNimbus</w:t>
      </w:r>
      <w:proofErr w:type="spellEnd"/>
      <w:r>
        <w:t>, to illustrate how each managerial function can be applied in practice. Throughout, we delve into detailed processes, practical tools, and illustrative scenarios, demonstrating how strategic planning lays the groundwork for growth, how thoughtful organizing builds the structural framework, how inspiring leadership galvanizes performance, how deliberate staffing secures essential human capital, and how rigorous controlling sustains accountability and continuous improvement. Only through the harmonious integration of all five functions can ICT ventures navigate uncertainty, drive growth, and achieve sustainable competitive advantage.</w:t>
      </w:r>
    </w:p>
    <w:p w:rsidR="00BB3988" w:rsidRDefault="00BB3988" w:rsidP="004F3E9A">
      <w:pPr>
        <w:pStyle w:val="NormalWeb"/>
        <w:spacing w:line="360" w:lineRule="auto"/>
        <w:jc w:val="both"/>
      </w:pPr>
      <w:r>
        <w:rPr>
          <w:rStyle w:val="Strong"/>
        </w:rPr>
        <w:t>Planning</w:t>
      </w:r>
    </w:p>
    <w:p w:rsidR="00BB3988" w:rsidRDefault="00BB3988" w:rsidP="004F3E9A">
      <w:pPr>
        <w:pStyle w:val="NormalWeb"/>
        <w:spacing w:line="360" w:lineRule="auto"/>
        <w:jc w:val="both"/>
      </w:pPr>
      <w:r>
        <w:t xml:space="preserve">Effective planning begins with a comprehensive analysis of both internal capabilities and external market conditions. </w:t>
      </w:r>
      <w:proofErr w:type="spellStart"/>
      <w:r>
        <w:t>SecureNimbus</w:t>
      </w:r>
      <w:proofErr w:type="spellEnd"/>
      <w:r>
        <w:t xml:space="preserve"> employs SWOT analysis to highlight its strengths such as expertise in machine learning for threat detection and to identify weaknesses including limited brand recognition. Simultaneously, a PESTEL assessment ensures that the venture remains alert to regulatory developments such as GDPR expansions, technological shifts toward zero-trust architectures, and economic cycles that may affect client spending on cybersecurity services. By benchmarking product features, pricing models, and go-to-market strategies of incumbents like </w:t>
      </w:r>
      <w:r>
        <w:lastRenderedPageBreak/>
        <w:t xml:space="preserve">Palo Alto Networks and </w:t>
      </w:r>
      <w:proofErr w:type="spellStart"/>
      <w:r>
        <w:t>CrowdStrike</w:t>
      </w:r>
      <w:proofErr w:type="spellEnd"/>
      <w:r>
        <w:t xml:space="preserve">, </w:t>
      </w:r>
      <w:proofErr w:type="spellStart"/>
      <w:r>
        <w:t>SecureNimbus</w:t>
      </w:r>
      <w:proofErr w:type="spellEnd"/>
      <w:r>
        <w:t xml:space="preserve"> uncovers underserved niches such as automated incident response tailored to retail chains and identifies opportunities for differentiation, for example through a usage-based pricing model that resonates with seasonal businesses (Robbins &amp; Coulter, 2018).</w:t>
      </w:r>
    </w:p>
    <w:p w:rsidR="00BB3988" w:rsidRDefault="00BB3988" w:rsidP="004F3E9A">
      <w:pPr>
        <w:pStyle w:val="NormalWeb"/>
        <w:spacing w:line="360" w:lineRule="auto"/>
        <w:jc w:val="both"/>
      </w:pPr>
      <w:r>
        <w:t xml:space="preserve">Building on this environmental insight, </w:t>
      </w:r>
      <w:proofErr w:type="spellStart"/>
      <w:r>
        <w:t>SecureNimbus</w:t>
      </w:r>
      <w:proofErr w:type="spellEnd"/>
      <w:r>
        <w:t xml:space="preserve"> crafts a compelling vision: a world where every organization, regardless of size, is impervious to cyber threats. Its mission to democratize enterprise-grade cloud security through intelligent, cost-effective solutions provides a rallying point for employees and investors alike. Translating this vision into tangible milestones, the leadership establishes specific, measurable targets: onboarding 150 paying small and medium-sized enterprises within the first twelve months, achieving a monthly recurring revenue of $250,000 by the end of the first year, and reducing average incident response times to under thirty minutes by the close of the second quarter.</w:t>
      </w:r>
    </w:p>
    <w:p w:rsidR="00BB3988" w:rsidRDefault="00BB3988" w:rsidP="004F3E9A">
      <w:pPr>
        <w:pStyle w:val="NormalWeb"/>
        <w:spacing w:line="360" w:lineRule="auto"/>
        <w:jc w:val="both"/>
      </w:pPr>
      <w:r>
        <w:t xml:space="preserve">Resource allocation follows naturally from these goals. Detailed pro forma financial statements project revenue growth, operating expenses, and cash flows under multiple scenarios, ensuring that </w:t>
      </w:r>
      <w:proofErr w:type="spellStart"/>
      <w:r>
        <w:t>SecureNimbus</w:t>
      </w:r>
      <w:proofErr w:type="spellEnd"/>
      <w:r>
        <w:t xml:space="preserve"> maintains an eighteen- to twenty-four-month cash runway before seeking additional funding. Embracing agile principles, the product roadmap is divided into two-week Scrum sprints. Early sprints deliver a minimal viable product featuring real-time threat dashboards and automated alerts, while subsequent cycles incorporate deeper machine learning–driven anomaly detection and incident orchestration workflows (Griffin, 2014). Simultaneously, risk workshops catalog potential disruptions from data breaches and cloud service outages to sudden regulatory changes and map mitigations such as cyber insurance, multi-region failover configurations on AWS, and compliance preparations for ISO 27001 certification. Executives even simulate zero-day vulnerabilities in critical software dependencies to test and refine their incident response protocols, bolstering operational resilience under stress.</w:t>
      </w:r>
    </w:p>
    <w:p w:rsidR="00BB3988" w:rsidRDefault="00BB3988" w:rsidP="004F3E9A">
      <w:pPr>
        <w:pStyle w:val="NormalWeb"/>
        <w:spacing w:line="360" w:lineRule="auto"/>
        <w:jc w:val="both"/>
      </w:pPr>
      <w:r>
        <w:rPr>
          <w:rStyle w:val="Strong"/>
        </w:rPr>
        <w:t>Organizing</w:t>
      </w:r>
    </w:p>
    <w:p w:rsidR="00BB3988" w:rsidRDefault="00BB3988" w:rsidP="004F3E9A">
      <w:pPr>
        <w:pStyle w:val="NormalWeb"/>
        <w:spacing w:line="360" w:lineRule="auto"/>
        <w:jc w:val="both"/>
      </w:pPr>
      <w:r>
        <w:t xml:space="preserve">Translating plans into action requires a thoughtfully designed organizational structure. </w:t>
      </w:r>
      <w:proofErr w:type="spellStart"/>
      <w:r>
        <w:t>SecureNimbus</w:t>
      </w:r>
      <w:proofErr w:type="spellEnd"/>
      <w:r>
        <w:t xml:space="preserve"> adopts a largely flat hierarchy to foster rapid decision-making and cross-team collaboration. Small, cross-functional squads each comprising a product owner, software </w:t>
      </w:r>
      <w:r>
        <w:lastRenderedPageBreak/>
        <w:t>engineers, DevOps specialists, and embedded security analysts report directly to departmental leads such as the CTO for engineering and the COO for operations. This approach minimizes bureaucratic delays and empowers teams to respond swiftly to emerging threats (Daft, 2018).</w:t>
      </w:r>
    </w:p>
    <w:p w:rsidR="00BB3988" w:rsidRDefault="00BB3988" w:rsidP="004F3E9A">
      <w:pPr>
        <w:pStyle w:val="NormalWeb"/>
        <w:spacing w:line="360" w:lineRule="auto"/>
        <w:jc w:val="both"/>
      </w:pPr>
      <w:r>
        <w:t>Clear definitions of roles and responsibilities further strengthen the structure. Detailed job descriptions outline core duties for example, a DevOps engineer is tasked with implementing and maintaining CI/CD pipelines, managing infrastructure as code, and enforcing CIS benchmark compliance. Competency matrices clarify expected skills at junior, mid, and senior levels, guiding both recruitment and performance evaluation. For critical workflows such as vulnerability scanning, patch deployment, and incident response the company employs RACI matrices to designate who is responsible, accountable, consulted, and informed, preventing overlap or gaps in ownership.</w:t>
      </w:r>
    </w:p>
    <w:p w:rsidR="00BB3988" w:rsidRDefault="00BB3988" w:rsidP="004F3E9A">
      <w:pPr>
        <w:pStyle w:val="NormalWeb"/>
        <w:spacing w:line="360" w:lineRule="auto"/>
        <w:jc w:val="both"/>
      </w:pPr>
      <w:r>
        <w:t xml:space="preserve">Allocating physical and technological resources aligns with the startup’s strategic priorities. </w:t>
      </w:r>
      <w:proofErr w:type="spellStart"/>
      <w:r>
        <w:t>SecureNimbus</w:t>
      </w:r>
      <w:proofErr w:type="spellEnd"/>
      <w:r>
        <w:t xml:space="preserve"> provisions servers and storage on cloud platforms under pay-as-you-go agreements, scaling capacity on demand during high-traffic events such as simulated attack drills. The finance team allocates budget lines based on anticipated return on investment: a significant portion for research and development to enhance the platform’s analytical capabilities, a dedicated share for targeted marketing initiatives like webinars at industry conferences, resources for customer success and support staffing, and funds for infrastructure audits and compliance activities (</w:t>
      </w:r>
      <w:proofErr w:type="spellStart"/>
      <w:r>
        <w:t>Zimmerer</w:t>
      </w:r>
      <w:proofErr w:type="spellEnd"/>
      <w:r>
        <w:t xml:space="preserve"> &amp; Scarborough, 2008).</w:t>
      </w:r>
    </w:p>
    <w:p w:rsidR="00BB3988" w:rsidRDefault="00BB3988" w:rsidP="004F3E9A">
      <w:pPr>
        <w:pStyle w:val="NormalWeb"/>
        <w:spacing w:line="360" w:lineRule="auto"/>
        <w:jc w:val="both"/>
      </w:pPr>
      <w:r>
        <w:t xml:space="preserve">Coordination mechanisms ensure seamless collaboration across distributed teams. Slack serves as the instant messaging backbone, Confluence as the repository for documentation, and Jira as the system of record for issue tracking and sprint planning. These integrated platforms provide real-time visibility into project status, while standard operating procedures govern routine activities such as client onboarding workflows and incident triage steps, guaranteeing consistent quality as </w:t>
      </w:r>
      <w:proofErr w:type="spellStart"/>
      <w:r>
        <w:t>SecureNimbus</w:t>
      </w:r>
      <w:proofErr w:type="spellEnd"/>
      <w:r>
        <w:t xml:space="preserve"> scales.</w:t>
      </w:r>
    </w:p>
    <w:p w:rsidR="00BB3988" w:rsidRDefault="00BB3988" w:rsidP="004F3E9A">
      <w:pPr>
        <w:pStyle w:val="NormalWeb"/>
        <w:spacing w:line="360" w:lineRule="auto"/>
        <w:jc w:val="both"/>
      </w:pPr>
      <w:r>
        <w:rPr>
          <w:rStyle w:val="Strong"/>
        </w:rPr>
        <w:t>Leading</w:t>
      </w:r>
    </w:p>
    <w:p w:rsidR="00BB3988" w:rsidRDefault="00BB3988" w:rsidP="004F3E9A">
      <w:pPr>
        <w:pStyle w:val="NormalWeb"/>
        <w:spacing w:line="360" w:lineRule="auto"/>
        <w:jc w:val="both"/>
      </w:pPr>
      <w:r>
        <w:t xml:space="preserve">In a talent-driven ICT venture, leadership shapes not only strategy but also the culture and morale of the organization. At </w:t>
      </w:r>
      <w:proofErr w:type="spellStart"/>
      <w:r>
        <w:t>SecureNimbus</w:t>
      </w:r>
      <w:proofErr w:type="spellEnd"/>
      <w:r>
        <w:t xml:space="preserve">, leadership begins with articulating a compelling vision. </w:t>
      </w:r>
      <w:r>
        <w:lastRenderedPageBreak/>
        <w:t>The CEO acts as a technology evangelist presenting at cybersecurity expos, authoring thought leadership pieces on emerging threats, and demonstrating platform capabilities in live demonstrations. These activities amplify the startup’s mission and galvanize both employees and external stakeholders (</w:t>
      </w:r>
      <w:proofErr w:type="spellStart"/>
      <w:r>
        <w:t>Northouse</w:t>
      </w:r>
      <w:proofErr w:type="spellEnd"/>
      <w:r>
        <w:t>, 2016).</w:t>
      </w:r>
    </w:p>
    <w:p w:rsidR="00BB3988" w:rsidRDefault="00BB3988" w:rsidP="004F3E9A">
      <w:pPr>
        <w:pStyle w:val="NormalWeb"/>
        <w:spacing w:line="360" w:lineRule="auto"/>
        <w:jc w:val="both"/>
      </w:pPr>
      <w:r>
        <w:t xml:space="preserve">Motivation and inspiration extend beyond vision. Borrowing from Google’s famed “20% time” policy, </w:t>
      </w:r>
      <w:proofErr w:type="spellStart"/>
      <w:r>
        <w:t>SecureNimbus</w:t>
      </w:r>
      <w:proofErr w:type="spellEnd"/>
      <w:r>
        <w:t xml:space="preserve"> allows engineers to dedicate ten percent of their work hours to exploratory innovations whether prototyping new machine learning classifiers or experimenting with novel encryption schemes. When these experiments yield promising prototypes, they are prioritized for inclusion in the official product roadmap. Recognition programs celebrate exceptional contributions: each month, an “Incident Response Champion” award honors the engineer or analyst whose swift actions contained a simulated breach, reinforcing a culture of appreciation and healthy competition.</w:t>
      </w:r>
    </w:p>
    <w:p w:rsidR="00BB3988" w:rsidRDefault="00BB3988" w:rsidP="004F3E9A">
      <w:pPr>
        <w:pStyle w:val="NormalWeb"/>
        <w:spacing w:line="360" w:lineRule="auto"/>
        <w:jc w:val="both"/>
      </w:pPr>
      <w:r>
        <w:t xml:space="preserve">Cultivating a strong organizational culture hinges on shared values. </w:t>
      </w:r>
      <w:proofErr w:type="spellStart"/>
      <w:r>
        <w:t>SecureNimbus</w:t>
      </w:r>
      <w:proofErr w:type="spellEnd"/>
      <w:r>
        <w:t xml:space="preserve"> codifies core principles integrity, innovation, customer centricity, and “secure by default” and embeds them into performance reviews, decision criteria, and even hiring processes. Regular culture-building workshops and “lunch &amp; learn” sessions on the latest threat intelligence foster ongoing engagement. Leadership also promotes psychological safety by encouraging open dialogue during retrospectives and internal hackathons; failures are treated as opportunities for learning rather than occasions for blame (Schein, 2010).</w:t>
      </w:r>
    </w:p>
    <w:p w:rsidR="00BB3988" w:rsidRDefault="00BB3988" w:rsidP="004F3E9A">
      <w:pPr>
        <w:pStyle w:val="NormalWeb"/>
        <w:spacing w:line="360" w:lineRule="auto"/>
        <w:jc w:val="both"/>
      </w:pPr>
      <w:r>
        <w:t xml:space="preserve">Decision-making at </w:t>
      </w:r>
      <w:proofErr w:type="spellStart"/>
      <w:r>
        <w:t>SecureNimbus</w:t>
      </w:r>
      <w:proofErr w:type="spellEnd"/>
      <w:r>
        <w:t xml:space="preserve"> balances inclusivity and agility. Major strategy sessions involve representatives from each squad product owners, security analysts, customer success managers ensuring diverse expertise informs the roadmap. Yet when critical security incidents arise, authority shifts to the Security Operations Center manager, who can initiate containment measures immediately without awaiting executive sign-off. This decentralized approach accelerates response times and minimizes potential damage.</w:t>
      </w:r>
    </w:p>
    <w:p w:rsidR="00BB3988" w:rsidRDefault="00BB3988" w:rsidP="004F3E9A">
      <w:pPr>
        <w:pStyle w:val="NormalWeb"/>
        <w:spacing w:line="360" w:lineRule="auto"/>
        <w:jc w:val="both"/>
      </w:pPr>
      <w:r>
        <w:rPr>
          <w:rStyle w:val="Strong"/>
        </w:rPr>
        <w:t>Staffing</w:t>
      </w:r>
    </w:p>
    <w:p w:rsidR="00BB3988" w:rsidRDefault="00BB3988" w:rsidP="004F3E9A">
      <w:pPr>
        <w:pStyle w:val="NormalWeb"/>
        <w:spacing w:line="360" w:lineRule="auto"/>
        <w:jc w:val="both"/>
      </w:pPr>
      <w:r>
        <w:t xml:space="preserve">Securing the right talent at the right time is a strategic imperative for any ICT venture. </w:t>
      </w:r>
      <w:proofErr w:type="spellStart"/>
      <w:r>
        <w:t>SecureNimbus</w:t>
      </w:r>
      <w:proofErr w:type="spellEnd"/>
      <w:r>
        <w:t xml:space="preserve"> begins with a detailed workforce forecast aligned with its product milestones. In </w:t>
      </w:r>
      <w:r>
        <w:lastRenderedPageBreak/>
        <w:t>its first quarter, the startup plans to hire two frontend developers, a data engineer, and a customer support specialist. Subsequent quarters see the recruitment of a machine learning specialist, DevOps engineers, security operations analysts, and other roles critical to platform expansion.</w:t>
      </w:r>
    </w:p>
    <w:p w:rsidR="00BB3988" w:rsidRDefault="00BB3988" w:rsidP="004F3E9A">
      <w:pPr>
        <w:pStyle w:val="NormalWeb"/>
        <w:spacing w:line="360" w:lineRule="auto"/>
        <w:jc w:val="both"/>
      </w:pPr>
      <w:r>
        <w:t xml:space="preserve">Recruitment and selection hinge on a strong employer brand. </w:t>
      </w:r>
      <w:proofErr w:type="spellStart"/>
      <w:r>
        <w:t>SecureNimbus</w:t>
      </w:r>
      <w:proofErr w:type="spellEnd"/>
      <w:r>
        <w:t xml:space="preserve"> maintains an active presence on LinkedIn and GitHub, showcasing hackathon successes and open-source security tools developed by its team. Presence at university career fairs and sponsorship of cybersecurity conferences build a pipeline of promising candidates. Prospective hires undergo a rigorous, multi-stage interview process, including technical coding challenges, behavioral interviews to assess cultural fit, and panel interviews with lead engineers and security analysts (Bass &amp; </w:t>
      </w:r>
      <w:proofErr w:type="spellStart"/>
      <w:r>
        <w:t>Stogdill</w:t>
      </w:r>
      <w:proofErr w:type="spellEnd"/>
      <w:r>
        <w:t>, 1990).</w:t>
      </w:r>
    </w:p>
    <w:p w:rsidR="00BB3988" w:rsidRDefault="00BB3988" w:rsidP="004F3E9A">
      <w:pPr>
        <w:pStyle w:val="NormalWeb"/>
        <w:spacing w:line="360" w:lineRule="auto"/>
        <w:jc w:val="both"/>
      </w:pPr>
      <w:r>
        <w:t xml:space="preserve">Onboarding new employees involves a structured two-week orientation program covering product deep dives, security best practices, and compliance training such as SOC 2 readiness. Each hire is paired with a senior “security champion” mentor for the first three months, facilitating rapid skill acquisition and cultural integration. To retain top performers, </w:t>
      </w:r>
      <w:proofErr w:type="spellStart"/>
      <w:r>
        <w:t>SecureNimbus</w:t>
      </w:r>
      <w:proofErr w:type="spellEnd"/>
      <w:r>
        <w:t xml:space="preserve"> defines clear career progression paths from junior SOC analyst to SOC manager and allocates an annual training budget for industry certifications like CISSP, CEH, and AWS Security Specialty. Quarterly town halls and anonymous pulse surveys provide platforms for feedback, enabling the leadership team to address concerns proactively and maintain high morale.</w:t>
      </w:r>
    </w:p>
    <w:p w:rsidR="00BB3988" w:rsidRDefault="00BB3988" w:rsidP="004F3E9A">
      <w:pPr>
        <w:pStyle w:val="NormalWeb"/>
        <w:spacing w:line="360" w:lineRule="auto"/>
        <w:jc w:val="both"/>
      </w:pPr>
      <w:r>
        <w:t>Succession planning further fortifies the organization against unexpected departures. High potential employees are identified through performance reviews and leadership assessments, and provided with stretch assignments and leadership training. Critical roles such as the head of DevOps have designated backups, ensuring that knowledge transfer and continuity plans are in place before vacancies occur.</w:t>
      </w:r>
    </w:p>
    <w:p w:rsidR="00BB3988" w:rsidRDefault="00BB3988" w:rsidP="004F3E9A">
      <w:pPr>
        <w:pStyle w:val="NormalWeb"/>
        <w:spacing w:line="360" w:lineRule="auto"/>
        <w:jc w:val="both"/>
      </w:pPr>
      <w:r>
        <w:rPr>
          <w:rStyle w:val="Strong"/>
        </w:rPr>
        <w:t>Controlling</w:t>
      </w:r>
    </w:p>
    <w:p w:rsidR="00BB3988" w:rsidRDefault="00BB3988" w:rsidP="004F3E9A">
      <w:pPr>
        <w:pStyle w:val="NormalWeb"/>
        <w:spacing w:line="360" w:lineRule="auto"/>
        <w:jc w:val="both"/>
      </w:pPr>
      <w:r>
        <w:t xml:space="preserve">Maintaining alignment with strategic objectives and ensuring continuous improvement require a robust controlling framework. </w:t>
      </w:r>
      <w:proofErr w:type="spellStart"/>
      <w:r>
        <w:t>SecureNimbus</w:t>
      </w:r>
      <w:proofErr w:type="spellEnd"/>
      <w:r>
        <w:t xml:space="preserve"> establishes both technical and business metrics to guide performance evaluation. Mean time to detect and mean time to respond to security incidents are capped at fifteen and thirty minutes, respectively. Business metrics monthly recurring revenue </w:t>
      </w:r>
      <w:r>
        <w:lastRenderedPageBreak/>
        <w:t xml:space="preserve">growth, customer churn rate under five percent, and customer satisfaction scores above ninety percent, complement these operational measures (Koontz &amp; </w:t>
      </w:r>
      <w:proofErr w:type="spellStart"/>
      <w:r>
        <w:t>Weihrich</w:t>
      </w:r>
      <w:proofErr w:type="spellEnd"/>
      <w:r>
        <w:t>, 2010).</w:t>
      </w:r>
    </w:p>
    <w:p w:rsidR="00BB3988" w:rsidRDefault="00BB3988" w:rsidP="004F3E9A">
      <w:pPr>
        <w:pStyle w:val="NormalWeb"/>
        <w:spacing w:line="360" w:lineRule="auto"/>
        <w:jc w:val="both"/>
      </w:pPr>
      <w:r>
        <w:t xml:space="preserve">Real-time dashboards powered by </w:t>
      </w:r>
      <w:proofErr w:type="spellStart"/>
      <w:r>
        <w:t>Grafana</w:t>
      </w:r>
      <w:proofErr w:type="spellEnd"/>
      <w:r>
        <w:t xml:space="preserve"> and </w:t>
      </w:r>
      <w:proofErr w:type="spellStart"/>
      <w:r>
        <w:t>Datadog</w:t>
      </w:r>
      <w:proofErr w:type="spellEnd"/>
      <w:r>
        <w:t xml:space="preserve"> visualize system health, security event logs, and infrastructure utilization, enabling engineers and executives to spot anomalies immediately. The finance team delivers weekly cash burn and runway reports, highlighting variances from projections and prompting discussions about budget adjustments. Quarterly business reviews assess progress against strategic goals, integrate market feedback, and reprioritize initiatives as needed. After any major incident or system outage, teams conduct blameless post-mortems that focus on identifying root causes and implementing process improvements rather than assigning individual fault (</w:t>
      </w:r>
      <w:proofErr w:type="spellStart"/>
      <w:r>
        <w:t>Booch</w:t>
      </w:r>
      <w:proofErr w:type="spellEnd"/>
      <w:r>
        <w:t xml:space="preserve"> et al, 2005).</w:t>
      </w:r>
    </w:p>
    <w:p w:rsidR="00BB3988" w:rsidRDefault="00BB3988" w:rsidP="004F3E9A">
      <w:pPr>
        <w:pStyle w:val="NormalWeb"/>
        <w:spacing w:line="360" w:lineRule="auto"/>
        <w:jc w:val="both"/>
      </w:pPr>
      <w:r>
        <w:t xml:space="preserve">When performance deviates from targets such as if mean time to respond consistently exceeds thirty minutes </w:t>
      </w:r>
      <w:proofErr w:type="spellStart"/>
      <w:r>
        <w:t>SecureNimbus</w:t>
      </w:r>
      <w:proofErr w:type="spellEnd"/>
      <w:r>
        <w:t xml:space="preserve"> revises its incident response playbooks, invests in AI-driven alert triage, and provides additional staff training. Underperforming marketing channels are reallocated in favor of more effective approaches such as targeted webinars or referral programs. Customer feedback captured through Net Promoter Score surveys and direct interviews feeds back into the product backlog, ensuring that development efforts remain tightly aligned with user needs. Sprint retrospectives reinforce a culture of iterative learning, with each squad identifying successes, shortcomings, and concrete steps for improvement at the close of every two-week cycle.</w:t>
      </w:r>
    </w:p>
    <w:p w:rsidR="00BB3988" w:rsidRDefault="00BB3988" w:rsidP="004F3E9A">
      <w:pPr>
        <w:pStyle w:val="NormalWeb"/>
        <w:spacing w:line="360" w:lineRule="auto"/>
        <w:jc w:val="both"/>
      </w:pPr>
      <w:r>
        <w:rPr>
          <w:rStyle w:val="Strong"/>
        </w:rPr>
        <w:t>Conclusion</w:t>
      </w:r>
    </w:p>
    <w:p w:rsidR="00BB3988" w:rsidRDefault="00BB3988" w:rsidP="004F3E9A">
      <w:pPr>
        <w:pStyle w:val="NormalWeb"/>
        <w:spacing w:line="360" w:lineRule="auto"/>
        <w:jc w:val="both"/>
      </w:pPr>
      <w:r>
        <w:t xml:space="preserve">The interwoven functions of planning, organizing, leading, staffing, and controlling form an integrated management system that enables ICT ventures to transform visionary ideas into operational realities. In the case of </w:t>
      </w:r>
      <w:proofErr w:type="spellStart"/>
      <w:r>
        <w:t>SecureNimbus</w:t>
      </w:r>
      <w:proofErr w:type="spellEnd"/>
      <w:r>
        <w:t>, careful planning established strategic clarity and risk mitigation, organizing built an agile, security-focused structure, inspiring leadership fostered innovation and commitment, deliberate staffing assembled and nurtured critical talent, and rigorous controlling sustained accountability and continuous adaptation. By applying these principles in concert, ICT entrepreneurs can navigate uncertainty with resilience, deliver differentiated value to customers, and achieve sustainable competitive advantage in the ever-evolving digital economy.</w:t>
      </w:r>
    </w:p>
    <w:p w:rsidR="00BB3988" w:rsidRDefault="00BB3988" w:rsidP="004F3E9A">
      <w:pPr>
        <w:pStyle w:val="NormalWeb"/>
        <w:spacing w:before="0" w:beforeAutospacing="0" w:after="0" w:afterAutospacing="0" w:line="360" w:lineRule="auto"/>
        <w:ind w:left="720"/>
        <w:jc w:val="both"/>
      </w:pPr>
      <w:r>
        <w:rPr>
          <w:rStyle w:val="Strong"/>
        </w:rPr>
        <w:lastRenderedPageBreak/>
        <w:t>References</w:t>
      </w:r>
    </w:p>
    <w:p w:rsidR="00BB3988" w:rsidRDefault="00BB3988" w:rsidP="00BB3988">
      <w:pPr>
        <w:pStyle w:val="NormalWeb"/>
        <w:numPr>
          <w:ilvl w:val="0"/>
          <w:numId w:val="19"/>
        </w:numPr>
        <w:spacing w:before="0" w:beforeAutospacing="0" w:after="0" w:afterAutospacing="0" w:line="360" w:lineRule="auto"/>
        <w:jc w:val="both"/>
      </w:pPr>
      <w:r>
        <w:t xml:space="preserve">Bass, B. M., &amp; </w:t>
      </w:r>
      <w:proofErr w:type="spellStart"/>
      <w:r>
        <w:t>Stogdill</w:t>
      </w:r>
      <w:proofErr w:type="spellEnd"/>
      <w:r>
        <w:t xml:space="preserve">, R. M. (1990). </w:t>
      </w:r>
      <w:r>
        <w:rPr>
          <w:rStyle w:val="Emphasis"/>
        </w:rPr>
        <w:t xml:space="preserve">Bass &amp; </w:t>
      </w:r>
      <w:proofErr w:type="spellStart"/>
      <w:r>
        <w:rPr>
          <w:rStyle w:val="Emphasis"/>
        </w:rPr>
        <w:t>Stogdill’s</w:t>
      </w:r>
      <w:proofErr w:type="spellEnd"/>
      <w:r>
        <w:rPr>
          <w:rStyle w:val="Emphasis"/>
        </w:rPr>
        <w:t xml:space="preserve"> handbook of leadership: Theory, research, and managerial applications</w:t>
      </w:r>
      <w:r>
        <w:t xml:space="preserve"> (3rd ed.). Free Press.</w:t>
      </w:r>
    </w:p>
    <w:p w:rsidR="00BB3988" w:rsidRDefault="00BB3988" w:rsidP="00BB3988">
      <w:pPr>
        <w:pStyle w:val="NormalWeb"/>
        <w:numPr>
          <w:ilvl w:val="0"/>
          <w:numId w:val="19"/>
        </w:numPr>
        <w:spacing w:before="0" w:beforeAutospacing="0" w:after="0" w:afterAutospacing="0" w:line="360" w:lineRule="auto"/>
        <w:jc w:val="both"/>
      </w:pPr>
      <w:proofErr w:type="spellStart"/>
      <w:r>
        <w:t>Booch</w:t>
      </w:r>
      <w:proofErr w:type="spellEnd"/>
      <w:r>
        <w:t xml:space="preserve">, G., </w:t>
      </w:r>
      <w:proofErr w:type="spellStart"/>
      <w:r>
        <w:t>Rumbaugh</w:t>
      </w:r>
      <w:proofErr w:type="spellEnd"/>
      <w:r>
        <w:t xml:space="preserve">, J., &amp; Jacobson, I. (2005). </w:t>
      </w:r>
      <w:r>
        <w:rPr>
          <w:rStyle w:val="Emphasis"/>
        </w:rPr>
        <w:t>The unified modeling language user guide</w:t>
      </w:r>
      <w:r>
        <w:t xml:space="preserve"> (2nd ed.). Addison-Wesley.</w:t>
      </w:r>
    </w:p>
    <w:p w:rsidR="00BB3988" w:rsidRDefault="00BB3988" w:rsidP="00BB3988">
      <w:pPr>
        <w:pStyle w:val="NormalWeb"/>
        <w:numPr>
          <w:ilvl w:val="0"/>
          <w:numId w:val="19"/>
        </w:numPr>
        <w:spacing w:before="0" w:beforeAutospacing="0" w:after="0" w:afterAutospacing="0" w:line="360" w:lineRule="auto"/>
        <w:jc w:val="both"/>
      </w:pPr>
      <w:r>
        <w:t xml:space="preserve">Daft, R. L. (2018). </w:t>
      </w:r>
      <w:r>
        <w:rPr>
          <w:rStyle w:val="Emphasis"/>
        </w:rPr>
        <w:t>Management</w:t>
      </w:r>
      <w:r>
        <w:t xml:space="preserve"> (13th ed.). Cengage Learning.</w:t>
      </w:r>
    </w:p>
    <w:p w:rsidR="00BB3988" w:rsidRDefault="00BB3988" w:rsidP="00BB3988">
      <w:pPr>
        <w:pStyle w:val="NormalWeb"/>
        <w:numPr>
          <w:ilvl w:val="0"/>
          <w:numId w:val="19"/>
        </w:numPr>
        <w:spacing w:before="0" w:beforeAutospacing="0" w:after="0" w:afterAutospacing="0" w:line="360" w:lineRule="auto"/>
        <w:jc w:val="both"/>
      </w:pPr>
      <w:proofErr w:type="spellStart"/>
      <w:r>
        <w:t>Fayol</w:t>
      </w:r>
      <w:proofErr w:type="spellEnd"/>
      <w:r>
        <w:t xml:space="preserve">, H. (1916). </w:t>
      </w:r>
      <w:r>
        <w:rPr>
          <w:rStyle w:val="Emphasis"/>
        </w:rPr>
        <w:t xml:space="preserve">Administration </w:t>
      </w:r>
      <w:proofErr w:type="spellStart"/>
      <w:r>
        <w:rPr>
          <w:rStyle w:val="Emphasis"/>
        </w:rPr>
        <w:t>industrielle</w:t>
      </w:r>
      <w:proofErr w:type="spellEnd"/>
      <w:r>
        <w:rPr>
          <w:rStyle w:val="Emphasis"/>
        </w:rPr>
        <w:t xml:space="preserve"> et </w:t>
      </w:r>
      <w:proofErr w:type="spellStart"/>
      <w:r>
        <w:rPr>
          <w:rStyle w:val="Emphasis"/>
        </w:rPr>
        <w:t>générale</w:t>
      </w:r>
      <w:proofErr w:type="spellEnd"/>
      <w:r>
        <w:t xml:space="preserve">. H. </w:t>
      </w:r>
      <w:proofErr w:type="spellStart"/>
      <w:r>
        <w:t>Dunod</w:t>
      </w:r>
      <w:proofErr w:type="spellEnd"/>
      <w:r>
        <w:t xml:space="preserve"> et E. </w:t>
      </w:r>
      <w:proofErr w:type="spellStart"/>
      <w:r>
        <w:t>Pinat</w:t>
      </w:r>
      <w:proofErr w:type="spellEnd"/>
      <w:r>
        <w:t>.</w:t>
      </w:r>
    </w:p>
    <w:p w:rsidR="00BB3988" w:rsidRDefault="00BB3988" w:rsidP="00BB3988">
      <w:pPr>
        <w:pStyle w:val="NormalWeb"/>
        <w:numPr>
          <w:ilvl w:val="0"/>
          <w:numId w:val="19"/>
        </w:numPr>
        <w:spacing w:before="0" w:beforeAutospacing="0" w:after="0" w:afterAutospacing="0" w:line="360" w:lineRule="auto"/>
        <w:jc w:val="both"/>
      </w:pPr>
      <w:r>
        <w:t xml:space="preserve">Griffin, R. W. (2014). </w:t>
      </w:r>
      <w:r>
        <w:rPr>
          <w:rStyle w:val="Emphasis"/>
        </w:rPr>
        <w:t>Management</w:t>
      </w:r>
      <w:r>
        <w:t xml:space="preserve"> (11th ed.). Cengage Learning.</w:t>
      </w:r>
    </w:p>
    <w:p w:rsidR="00BB3988" w:rsidRDefault="00BB3988" w:rsidP="00BB3988">
      <w:pPr>
        <w:pStyle w:val="NormalWeb"/>
        <w:numPr>
          <w:ilvl w:val="0"/>
          <w:numId w:val="19"/>
        </w:numPr>
        <w:spacing w:before="0" w:beforeAutospacing="0" w:after="0" w:afterAutospacing="0" w:line="360" w:lineRule="auto"/>
        <w:jc w:val="both"/>
      </w:pPr>
      <w:r>
        <w:t xml:space="preserve">Koontz, H., &amp; </w:t>
      </w:r>
      <w:proofErr w:type="spellStart"/>
      <w:r>
        <w:t>Weihrich</w:t>
      </w:r>
      <w:proofErr w:type="spellEnd"/>
      <w:r>
        <w:t xml:space="preserve">, H. (2010). </w:t>
      </w:r>
      <w:r>
        <w:rPr>
          <w:rStyle w:val="Emphasis"/>
        </w:rPr>
        <w:t>Essentials of management: An international, innovation, and leadership perspective</w:t>
      </w:r>
      <w:r>
        <w:t xml:space="preserve"> (8th ed.). McGraw Hill Education.</w:t>
      </w:r>
    </w:p>
    <w:p w:rsidR="00BB3988" w:rsidRDefault="00BB3988" w:rsidP="00BB3988">
      <w:pPr>
        <w:pStyle w:val="NormalWeb"/>
        <w:numPr>
          <w:ilvl w:val="0"/>
          <w:numId w:val="19"/>
        </w:numPr>
        <w:spacing w:before="0" w:beforeAutospacing="0" w:after="0" w:afterAutospacing="0" w:line="360" w:lineRule="auto"/>
        <w:jc w:val="both"/>
      </w:pPr>
      <w:proofErr w:type="spellStart"/>
      <w:r>
        <w:t>Northouse</w:t>
      </w:r>
      <w:proofErr w:type="spellEnd"/>
      <w:r>
        <w:t xml:space="preserve">, P. G. (2016). </w:t>
      </w:r>
      <w:r>
        <w:rPr>
          <w:rStyle w:val="Emphasis"/>
        </w:rPr>
        <w:t>Leadership: Theory and practice</w:t>
      </w:r>
      <w:r>
        <w:t xml:space="preserve"> (7th ed.). SAGE Publications.</w:t>
      </w:r>
    </w:p>
    <w:p w:rsidR="00BB3988" w:rsidRDefault="00BB3988" w:rsidP="00BB3988">
      <w:pPr>
        <w:pStyle w:val="NormalWeb"/>
        <w:numPr>
          <w:ilvl w:val="0"/>
          <w:numId w:val="19"/>
        </w:numPr>
        <w:spacing w:before="0" w:beforeAutospacing="0" w:after="0" w:afterAutospacing="0" w:line="360" w:lineRule="auto"/>
        <w:jc w:val="both"/>
      </w:pPr>
      <w:r>
        <w:t xml:space="preserve">Robbins, S. P., &amp; Coulter, M. (2018). </w:t>
      </w:r>
      <w:r>
        <w:rPr>
          <w:rStyle w:val="Emphasis"/>
        </w:rPr>
        <w:t>Management</w:t>
      </w:r>
      <w:r>
        <w:t xml:space="preserve"> (14th ed.). Pearson.</w:t>
      </w:r>
    </w:p>
    <w:p w:rsidR="00BB3988" w:rsidRDefault="00BB3988" w:rsidP="00BB3988">
      <w:pPr>
        <w:pStyle w:val="NormalWeb"/>
        <w:numPr>
          <w:ilvl w:val="0"/>
          <w:numId w:val="19"/>
        </w:numPr>
        <w:spacing w:before="0" w:beforeAutospacing="0" w:after="0" w:afterAutospacing="0" w:line="360" w:lineRule="auto"/>
        <w:jc w:val="both"/>
      </w:pPr>
      <w:r>
        <w:t xml:space="preserve">Schein, E. H. (2010). </w:t>
      </w:r>
      <w:r>
        <w:rPr>
          <w:rStyle w:val="Emphasis"/>
        </w:rPr>
        <w:t>Organizational culture and leadership</w:t>
      </w:r>
      <w:r>
        <w:t xml:space="preserve"> (4th ed.). </w:t>
      </w:r>
      <w:proofErr w:type="spellStart"/>
      <w:r>
        <w:t>Jossey</w:t>
      </w:r>
      <w:proofErr w:type="spellEnd"/>
      <w:r>
        <w:t>-Bass.</w:t>
      </w:r>
    </w:p>
    <w:p w:rsidR="00BB3988" w:rsidRDefault="00BB3988" w:rsidP="00BB3988">
      <w:pPr>
        <w:pStyle w:val="NormalWeb"/>
        <w:numPr>
          <w:ilvl w:val="0"/>
          <w:numId w:val="19"/>
        </w:numPr>
        <w:spacing w:before="0" w:beforeAutospacing="0" w:after="0" w:afterAutospacing="0" w:line="360" w:lineRule="auto"/>
        <w:jc w:val="both"/>
      </w:pPr>
      <w:proofErr w:type="spellStart"/>
      <w:r>
        <w:t>Zimmerer</w:t>
      </w:r>
      <w:proofErr w:type="spellEnd"/>
      <w:r>
        <w:t xml:space="preserve">, T. W., &amp; Scarborough, N. M. (2008). </w:t>
      </w:r>
      <w:r>
        <w:rPr>
          <w:rStyle w:val="Emphasis"/>
        </w:rPr>
        <w:t>Essentials of entrepreneurship and small business management</w:t>
      </w:r>
      <w:r>
        <w:t xml:space="preserve"> (5th ed.). Pearson.</w:t>
      </w:r>
    </w:p>
    <w:p w:rsidR="00BB3988" w:rsidRDefault="00BB3988" w:rsidP="004F3E9A">
      <w:pPr>
        <w:spacing w:after="0" w:line="360" w:lineRule="auto"/>
        <w:jc w:val="both"/>
      </w:pPr>
    </w:p>
    <w:p w:rsidR="00BB3988" w:rsidRPr="00BB3988" w:rsidRDefault="00BB3988" w:rsidP="00BB3988">
      <w:pPr>
        <w:pBdr>
          <w:bottom w:val="none" w:sz="4" w:space="4" w:color="auto"/>
        </w:pBdr>
        <w:ind w:left="3060" w:hanging="3060"/>
        <w:rPr>
          <w:rFonts w:ascii="Times New Roman"/>
          <w:sz w:val="24"/>
        </w:rPr>
      </w:pPr>
      <w:bookmarkStart w:id="0" w:name="_GoBack"/>
      <w:bookmarkEnd w:id="0"/>
    </w:p>
    <w:sectPr w:rsidR="00BB3988" w:rsidRPr="00BB39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1754D"/>
    <w:multiLevelType w:val="multilevel"/>
    <w:tmpl w:val="B8FE8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533E0"/>
    <w:multiLevelType w:val="multilevel"/>
    <w:tmpl w:val="BB8A2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366053"/>
    <w:multiLevelType w:val="multilevel"/>
    <w:tmpl w:val="53A2F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0071F1"/>
    <w:multiLevelType w:val="multilevel"/>
    <w:tmpl w:val="ED0C7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331F7D"/>
    <w:multiLevelType w:val="multilevel"/>
    <w:tmpl w:val="8926E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267C85"/>
    <w:multiLevelType w:val="multilevel"/>
    <w:tmpl w:val="C0680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762BD7"/>
    <w:multiLevelType w:val="multilevel"/>
    <w:tmpl w:val="3252F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1C0F5E"/>
    <w:multiLevelType w:val="multilevel"/>
    <w:tmpl w:val="8124C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026967"/>
    <w:multiLevelType w:val="hybridMultilevel"/>
    <w:tmpl w:val="D6260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C66586"/>
    <w:multiLevelType w:val="multilevel"/>
    <w:tmpl w:val="05A4A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7D035D"/>
    <w:multiLevelType w:val="multilevel"/>
    <w:tmpl w:val="7604F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15753E"/>
    <w:multiLevelType w:val="hybridMultilevel"/>
    <w:tmpl w:val="4956CA68"/>
    <w:lvl w:ilvl="0" w:tplc="AA46BB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6838ED"/>
    <w:multiLevelType w:val="multilevel"/>
    <w:tmpl w:val="4F968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B0023E"/>
    <w:multiLevelType w:val="multilevel"/>
    <w:tmpl w:val="5BFC3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B3352C"/>
    <w:multiLevelType w:val="multilevel"/>
    <w:tmpl w:val="0AF0F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592F47"/>
    <w:multiLevelType w:val="multilevel"/>
    <w:tmpl w:val="F67CB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B920ED"/>
    <w:multiLevelType w:val="multilevel"/>
    <w:tmpl w:val="BF548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91574B"/>
    <w:multiLevelType w:val="multilevel"/>
    <w:tmpl w:val="30522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ED3EEA"/>
    <w:multiLevelType w:val="multilevel"/>
    <w:tmpl w:val="C7A22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4"/>
  </w:num>
  <w:num w:numId="3">
    <w:abstractNumId w:val="3"/>
  </w:num>
  <w:num w:numId="4">
    <w:abstractNumId w:val="5"/>
  </w:num>
  <w:num w:numId="5">
    <w:abstractNumId w:val="10"/>
  </w:num>
  <w:num w:numId="6">
    <w:abstractNumId w:val="2"/>
  </w:num>
  <w:num w:numId="7">
    <w:abstractNumId w:val="12"/>
  </w:num>
  <w:num w:numId="8">
    <w:abstractNumId w:val="16"/>
  </w:num>
  <w:num w:numId="9">
    <w:abstractNumId w:val="4"/>
  </w:num>
  <w:num w:numId="10">
    <w:abstractNumId w:val="15"/>
  </w:num>
  <w:num w:numId="11">
    <w:abstractNumId w:val="13"/>
  </w:num>
  <w:num w:numId="12">
    <w:abstractNumId w:val="18"/>
  </w:num>
  <w:num w:numId="13">
    <w:abstractNumId w:val="17"/>
  </w:num>
  <w:num w:numId="14">
    <w:abstractNumId w:val="0"/>
  </w:num>
  <w:num w:numId="15">
    <w:abstractNumId w:val="1"/>
  </w:num>
  <w:num w:numId="16">
    <w:abstractNumId w:val="6"/>
  </w:num>
  <w:num w:numId="17">
    <w:abstractNumId w:val="9"/>
  </w:num>
  <w:num w:numId="18">
    <w:abstractNumId w:val="11"/>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4BF"/>
    <w:rsid w:val="00152722"/>
    <w:rsid w:val="00175DA3"/>
    <w:rsid w:val="00260135"/>
    <w:rsid w:val="00554E9C"/>
    <w:rsid w:val="00714410"/>
    <w:rsid w:val="00782CA9"/>
    <w:rsid w:val="009D54BF"/>
    <w:rsid w:val="009F2B04"/>
    <w:rsid w:val="00AC33E1"/>
    <w:rsid w:val="00BB3988"/>
    <w:rsid w:val="00C27D8C"/>
    <w:rsid w:val="00DC6097"/>
    <w:rsid w:val="00DF36BC"/>
    <w:rsid w:val="00E7165F"/>
    <w:rsid w:val="00F20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E6B23"/>
  <w15:chartTrackingRefBased/>
  <w15:docId w15:val="{1D27B38C-A598-4EB5-89D1-180D9EBBB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20A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20A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20A30"/>
    <w:rPr>
      <w:b/>
      <w:bCs/>
    </w:rPr>
  </w:style>
  <w:style w:type="paragraph" w:styleId="ListParagraph">
    <w:name w:val="List Paragraph"/>
    <w:basedOn w:val="Normal"/>
    <w:uiPriority w:val="34"/>
    <w:qFormat/>
    <w:rsid w:val="00F20A30"/>
    <w:pPr>
      <w:ind w:left="720"/>
      <w:contextualSpacing/>
    </w:pPr>
  </w:style>
  <w:style w:type="table" w:styleId="TableGridLight">
    <w:name w:val="Grid Table Light"/>
    <w:basedOn w:val="TableNormal"/>
    <w:uiPriority w:val="40"/>
    <w:rsid w:val="00F20A3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fontstyle01">
    <w:name w:val="fontstyle01"/>
    <w:basedOn w:val="DefaultParagraphFont"/>
    <w:rsid w:val="00F20A30"/>
    <w:rPr>
      <w:rFonts w:ascii="Times New Roman" w:hAnsi="Times New Roman" w:cs="Times New Roman" w:hint="default"/>
      <w:b/>
      <w:bCs/>
      <w:i w:val="0"/>
      <w:iCs w:val="0"/>
      <w:color w:val="000000"/>
      <w:sz w:val="24"/>
      <w:szCs w:val="24"/>
    </w:rPr>
  </w:style>
  <w:style w:type="character" w:customStyle="1" w:styleId="fontstyle11">
    <w:name w:val="fontstyle11"/>
    <w:basedOn w:val="DefaultParagraphFont"/>
    <w:rsid w:val="00F20A30"/>
    <w:rPr>
      <w:rFonts w:ascii="Times New Roman" w:hAnsi="Times New Roman" w:cs="Times New Roman" w:hint="default"/>
      <w:b w:val="0"/>
      <w:bCs w:val="0"/>
      <w:i w:val="0"/>
      <w:iCs w:val="0"/>
      <w:color w:val="000000"/>
      <w:sz w:val="24"/>
      <w:szCs w:val="24"/>
    </w:rPr>
  </w:style>
  <w:style w:type="character" w:customStyle="1" w:styleId="fontstyle31">
    <w:name w:val="fontstyle31"/>
    <w:basedOn w:val="DefaultParagraphFont"/>
    <w:rsid w:val="00F20A30"/>
    <w:rPr>
      <w:rFonts w:ascii="Times New Roman" w:hAnsi="Times New Roman" w:cs="Times New Roman" w:hint="default"/>
      <w:b w:val="0"/>
      <w:bCs w:val="0"/>
      <w:i/>
      <w:iCs/>
      <w:color w:val="000000"/>
      <w:sz w:val="24"/>
      <w:szCs w:val="24"/>
    </w:rPr>
  </w:style>
  <w:style w:type="character" w:customStyle="1" w:styleId="fontstyle41">
    <w:name w:val="fontstyle41"/>
    <w:basedOn w:val="DefaultParagraphFont"/>
    <w:rsid w:val="00F20A30"/>
    <w:rPr>
      <w:rFonts w:ascii="Calibri" w:hAnsi="Calibri" w:cs="Calibri" w:hint="default"/>
      <w:b w:val="0"/>
      <w:bCs w:val="0"/>
      <w:i w:val="0"/>
      <w:iCs w:val="0"/>
      <w:color w:val="000000"/>
      <w:sz w:val="22"/>
      <w:szCs w:val="22"/>
    </w:rPr>
  </w:style>
  <w:style w:type="character" w:customStyle="1" w:styleId="fontstyle51">
    <w:name w:val="fontstyle51"/>
    <w:basedOn w:val="DefaultParagraphFont"/>
    <w:rsid w:val="00F20A30"/>
    <w:rPr>
      <w:rFonts w:ascii="Calibri" w:hAnsi="Calibri" w:cs="Calibri" w:hint="default"/>
      <w:b/>
      <w:bCs/>
      <w:i w:val="0"/>
      <w:iCs w:val="0"/>
      <w:color w:val="000000"/>
      <w:sz w:val="22"/>
      <w:szCs w:val="22"/>
    </w:rPr>
  </w:style>
  <w:style w:type="character" w:customStyle="1" w:styleId="Heading1Char">
    <w:name w:val="Heading 1 Char"/>
    <w:basedOn w:val="DefaultParagraphFont"/>
    <w:link w:val="Heading1"/>
    <w:uiPriority w:val="9"/>
    <w:rsid w:val="00F20A3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F20A30"/>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F20A30"/>
    <w:pPr>
      <w:outlineLvl w:val="9"/>
    </w:pPr>
  </w:style>
  <w:style w:type="paragraph" w:styleId="TOC1">
    <w:name w:val="toc 1"/>
    <w:basedOn w:val="Normal"/>
    <w:next w:val="Normal"/>
    <w:autoRedefine/>
    <w:uiPriority w:val="39"/>
    <w:unhideWhenUsed/>
    <w:rsid w:val="00F20A30"/>
    <w:pPr>
      <w:spacing w:after="100"/>
    </w:pPr>
  </w:style>
  <w:style w:type="paragraph" w:styleId="TOC2">
    <w:name w:val="toc 2"/>
    <w:basedOn w:val="Normal"/>
    <w:next w:val="Normal"/>
    <w:autoRedefine/>
    <w:uiPriority w:val="39"/>
    <w:unhideWhenUsed/>
    <w:rsid w:val="00F20A30"/>
    <w:pPr>
      <w:spacing w:after="100"/>
      <w:ind w:left="220"/>
    </w:pPr>
  </w:style>
  <w:style w:type="character" w:styleId="Hyperlink">
    <w:name w:val="Hyperlink"/>
    <w:basedOn w:val="DefaultParagraphFont"/>
    <w:uiPriority w:val="99"/>
    <w:unhideWhenUsed/>
    <w:rsid w:val="00F20A30"/>
    <w:rPr>
      <w:color w:val="0563C1" w:themeColor="hyperlink"/>
      <w:u w:val="single"/>
    </w:rPr>
  </w:style>
  <w:style w:type="paragraph" w:styleId="NormalWeb">
    <w:name w:val="Normal (Web)"/>
    <w:basedOn w:val="Normal"/>
    <w:uiPriority w:val="99"/>
    <w:semiHidden/>
    <w:unhideWhenUsed/>
    <w:rsid w:val="00BB398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B398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CEA7D9C-FB02-4B81-916C-81DB04132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2365</Words>
  <Characters>13484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Jum-lat</dc:creator>
  <cp:keywords/>
  <dc:description/>
  <cp:lastModifiedBy>DayeeDy</cp:lastModifiedBy>
  <cp:revision>2</cp:revision>
  <dcterms:created xsi:type="dcterms:W3CDTF">2025-06-20T15:25:00Z</dcterms:created>
  <dcterms:modified xsi:type="dcterms:W3CDTF">2025-06-20T15:25:00Z</dcterms:modified>
</cp:coreProperties>
</file>