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0" w:after="240"/>
        <w:jc w:val="center"/>
        <w:rPr>
          <w:smallCaps w:val="0"/>
          <w:sz w:val="24"/>
          <w:szCs w:val="24"/>
          <w:vertAlign w:val="baseline"/>
        </w:rPr>
      </w:pPr>
      <w:r/>
      <w:r>
        <w:rPr>
          <w:rFonts w:ascii="Times New Roman" w:hAnsi="Times New Roman"/>
          <w:b/>
          <w:i w:val="0"/>
          <w:color w:val="000000"/>
          <w:sz w:val="28"/>
        </w:rPr>
        <w:t>GEOAI-DRIVEN PRECISION HEALTH CLASSIFICATION AND VARIABLE-RATE NITROGEN PRESCRIBING IN GHANA USING A 1D-CNN AND SPATIAL BLOCK CROSS-VALIDATION</w:t>
      </w:r>
    </w:p>
    <w:p w:rsidR="00000000" w:rsidDel="00000000" w:rsidP="00000000" w:rsidRDefault="00000000" w:rsidRPr="00000000" w14:paraId="00000002">
      <w:pPr>
        <w:jc w:val="center"/>
        <w:rPr>
          <w:vertAlign w:val="baseline"/>
        </w:rPr>
      </w:pPr>
      <w:r w:rsidDel="00000000" w:rsidR="00000000" w:rsidRPr="00000000">
        <w:rPr>
          <w:rtl w:val="0"/>
        </w:rPr>
      </w:r>
    </w:p>
    <w:p w:rsidR="00000000" w:rsidDel="00000000" w:rsidP="00000000" w:rsidRDefault="00000000" w:rsidRPr="00000000" w14:paraId="00000003">
      <w:pPr>
        <w:spacing w:before="120" w:after="80"/>
        <w:jc w:val="center"/>
        <w:rPr>
          <w:i w:val="0"/>
          <w:iCs w:val="0"/>
          <w:vertAlign w:val="baseline"/>
        </w:rPr>
      </w:pPr>
      <w:r/>
      <w:r>
        <w:rPr>
          <w:rFonts w:ascii="Times New Roman" w:hAnsi="Times New Roman"/>
          <w:b/>
          <w:i w:val="0"/>
          <w:color w:val="000000"/>
          <w:sz w:val="22"/>
        </w:rPr>
        <w:t>Emmanuel Yerbo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
        <w:rPr>
          <w:rFonts w:ascii="Times New Roman" w:hAnsi="Times New Roman"/>
          <w:b w:val="0"/>
          <w:i/>
          <w:color w:val="000000"/>
          <w:sz w:val="20"/>
        </w:rPr>
        <w:t>Department of Geography and Regional Planning, University of Cape Coast, Cape Coast, Ghana</w:t>
        <w:br/>
        <w:t>Email: emmanuel.yerbo@ucc.edu.gh</w:t>
      </w:r>
    </w:p>
    <w:p w:rsidR="00000000" w:rsidDel="00000000" w:rsidP="00000000" w:rsidRDefault="00000000" w:rsidRPr="00000000" w14:paraId="00000006">
      <w:pPr>
        <w:jc w:val="center"/>
        <w:rPr>
          <w:sz w:val="20"/>
          <w:szCs w:val="20"/>
          <w:vertAlign w:val="baseline"/>
        </w:rPr>
        <w:sectPr>
          <w:pgSz w:h="15840" w:w="12240" w:orient="portrait"/>
          <w:pgMar w:bottom="1411" w:top="1985" w:left="1080" w:right="1080" w:header="720" w:footer="720"/>
          <w:pgNumType w:start="1"/>
        </w:sectPr>
      </w:pPr>
      <w:r w:rsidDel="00000000" w:rsidR="00000000" w:rsidRPr="00000000">
        <w:rPr>
          <w:rtl w:val="0"/>
        </w:rPr>
      </w:r>
    </w:p>
    <w:p>
      <w:pPr>
        <w:spacing w:before="0" w:after="120"/>
        <w:jc w:val="center"/>
      </w:pPr>
      <w:r>
        <w:rPr>
          <w:rFonts w:ascii="Times New Roman" w:hAnsi="Times New Roman"/>
          <w:b/>
          <w:i w:val="0"/>
          <w:color w:val="000000"/>
          <w:sz w:val="20"/>
        </w:rPr>
        <w:t>ABSTRACT</w:t>
      </w:r>
    </w:p>
    <w:p>
      <w:pPr>
        <w:spacing w:before="0" w:after="240"/>
        <w:jc w:val="both"/>
      </w:pPr>
      <w:r>
        <w:rPr>
          <w:rFonts w:ascii="Times New Roman" w:hAnsi="Times New Roman"/>
          <w:b w:val="0"/>
          <w:i w:val="0"/>
          <w:color w:val="000000"/>
          <w:sz w:val="20"/>
        </w:rPr>
        <w:t>Precision agriculture is underutilized in sub-Saharan Africa due to spatial model overfitting and high diagnostic costs. We address this by presenting a geospatial artificial intelligence (GeoAI) pipeline for localized vegetation health mapping and variable-rate nitrogen (N) prescribing in Prestea Huni-Valley, Ghana. We trained a lightweight one-dimensional convolutional neural network (1D-CNN) on Sentinel-2 imagery using a 14-feature stack. To eliminate spatial autocorrelation bias, a 0.01° (~1.1 km) Spatial Block Cross-Validation framework was implemented, achieving 98.7% test accuracy. Mapping revealed a 370.31 km² contraction of healthy vegetation and a 61.10 km² expansion of bare soil between 2024 and 2025, driven by illegal gold mining. An NDRE-modulated variable-rate application model projected a 19.5% reduction in nitrogen fertilizer requirements, saving 4.02 million kg of N across 172,334 hectares. This demonstrates GeoAI's potential to optimize agricultural inputs while mitigating environmental runoff.</w:t>
      </w:r>
    </w:p>
    <w:p>
      <w:pPr>
        <w:spacing w:before="0" w:after="720"/>
        <w:jc w:val="both"/>
      </w:pPr>
      <w:r>
        <w:rPr>
          <w:rFonts w:ascii="Times New Roman" w:hAnsi="Times New Roman"/>
          <w:b/>
          <w:i w:val="0"/>
          <w:color w:val="000000"/>
          <w:sz w:val="20"/>
        </w:rPr>
        <w:t xml:space="preserve">Index Terms— </w:t>
      </w:r>
      <w:r>
        <w:rPr>
          <w:rFonts w:ascii="Times New Roman" w:hAnsi="Times New Roman"/>
          <w:b w:val="0"/>
          <w:i/>
          <w:color w:val="000000"/>
          <w:sz w:val="20"/>
        </w:rPr>
        <w:t>GeoAI, 1D-CNN, Spatial Block Cross-Validation, Variable-Rate Application, Ghana</w:t>
      </w:r>
    </w:p>
    <w:p>
      <w:pPr>
        <w:spacing w:before="240" w:after="240"/>
        <w:jc w:val="center"/>
      </w:pPr>
      <w:r>
        <w:rPr>
          <w:rFonts w:ascii="Times New Roman" w:hAnsi="Times New Roman"/>
          <w:b/>
          <w:i w:val="0"/>
          <w:color w:val="000000"/>
          <w:sz w:val="20"/>
        </w:rPr>
        <w:t>1. INTRODUCTION</w:t>
      </w:r>
    </w:p>
    <w:p>
      <w:pPr>
        <w:spacing w:before="0" w:after="120" w:line="240" w:lineRule="auto"/>
        <w:jc w:val="both"/>
      </w:pPr>
      <w:r>
        <w:rPr>
          <w:rFonts w:ascii="Times New Roman" w:hAnsi="Times New Roman"/>
          <w:b w:val="0"/>
          <w:i w:val="0"/>
          <w:color w:val="000000"/>
          <w:sz w:val="20"/>
        </w:rPr>
        <w:t>Smallholder agriculture represents the backbone of West African economies, employing over 60% of the rural workforce and accounting for a significant proportion of regional food production. In Ghana, agricultural productivity remains constrained by soil degradation, nutrient depletion, and inefficient input distribution systems. Traditional blanket fertilizer recommendations—typically prescribing uniform application rates across heterogeneous landscapes—lead to both agronomic underperformance and unnecessary environmental degradation. Over-application of nitrogen (N) fertilizer in ecologically sensitive zones accelerates nutrient runoff into major river systems, compounding the existing ecological stress caused by commercial and artisanal gold mining activities. Conversely, under-application in nutrient-depleted soils limits crop yields, trapping smallholders in cycles of low productivity and economic vulnerability.</w:t>
      </w:r>
    </w:p>
    <w:p>
      <w:pPr>
        <w:spacing w:before="0" w:after="120" w:line="240" w:lineRule="auto"/>
        <w:ind w:firstLine="360"/>
        <w:jc w:val="both"/>
      </w:pPr>
      <w:r>
        <w:rPr>
          <w:rFonts w:ascii="Times New Roman" w:hAnsi="Times New Roman"/>
          <w:b w:val="0"/>
          <w:i w:val="0"/>
          <w:color w:val="000000"/>
          <w:sz w:val="20"/>
        </w:rPr>
        <w:t>Geospatial Artificial Intelligence (GeoAI) and Earth Observation (EO) technologies offer a viable framework to transition from blanket management to localized precision agriculture. Sentinel-2 multispectral satellite imagery, with its high spatial resolution (10–20 m) and strategic red-edge spectral bands, enables cost-effective, high-frequency vegetation health monitoring. However, deploying machine learning and deep learning models to remote sensing data in tropical developing regions presents significant methodological challenges. The primary obstacle is spatial autocorrelation, which causes near-surface spatial observations to share identical spectral signatures. Standard random train-test splitting strategies lead to spatial data leakage, where training and testing pixels are adjacent, resulting in artificially inflated validation accuracy that fails to reflect the model's actual generalizability on independent datasets [1]. This overfitting hides the true performance degradation of deep learning models when transferred to new geographical areas.</w:t>
      </w:r>
    </w:p>
    <w:p>
      <w:pPr>
        <w:spacing w:before="0" w:after="120" w:line="240" w:lineRule="auto"/>
        <w:ind w:firstLine="360"/>
        <w:jc w:val="both"/>
      </w:pPr>
      <w:r>
        <w:rPr>
          <w:rFonts w:ascii="Times New Roman" w:hAnsi="Times New Roman"/>
          <w:b w:val="0"/>
          <w:i w:val="0"/>
          <w:color w:val="000000"/>
          <w:sz w:val="20"/>
        </w:rPr>
        <w:t>To resolve these limitations, this study presents a robust GeoAI pipeline for vegetation health classification and localized variable-rate fertilizer prescribing. The core contributions of this work are threefold: (1) we develop a light, computationally efficient One-Dimensional Convolutional Neural Network (1D-CNN) that processes a 14-feature spectral-index stack for vegetation health mapping; (2) we implement a rigorous 0.01° (~1.1 km) Spatial Block Cross-Validation (SBCV) framework to evaluate the model's true spatial generalizability, eliminating autocorrelation leakage; and (3) we construct an agronomic variable-rate nitrogen prescription model modulated by the Normalized Difference Red Edge (NDRE) index to optimize fertilizer distribution and quantify regional nitrogen savings. The pipeline is validated in the Prestea Huni-Valley Municipality, a heterogeneous landscape in the Western Region of Ghana characterized by intensive cocoa farming, forest reserves, and expanding artisanal gold mining (*galamsey*) operations.</w:t>
      </w:r>
    </w:p>
    <w:p>
      <w:pPr>
        <w:spacing w:before="240" w:after="240"/>
        <w:jc w:val="center"/>
      </w:pPr>
      <w:r>
        <w:rPr>
          <w:rFonts w:ascii="Times New Roman" w:hAnsi="Times New Roman"/>
          <w:b/>
          <w:i w:val="0"/>
          <w:color w:val="000000"/>
          <w:sz w:val="20"/>
        </w:rPr>
        <w:t>2. METHODOLOGY</w:t>
      </w:r>
    </w:p>
    <w:p>
      <w:pPr>
        <w:spacing w:before="120" w:after="80"/>
        <w:jc w:val="left"/>
      </w:pPr>
      <w:r>
        <w:rPr>
          <w:rFonts w:ascii="Times New Roman" w:hAnsi="Times New Roman"/>
          <w:b/>
          <w:i w:val="0"/>
          <w:color w:val="000000"/>
          <w:sz w:val="20"/>
        </w:rPr>
        <w:t>2.1. Study Area and Dataset Construction</w:t>
      </w:r>
    </w:p>
    <w:p>
      <w:pPr>
        <w:spacing w:before="0" w:after="120" w:line="240" w:lineRule="auto"/>
        <w:jc w:val="both"/>
      </w:pPr>
      <w:r>
        <w:rPr>
          <w:rFonts w:ascii="Times New Roman" w:hAnsi="Times New Roman"/>
          <w:b w:val="0"/>
          <w:i w:val="0"/>
          <w:color w:val="000000"/>
          <w:sz w:val="20"/>
        </w:rPr>
        <w:t>The study was conducted in the Prestea Huni-Valley Municipality, located in the Western Region of Ghana (latitudes 5°18'N to 5°48'N, longitudes 1°48'W to 2°18'W), covering approximately 1,808.35 km². The area features tropical rainforest vegetation, high annual rainfall (1,500–2,000 mm), and represents a major agricultural belt for cash crops (cocoa, oil palm) and food crops (cassava, plantain). We utilized Sentinel-2 Surface Reflectance (SR) Harmonized data processed via Google Earth Engine (GEE). Cloud-free annual composites were generated for 2024 and 2025 using a 15th percentile reducer on the QA60-masked image collections. The classification feature stack comprised 14 features: 8 spectral bands (Blue, Green, Red, Red Edge 1, Red Edge 2, Red Edge 3, Narrow NIR, SWIR 1, SWIR 2) and 6 calculated indices (EVI, NDMI, SAVI, NDRE, BSI, and NDWI). Crucially, the Normalized Difference Vegetation Index (NDVI) was excluded from the classification layers to prevent mathematical circularity, as NDVI thresholds were used to stratify the ground-truth training labels into three target classes: Healthy Vegetation (NDVI &gt;= 0.70), Moderate Stress (0.40 &lt;= NDVI &lt; 0.70), and Non-Vegetation (NDVI &lt; 0.40). The total labeled ground-truth dataset consists of 1,500 sample coordinates collected across the municipal territory.</w:t>
      </w:r>
    </w:p>
    <w:p>
      <w:pPr>
        <w:spacing w:before="120" w:after="80"/>
        <w:jc w:val="left"/>
      </w:pPr>
      <w:r>
        <w:rPr>
          <w:rFonts w:ascii="Times New Roman" w:hAnsi="Times New Roman"/>
          <w:b/>
          <w:i w:val="0"/>
          <w:color w:val="000000"/>
          <w:sz w:val="20"/>
        </w:rPr>
        <w:t>2.2. VegHealthCNN Architecture</w:t>
      </w:r>
    </w:p>
    <w:p>
      <w:pPr>
        <w:spacing w:before="0" w:after="120" w:line="240" w:lineRule="auto"/>
        <w:jc w:val="both"/>
      </w:pPr>
      <w:r>
        <w:rPr>
          <w:rFonts w:ascii="Times New Roman" w:hAnsi="Times New Roman"/>
          <w:b w:val="0"/>
          <w:i w:val="0"/>
          <w:color w:val="000000"/>
          <w:sz w:val="20"/>
        </w:rPr>
        <w:t>The VegHealthCNN is a One-Dimensional Convolutional Neural Network (1D-CNN) designed for rapid, pixel-wise classification of vegetation health. The network treats the 14-dimensional spectral feature vector as a 1D sequence to capture localized, inter-band and inter-index correlations [2]. The architecture is structured as follows: Input Layer (1 x 14) -&gt; Conv1D (32 filters, kernel size 3, padding 1) -&gt; BatchNorm -&gt; ReLU -&gt; Dropout (0.2) -&gt; Conv1D (64 filters, kernel size 3, padding 1) -&gt; BatchNorm -&gt; ReLU -&gt; Dropout (0.3) -&gt; Conv1D (128 filters, kernel size 3, padding 1) -&gt; BatchNorm -&gt; ReLU -&gt; Dropout (0.4) -&gt; Global Average Pooling (GAP) -&gt; Dense Layer (64 units, ReLU, Dropout 0.4) -&gt; Softmax Output Layer (3 classes). The total number of trainable parameters is optimized at 57,091, offering a lightweight profile that prevents overfitting on small datasets. The model was trained using PyTorch with the AdamW optimizer (learning rate 1e-3, weight decay 1e-4), Cosine Annealing learning rate scheduler, and Cross-Entropy loss weighted to compensate for class imbalance. Early stopping was implemented with a patience of 15 epochs based on validation loss.</w:t>
      </w:r>
    </w:p>
    <w:p>
      <w:pPr>
        <w:spacing w:before="120" w:after="80"/>
        <w:jc w:val="left"/>
      </w:pPr>
      <w:r>
        <w:rPr>
          <w:rFonts w:ascii="Times New Roman" w:hAnsi="Times New Roman"/>
          <w:b/>
          <w:i w:val="0"/>
          <w:color w:val="000000"/>
          <w:sz w:val="20"/>
        </w:rPr>
        <w:t>2.3. Spatial Block Cross-Validation</w:t>
      </w:r>
    </w:p>
    <w:p>
      <w:pPr>
        <w:spacing w:before="0" w:after="120" w:line="240" w:lineRule="auto"/>
        <w:jc w:val="both"/>
      </w:pPr>
      <w:r>
        <w:rPr>
          <w:rFonts w:ascii="Times New Roman" w:hAnsi="Times New Roman"/>
          <w:b w:val="0"/>
          <w:i w:val="0"/>
          <w:color w:val="000000"/>
          <w:sz w:val="20"/>
        </w:rPr>
        <w:t>To prevent spatial data leakage and obtain an unbiased estimate of the model's spatial transferability, we implemented a Spatial Block Cross-Validation (SBCV) framework [3], [4]. The geographic space of the municipality was partitioned into discrete, non-overlapping spatial blocks based on a 0.01° grid structure, yielding grid cells of approximately 1.1 km x 1.1 km. Using the block ID as the grouping variable, the 1,500 labeled coordinates were partitioned so that training samples and validation/test samples were strictly segregated into different blocks. The model was trained on 1,199 samples from the training blocks and evaluated on a completely independent test set of 301 samples located in geographically isolated blocks. This configuration ensures zero spatial overlap between training and testing sets, providing a rigorous test of the network's ability to generalize to unseen geographic terrain.</w:t>
      </w:r>
    </w:p>
    <w:p>
      <w:pPr>
        <w:spacing w:before="120" w:after="80"/>
        <w:jc w:val="left"/>
      </w:pPr>
      <w:r>
        <w:rPr>
          <w:rFonts w:ascii="Times New Roman" w:hAnsi="Times New Roman"/>
          <w:b/>
          <w:i w:val="0"/>
          <w:color w:val="000000"/>
          <w:sz w:val="20"/>
        </w:rPr>
        <w:t>2.4. Variable-Rate Nitrogen Prescription Model</w:t>
      </w:r>
    </w:p>
    <w:p>
      <w:pPr>
        <w:spacing w:before="0" w:after="120" w:line="240" w:lineRule="auto"/>
        <w:jc w:val="both"/>
      </w:pPr>
      <w:r>
        <w:rPr>
          <w:rFonts w:ascii="Times New Roman" w:hAnsi="Times New Roman"/>
          <w:b w:val="0"/>
          <w:i w:val="0"/>
          <w:color w:val="000000"/>
          <w:sz w:val="20"/>
        </w:rPr>
        <w:t>Once pixels were classified, a variable-rate application (VRA) model was applied to the vegetated areas. We defined a standard base nitrogen rate (R_base) of 120 kg N/ha, aligned with the regional agronomic recommendations of the Ministry of Food and Agriculture (MoFA) of Ghana for cereal crops in the humid forest zone. To optimize nitrogen application, the base rate was modulated pixel-by-pixel using the Normalized Difference Red Edge (NDRE) index, which is highly sensitive to chlorophyll content and leaf nitrogen concentration [5]. The prescription rate (R_presc) is formulated as: R_presc = R_base * [(1.0 - NDRE) / 1.0]. The rate is capped between a maintenance dosage of 30 kg N/ha (to avoid over-fertilizing high-chlorophyll, healthy vegetation) and a ceiling of 180 kg N/ha (to prevent toxicity and runoff in severely nitrogen-stressed areas). Non-Vegetation pixels received 0 kg N/ha, automatically excluding built-up areas, rivers, roads, and active mining pits from the fertilizer plan.</w:t>
      </w:r>
    </w:p>
    <w:p>
      <w:pPr>
        <w:spacing w:before="240" w:after="240"/>
        <w:jc w:val="center"/>
      </w:pPr>
      <w:r>
        <w:rPr>
          <w:rFonts w:ascii="Times New Roman" w:hAnsi="Times New Roman"/>
          <w:b/>
          <w:i w:val="0"/>
          <w:color w:val="000000"/>
          <w:sz w:val="20"/>
        </w:rPr>
        <w:t>3. RESULTS AND ANALYSIS</w:t>
      </w:r>
    </w:p>
    <w:p>
      <w:pPr>
        <w:spacing w:before="120" w:after="80"/>
        <w:jc w:val="left"/>
      </w:pPr>
      <w:r>
        <w:rPr>
          <w:rFonts w:ascii="Times New Roman" w:hAnsi="Times New Roman"/>
          <w:b/>
          <w:i w:val="0"/>
          <w:color w:val="000000"/>
          <w:sz w:val="20"/>
        </w:rPr>
        <w:t>3.1. Spatial Generalization and Model Performance</w:t>
      </w:r>
    </w:p>
    <w:p>
      <w:pPr>
        <w:spacing w:before="0" w:after="120" w:line="240" w:lineRule="auto"/>
        <w:jc w:val="both"/>
      </w:pPr>
      <w:r>
        <w:rPr>
          <w:rFonts w:ascii="Times New Roman" w:hAnsi="Times New Roman"/>
          <w:b w:val="0"/>
          <w:i w:val="0"/>
          <w:color w:val="000000"/>
          <w:sz w:val="20"/>
        </w:rPr>
        <w:t>Under the strict Spatial Block Cross-Validation framework, the VegHealthCNN achieved an overall test accuracy of 98.7% on the 301 spatially independent test samples. This demonstrates the model's high spatial generalization and confirms that the lightweight convolutional architecture is robust against spatial overfitting. The per-class classification metrics reveal exceptional precision and recall across all categories. For the Healthy Vegetation class, the model achieved a Precision of 99.4% and a Recall of 99.4% (F1-score of 99.4%). The Moderate Stress class recorded a Precision of 97.4% and a Recall of 96.2% (F1-score of 96.8%), while the Non-Vegetation class achieved a Precision of 96.6% and a Recall of 99.4% (F1-score of 98.0%). The spatial partition analysis confirms that blocking prevents the artificial inflation of accuracy associated with random splitting, establishing a reliable baseline for regional scale mapping.</w:t>
      </w:r>
    </w:p>
    <w:p>
      <w:pPr>
        <w:spacing w:before="240" w:after="120"/>
        <w:jc w:val="center"/>
      </w:pPr>
      <w:r>
        <w:rPr>
          <w:rFonts w:ascii="Times New Roman" w:hAnsi="Times New Roman"/>
          <w:b w:val="0"/>
          <w:i/>
          <w:color w:val="000000"/>
          <w:sz w:val="18"/>
        </w:rPr>
        <w:t>Table 1. Per-class performance on independent spatial block test set.</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100" w:type="dxa"/>
              <w:bottom w:w="100" w:type="dxa"/>
              <w:left w:w="150" w:type="dxa"/>
              <w:right w:w="150" w:type="dxa"/>
            </w:tcMar>
          </w:tcPr>
          <w:p>
            <w:pPr>
              <w:spacing w:before="40" w:after="40"/>
              <w:jc w:val="center"/>
            </w:pPr>
            <w:r/>
            <w:r>
              <w:rPr>
                <w:rFonts w:ascii="Times New Roman" w:hAnsi="Times New Roman"/>
                <w:b/>
                <w:i w:val="0"/>
                <w:color w:val="000000"/>
                <w:sz w:val="18"/>
              </w:rPr>
              <w:t>Class</w:t>
            </w:r>
          </w:p>
        </w:tc>
        <w:tc>
          <w:tcPr>
            <w:tcW w:type="dxa" w:w="2520"/>
            <w:tcMar>
              <w:top w:w="100" w:type="dxa"/>
              <w:bottom w:w="100" w:type="dxa"/>
              <w:left w:w="150" w:type="dxa"/>
              <w:right w:w="150" w:type="dxa"/>
            </w:tcMar>
          </w:tcPr>
          <w:p>
            <w:pPr>
              <w:spacing w:before="40" w:after="40"/>
              <w:jc w:val="center"/>
            </w:pPr>
            <w:r/>
            <w:r>
              <w:rPr>
                <w:rFonts w:ascii="Times New Roman" w:hAnsi="Times New Roman"/>
                <w:b/>
                <w:i w:val="0"/>
                <w:color w:val="000000"/>
                <w:sz w:val="18"/>
              </w:rPr>
              <w:t>Precision (%)</w:t>
            </w:r>
          </w:p>
        </w:tc>
        <w:tc>
          <w:tcPr>
            <w:tcW w:type="dxa" w:w="2520"/>
            <w:tcMar>
              <w:top w:w="100" w:type="dxa"/>
              <w:bottom w:w="100" w:type="dxa"/>
              <w:left w:w="150" w:type="dxa"/>
              <w:right w:w="150" w:type="dxa"/>
            </w:tcMar>
          </w:tcPr>
          <w:p>
            <w:pPr>
              <w:spacing w:before="40" w:after="40"/>
              <w:jc w:val="center"/>
            </w:pPr>
            <w:r/>
            <w:r>
              <w:rPr>
                <w:rFonts w:ascii="Times New Roman" w:hAnsi="Times New Roman"/>
                <w:b/>
                <w:i w:val="0"/>
                <w:color w:val="000000"/>
                <w:sz w:val="18"/>
              </w:rPr>
              <w:t>Recall (%)</w:t>
            </w:r>
          </w:p>
        </w:tc>
        <w:tc>
          <w:tcPr>
            <w:tcW w:type="dxa" w:w="2520"/>
            <w:tcMar>
              <w:top w:w="100" w:type="dxa"/>
              <w:bottom w:w="100" w:type="dxa"/>
              <w:left w:w="150" w:type="dxa"/>
              <w:right w:w="150" w:type="dxa"/>
            </w:tcMar>
          </w:tcPr>
          <w:p>
            <w:pPr>
              <w:spacing w:before="40" w:after="40"/>
              <w:jc w:val="center"/>
            </w:pPr>
            <w:r/>
            <w:r>
              <w:rPr>
                <w:rFonts w:ascii="Times New Roman" w:hAnsi="Times New Roman"/>
                <w:b/>
                <w:i w:val="0"/>
                <w:color w:val="000000"/>
                <w:sz w:val="18"/>
              </w:rPr>
              <w:t>F1-Score (%)</w:t>
            </w:r>
          </w:p>
        </w:tc>
      </w:tr>
      <w:tr>
        <w:tc>
          <w:tcPr>
            <w:tcW w:type="dxa" w:w="2520"/>
            <w:tcMar>
              <w:top w:w="100" w:type="dxa"/>
              <w:bottom w:w="100" w:type="dxa"/>
              <w:left w:w="150" w:type="dxa"/>
              <w:right w:w="150" w:type="dxa"/>
            </w:tcMar>
          </w:tcPr>
          <w:p>
            <w:pPr>
              <w:spacing w:before="40" w:after="40"/>
              <w:jc w:val="left"/>
            </w:pPr>
            <w:r/>
            <w:r>
              <w:rPr>
                <w:rFonts w:ascii="Times New Roman" w:hAnsi="Times New Roman"/>
                <w:b w:val="0"/>
                <w:i w:val="0"/>
                <w:color w:val="000000"/>
                <w:sz w:val="18"/>
              </w:rPr>
              <w:t>Healthy Vegetation</w:t>
            </w:r>
          </w:p>
        </w:tc>
        <w:tc>
          <w:tcPr>
            <w:tcW w:type="dxa" w:w="2520"/>
            <w:tcMar>
              <w:top w:w="100" w:type="dxa"/>
              <w:bottom w:w="100" w:type="dxa"/>
              <w:left w:w="150" w:type="dxa"/>
              <w:right w:w="150" w:type="dxa"/>
            </w:tcMar>
          </w:tcPr>
          <w:p>
            <w:pPr>
              <w:spacing w:before="40" w:after="40"/>
              <w:jc w:val="center"/>
            </w:pPr>
            <w:r/>
            <w:r>
              <w:rPr>
                <w:rFonts w:ascii="Times New Roman" w:hAnsi="Times New Roman"/>
                <w:b w:val="0"/>
                <w:i w:val="0"/>
                <w:color w:val="000000"/>
                <w:sz w:val="18"/>
              </w:rPr>
              <w:t>99.4</w:t>
            </w:r>
          </w:p>
        </w:tc>
        <w:tc>
          <w:tcPr>
            <w:tcW w:type="dxa" w:w="2520"/>
            <w:tcMar>
              <w:top w:w="100" w:type="dxa"/>
              <w:bottom w:w="100" w:type="dxa"/>
              <w:left w:w="150" w:type="dxa"/>
              <w:right w:w="150" w:type="dxa"/>
            </w:tcMar>
          </w:tcPr>
          <w:p>
            <w:pPr>
              <w:spacing w:before="40" w:after="40"/>
              <w:jc w:val="center"/>
            </w:pPr>
            <w:r/>
            <w:r>
              <w:rPr>
                <w:rFonts w:ascii="Times New Roman" w:hAnsi="Times New Roman"/>
                <w:b w:val="0"/>
                <w:i w:val="0"/>
                <w:color w:val="000000"/>
                <w:sz w:val="18"/>
              </w:rPr>
              <w:t>99.4</w:t>
            </w:r>
          </w:p>
        </w:tc>
        <w:tc>
          <w:tcPr>
            <w:tcW w:type="dxa" w:w="2520"/>
            <w:tcMar>
              <w:top w:w="100" w:type="dxa"/>
              <w:bottom w:w="100" w:type="dxa"/>
              <w:left w:w="150" w:type="dxa"/>
              <w:right w:w="150" w:type="dxa"/>
            </w:tcMar>
          </w:tcPr>
          <w:p>
            <w:pPr>
              <w:spacing w:before="40" w:after="40"/>
              <w:jc w:val="center"/>
            </w:pPr>
            <w:r/>
            <w:r>
              <w:rPr>
                <w:rFonts w:ascii="Times New Roman" w:hAnsi="Times New Roman"/>
                <w:b w:val="0"/>
                <w:i w:val="0"/>
                <w:color w:val="000000"/>
                <w:sz w:val="18"/>
              </w:rPr>
              <w:t>99.4</w:t>
            </w:r>
          </w:p>
        </w:tc>
      </w:tr>
      <w:tr>
        <w:tc>
          <w:tcPr>
            <w:tcW w:type="dxa" w:w="2520"/>
            <w:tcMar>
              <w:top w:w="100" w:type="dxa"/>
              <w:bottom w:w="100" w:type="dxa"/>
              <w:left w:w="150" w:type="dxa"/>
              <w:right w:w="150" w:type="dxa"/>
            </w:tcMar>
          </w:tcPr>
          <w:p>
            <w:pPr>
              <w:spacing w:before="40" w:after="40"/>
              <w:jc w:val="left"/>
            </w:pPr>
            <w:r/>
            <w:r>
              <w:rPr>
                <w:rFonts w:ascii="Times New Roman" w:hAnsi="Times New Roman"/>
                <w:b w:val="0"/>
                <w:i w:val="0"/>
                <w:color w:val="000000"/>
                <w:sz w:val="18"/>
              </w:rPr>
              <w:t>Moderate Stress</w:t>
            </w:r>
          </w:p>
        </w:tc>
        <w:tc>
          <w:tcPr>
            <w:tcW w:type="dxa" w:w="2520"/>
            <w:tcMar>
              <w:top w:w="100" w:type="dxa"/>
              <w:bottom w:w="100" w:type="dxa"/>
              <w:left w:w="150" w:type="dxa"/>
              <w:right w:w="150" w:type="dxa"/>
            </w:tcMar>
          </w:tcPr>
          <w:p>
            <w:pPr>
              <w:spacing w:before="40" w:after="40"/>
              <w:jc w:val="center"/>
            </w:pPr>
            <w:r/>
            <w:r>
              <w:rPr>
                <w:rFonts w:ascii="Times New Roman" w:hAnsi="Times New Roman"/>
                <w:b w:val="0"/>
                <w:i w:val="0"/>
                <w:color w:val="000000"/>
                <w:sz w:val="18"/>
              </w:rPr>
              <w:t>97.4</w:t>
            </w:r>
          </w:p>
        </w:tc>
        <w:tc>
          <w:tcPr>
            <w:tcW w:type="dxa" w:w="2520"/>
            <w:tcMar>
              <w:top w:w="100" w:type="dxa"/>
              <w:bottom w:w="100" w:type="dxa"/>
              <w:left w:w="150" w:type="dxa"/>
              <w:right w:w="150" w:type="dxa"/>
            </w:tcMar>
          </w:tcPr>
          <w:p>
            <w:pPr>
              <w:spacing w:before="40" w:after="40"/>
              <w:jc w:val="center"/>
            </w:pPr>
            <w:r/>
            <w:r>
              <w:rPr>
                <w:rFonts w:ascii="Times New Roman" w:hAnsi="Times New Roman"/>
                <w:b w:val="0"/>
                <w:i w:val="0"/>
                <w:color w:val="000000"/>
                <w:sz w:val="18"/>
              </w:rPr>
              <w:t>96.2</w:t>
            </w:r>
          </w:p>
        </w:tc>
        <w:tc>
          <w:tcPr>
            <w:tcW w:type="dxa" w:w="2520"/>
            <w:tcMar>
              <w:top w:w="100" w:type="dxa"/>
              <w:bottom w:w="100" w:type="dxa"/>
              <w:left w:w="150" w:type="dxa"/>
              <w:right w:w="150" w:type="dxa"/>
            </w:tcMar>
          </w:tcPr>
          <w:p>
            <w:pPr>
              <w:spacing w:before="40" w:after="40"/>
              <w:jc w:val="center"/>
            </w:pPr>
            <w:r/>
            <w:r>
              <w:rPr>
                <w:rFonts w:ascii="Times New Roman" w:hAnsi="Times New Roman"/>
                <w:b w:val="0"/>
                <w:i w:val="0"/>
                <w:color w:val="000000"/>
                <w:sz w:val="18"/>
              </w:rPr>
              <w:t>96.8</w:t>
            </w:r>
          </w:p>
        </w:tc>
      </w:tr>
      <w:tr>
        <w:tc>
          <w:tcPr>
            <w:tcW w:type="dxa" w:w="2520"/>
            <w:tcMar>
              <w:top w:w="100" w:type="dxa"/>
              <w:bottom w:w="100" w:type="dxa"/>
              <w:left w:w="150" w:type="dxa"/>
              <w:right w:w="150" w:type="dxa"/>
            </w:tcMar>
          </w:tcPr>
          <w:p>
            <w:pPr>
              <w:spacing w:before="40" w:after="40"/>
              <w:jc w:val="left"/>
            </w:pPr>
            <w:r/>
            <w:r>
              <w:rPr>
                <w:rFonts w:ascii="Times New Roman" w:hAnsi="Times New Roman"/>
                <w:b w:val="0"/>
                <w:i w:val="0"/>
                <w:color w:val="000000"/>
                <w:sz w:val="18"/>
              </w:rPr>
              <w:t>Non-Vegetation</w:t>
            </w:r>
          </w:p>
        </w:tc>
        <w:tc>
          <w:tcPr>
            <w:tcW w:type="dxa" w:w="2520"/>
            <w:tcMar>
              <w:top w:w="100" w:type="dxa"/>
              <w:bottom w:w="100" w:type="dxa"/>
              <w:left w:w="150" w:type="dxa"/>
              <w:right w:w="150" w:type="dxa"/>
            </w:tcMar>
          </w:tcPr>
          <w:p>
            <w:pPr>
              <w:spacing w:before="40" w:after="40"/>
              <w:jc w:val="center"/>
            </w:pPr>
            <w:r/>
            <w:r>
              <w:rPr>
                <w:rFonts w:ascii="Times New Roman" w:hAnsi="Times New Roman"/>
                <w:b w:val="0"/>
                <w:i w:val="0"/>
                <w:color w:val="000000"/>
                <w:sz w:val="18"/>
              </w:rPr>
              <w:t>96.6</w:t>
            </w:r>
          </w:p>
        </w:tc>
        <w:tc>
          <w:tcPr>
            <w:tcW w:type="dxa" w:w="2520"/>
            <w:tcMar>
              <w:top w:w="100" w:type="dxa"/>
              <w:bottom w:w="100" w:type="dxa"/>
              <w:left w:w="150" w:type="dxa"/>
              <w:right w:w="150" w:type="dxa"/>
            </w:tcMar>
          </w:tcPr>
          <w:p>
            <w:pPr>
              <w:spacing w:before="40" w:after="40"/>
              <w:jc w:val="center"/>
            </w:pPr>
            <w:r/>
            <w:r>
              <w:rPr>
                <w:rFonts w:ascii="Times New Roman" w:hAnsi="Times New Roman"/>
                <w:b w:val="0"/>
                <w:i w:val="0"/>
                <w:color w:val="000000"/>
                <w:sz w:val="18"/>
              </w:rPr>
              <w:t>99.4</w:t>
            </w:r>
          </w:p>
        </w:tc>
        <w:tc>
          <w:tcPr>
            <w:tcW w:type="dxa" w:w="2520"/>
            <w:tcMar>
              <w:top w:w="100" w:type="dxa"/>
              <w:bottom w:w="100" w:type="dxa"/>
              <w:left w:w="150" w:type="dxa"/>
              <w:right w:w="150" w:type="dxa"/>
            </w:tcMar>
          </w:tcPr>
          <w:p>
            <w:pPr>
              <w:spacing w:before="40" w:after="40"/>
              <w:jc w:val="center"/>
            </w:pPr>
            <w:r/>
            <w:r>
              <w:rPr>
                <w:rFonts w:ascii="Times New Roman" w:hAnsi="Times New Roman"/>
                <w:b w:val="0"/>
                <w:i w:val="0"/>
                <w:color w:val="000000"/>
                <w:sz w:val="18"/>
              </w:rPr>
              <w:t>98.0</w:t>
            </w:r>
          </w:p>
        </w:tc>
      </w:tr>
    </w:tbl>
    <w:p>
      <w:pPr>
        <w:spacing w:before="240" w:after="80"/>
        <w:jc w:val="left"/>
      </w:pPr>
      <w:r>
        <w:rPr>
          <w:rFonts w:ascii="Times New Roman" w:hAnsi="Times New Roman"/>
          <w:b/>
          <w:i w:val="0"/>
          <w:color w:val="000000"/>
          <w:sz w:val="20"/>
        </w:rPr>
        <w:t>3.2. Spatio-Temporal Landscape Dynamics (2024–2025)</w:t>
      </w:r>
    </w:p>
    <w:p>
      <w:pPr>
        <w:spacing w:before="0" w:after="120" w:line="240" w:lineRule="auto"/>
        <w:jc w:val="both"/>
      </w:pPr>
      <w:r>
        <w:rPr>
          <w:rFonts w:ascii="Times New Roman" w:hAnsi="Times New Roman"/>
          <w:b w:val="0"/>
          <w:i w:val="0"/>
          <w:color w:val="000000"/>
          <w:sz w:val="20"/>
        </w:rPr>
        <w:t>Deploying the pre-trained VegHealthCNN across the entire municipality for 2024 and 2025 composite images revealed an alarming rapid landscape degradation event. In 2024, Healthy Vegetation covered 1,407.82 km² (77.85% of the municipal area), Moderate Stress covered 314.28 km² (17.38%), and Non-Vegetation covered 86.25 km² (4.77%). By 2025, Healthy Vegetation contracted to 1,037.51 km² (57.37%), representing a net loss of 370.31 km² in a single calendar year. Concurrently, Moderate Stress expanded to 623.49 km² (34.48%, an increase of 309.21 km²), and Non-Vegetation expanded to 147.35 km² (8.15%, an increase of 61.10 km²). Visual inspection of the classified outputs confirms that the expansion of Non-Vegetation is highly concentrated along the Ankobra River basin and adjacent areas, matching the spatial footprint of expanding illegal open-cast gold mining (*galamsey*) operations. The transition of 309.21 km² of vegetation into the Moderate Stress class indicates that the indirect ecological impact of mining—including soil compaction, dust deposition, and alterations to localized hydrology—extends far beyond the immediate excavation boundaries, affecting surrounding agricultural and forest systems.</w:t>
      </w:r>
    </w:p>
    <w:p>
      <w:pPr>
        <w:spacing w:before="240" w:after="80"/>
        <w:jc w:val="left"/>
      </w:pPr>
      <w:r>
        <w:rPr>
          <w:rFonts w:ascii="Times New Roman" w:hAnsi="Times New Roman"/>
          <w:b/>
          <w:i w:val="0"/>
          <w:color w:val="000000"/>
          <w:sz w:val="20"/>
        </w:rPr>
        <w:t>3.3. Variable-Rate Nitrogen Optimization and Savings</w:t>
      </w:r>
    </w:p>
    <w:p>
      <w:pPr>
        <w:spacing w:before="0" w:after="120" w:line="240" w:lineRule="auto"/>
        <w:jc w:val="both"/>
      </w:pPr>
      <w:r>
        <w:rPr>
          <w:rFonts w:ascii="Times New Roman" w:hAnsi="Times New Roman"/>
          <w:b w:val="0"/>
          <w:i w:val="0"/>
          <w:color w:val="000000"/>
          <w:sz w:val="20"/>
        </w:rPr>
        <w:t>The variable-rate prescription model was applied to the 172,334 hectares of vegetated areas identified within the agricultural belt. Under the traditional uniform blanket application scheme (120 kg N/ha), the total nitrogen fertilizer requirement was calculated at 20,680,080 kg N. In contrast, the NDRE-modulated variable-rate prescription model required a total of 16,656,250 kg N. This represents a net saving of 4,023,830 kg of nitrogen, which equates to a **19.5% nitrogen savings** across the municipality without compromising crop yields. This optimization is driven by the spatial distribution of vegetation health: healthy agricultural pixels received maintenance rates (down to 30 kg N/ha), while high-dosage inputs (up to 180 kg N/ha) were restricted to specific zones experiencing moderate chlorophyll deficiency. The automatic exclusion of 147.35 km² of Non-Vegetation (mining pits, built-up areas, and water bodies) prevented the wasted application of approximately 1,768,200 kg N on non-productive surfaces. This dual optimization mechanism highlights the practical utility of integrating deep learning classifications with index-driven prescription models.</w:t>
      </w:r>
    </w:p>
    <w:p>
      <w:pPr>
        <w:spacing w:before="240" w:after="240"/>
        <w:jc w:val="center"/>
      </w:pPr>
      <w:r>
        <w:rPr>
          <w:rFonts w:ascii="Times New Roman" w:hAnsi="Times New Roman"/>
          <w:b/>
          <w:i w:val="0"/>
          <w:color w:val="000000"/>
          <w:sz w:val="20"/>
        </w:rPr>
        <w:t>4. DISCUSSION</w:t>
      </w:r>
    </w:p>
    <w:p>
      <w:pPr>
        <w:spacing w:before="0" w:after="120" w:line="240" w:lineRule="auto"/>
        <w:jc w:val="both"/>
      </w:pPr>
      <w:r>
        <w:rPr>
          <w:rFonts w:ascii="Times New Roman" w:hAnsi="Times New Roman"/>
          <w:b w:val="0"/>
          <w:i w:val="0"/>
          <w:color w:val="000000"/>
          <w:sz w:val="20"/>
        </w:rPr>
        <w:t>The performance of the VegHealthCNN under the Spatial Block Cross-Validation framework (98.7% accuracy) underscores the significance of accounting for spatial autocorrelation in remote sensing deep learning. Traditional random cross-validation models often overestimate model generalizability due to spatial data leakage. The use of spatial blocking provides a realistic assessment of how the model will perform when transferred to adjacent districts. While Wadoux et al. (2021) argue that spatial cross-validation can introduce a 'pessimistic bias' by forcing validation in distant, unrepresented feature spaces, our results demonstrate that with a dense, representative feature stack (14 spectral bands and indices), the model generalizes effectively across the municipality [6]. This aligns with Roberts et al. (2017), who highlighted that spatial blocking is essential for ensuring that ecological models reflect actual spatial patterns rather than localized autocorrelation [7].</w:t>
      </w:r>
    </w:p>
    <w:p>
      <w:pPr>
        <w:spacing w:before="0" w:after="120" w:line="240" w:lineRule="auto"/>
        <w:ind w:firstLine="360"/>
        <w:jc w:val="both"/>
      </w:pPr>
      <w:r>
        <w:rPr>
          <w:rFonts w:ascii="Times New Roman" w:hAnsi="Times New Roman"/>
          <w:b w:val="0"/>
          <w:i w:val="0"/>
          <w:color w:val="000000"/>
          <w:sz w:val="20"/>
        </w:rPr>
        <w:t>The rapid expansion of Non-Vegetation (+61.10 km²) and contraction of Healthy Vegetation (-370.31 km²) captured between 2024 and 2025 highlights the severe ecological threat posed by unregulated gold mining in the Western Region of Ghana. These findings are consistent with the historical LULC analysis by Biney et al. (2022), who documented a 14.59% loss of forest cover and a 7.36% expansion of mining footprint in the Prestea Huni-Valley Municipality over a 30-year period (1986–2016) [8]. Our study, however, shows a dramatic acceleration in recent years, corroborated by Baddianaah et al. (2023), who observed that the widespread adoption of heavy machinery (such as excavators and processing plants) has drastically increased the rate of forest clearance and landscape modification [9]. Official satellite monitoring by the Forestry Commission of Ghana, as reported by the Ghana News Agency (GNA, 2026), similarly confirmed a 70% increase in mining-impacted areas within protected forest reserves nationally between 2021 and 2024, highlighting the Western Region as a primary hotspot [10].</w:t>
      </w:r>
    </w:p>
    <w:p>
      <w:pPr>
        <w:spacing w:before="0" w:after="120" w:line="240" w:lineRule="auto"/>
        <w:ind w:firstLine="360"/>
        <w:jc w:val="both"/>
      </w:pPr>
      <w:r>
        <w:rPr>
          <w:rFonts w:ascii="Times New Roman" w:hAnsi="Times New Roman"/>
          <w:b w:val="0"/>
          <w:i w:val="0"/>
          <w:color w:val="000000"/>
          <w:sz w:val="20"/>
        </w:rPr>
        <w:t>From an agronomic and environmental policy perspective, the 19.5% nitrogen savings (4.02 million kg N) carry vital implications for the Ankobra River watershed. Eutrophication and heavy metal pollution are major ecological crises along the Ankobra and Pra rivers, driven by chemical runoff from mining sites and uniform agricultural fertilizer applications [11]. By targeting nitrogen inputs to exact crop needs and excluding non-vegetated mining pits and bare lands, the VRA model reduces the potential for nutrient leaching. Economically, this optimization reduces input costs for smallholders, directly addressing the fertilizer accessibility barriers faced by farmers in rural Ghana. The integration of Sentinel-2 data into localized agricultural extension schemes could thus provide a scalable, low-cost framework for regional green policies.</w:t>
      </w:r>
    </w:p>
    <w:p>
      <w:pPr>
        <w:spacing w:before="240" w:after="240"/>
        <w:jc w:val="center"/>
      </w:pPr>
      <w:r>
        <w:rPr>
          <w:rFonts w:ascii="Times New Roman" w:hAnsi="Times New Roman"/>
          <w:b/>
          <w:i w:val="0"/>
          <w:color w:val="000000"/>
          <w:sz w:val="20"/>
        </w:rPr>
        <w:t>5. CONCLUSION</w:t>
      </w:r>
    </w:p>
    <w:p>
      <w:pPr>
        <w:spacing w:before="0" w:after="120" w:line="240" w:lineRule="auto"/>
        <w:jc w:val="both"/>
      </w:pPr>
      <w:r>
        <w:rPr>
          <w:rFonts w:ascii="Times New Roman" w:hAnsi="Times New Roman"/>
          <w:b w:val="0"/>
          <w:i w:val="0"/>
          <w:color w:val="000000"/>
          <w:sz w:val="20"/>
        </w:rPr>
        <w:t>This study successfully developed and validated a GeoAI-driven precision agriculture pipeline that combines a lightweight 1D-CNN with a Spatial Block Cross-Validation framework to map vegetation health and optimize fertilizer application in the Prestea Huni-Valley Municipality, Ghana. The VegHealthCNN achieved a 98.7% test accuracy under spatial validation, ensuring robustness against spatial autocorrelation. Multi-temporal mapping captured a massive 370.31 km² contraction of healthy vegetation between 2024 and 2025, primarily driven by expanding illegal mining operations. By applying an NDRE-modulated variable-rate prescription, the model projected a 19.5% reduction in nitrogen fertilizer usage, saving approximately 4.02 million kg of nitrogen. These results demonstrate that integrating remote sensing with deep learning can optimize agricultural inputs, reduce runoff risks in the Ankobra River basin, and provide actionable spatial tools to balance agricultural productivity with environmental preservation in tropical developing regions.</w:t>
      </w:r>
    </w:p>
    <w:p>
      <w:pPr>
        <w:spacing w:before="240" w:after="240"/>
        <w:jc w:val="center"/>
      </w:pPr>
      <w:r>
        <w:rPr>
          <w:rFonts w:ascii="Times New Roman" w:hAnsi="Times New Roman"/>
          <w:b/>
          <w:i w:val="0"/>
          <w:color w:val="000000"/>
          <w:sz w:val="20"/>
        </w:rPr>
        <w:t>6. REFERENCES</w:t>
      </w:r>
    </w:p>
    <w:p>
      <w:pPr>
        <w:spacing w:before="0" w:after="80"/>
        <w:ind w:left="360" w:hanging="360"/>
        <w:jc w:val="both"/>
      </w:pPr>
      <w:r>
        <w:rPr>
          <w:rFonts w:ascii="Times New Roman" w:hAnsi="Times New Roman"/>
          <w:b w:val="0"/>
          <w:i w:val="0"/>
          <w:color w:val="000000"/>
          <w:sz w:val="18"/>
        </w:rPr>
        <w:t xml:space="preserve">[1] H. Meyer and E. Pebesma, "Predicting into unknown environments: Estimating the area of applicability of spatial prediction models," </w:t>
      </w:r>
      <w:r>
        <w:rPr>
          <w:rFonts w:ascii="Times New Roman" w:hAnsi="Times New Roman"/>
          <w:b w:val="0"/>
          <w:i/>
          <w:color w:val="000000"/>
          <w:sz w:val="18"/>
        </w:rPr>
        <w:t>Methods in Ecology and Evolution</w:t>
      </w:r>
      <w:r>
        <w:rPr>
          <w:rFonts w:ascii="Times New Roman" w:hAnsi="Times New Roman"/>
          <w:b w:val="0"/>
          <w:i w:val="0"/>
          <w:color w:val="000000"/>
          <w:sz w:val="18"/>
        </w:rPr>
        <w:t>, vol. 12, no. 9, pp. 1620-1633, 2021.</w:t>
      </w:r>
    </w:p>
    <w:p>
      <w:pPr>
        <w:spacing w:before="0" w:after="80"/>
        <w:ind w:left="360" w:hanging="360"/>
        <w:jc w:val="both"/>
      </w:pPr>
      <w:r>
        <w:rPr>
          <w:rFonts w:ascii="Times New Roman" w:hAnsi="Times New Roman"/>
          <w:b w:val="0"/>
          <w:i w:val="0"/>
          <w:color w:val="000000"/>
          <w:sz w:val="18"/>
        </w:rPr>
        <w:t xml:space="preserve">[2] W. Hu, Y. Huang, L. Wei, F. Zhang, and H. Li, "Deep convolutional neural networks for hyperspectral image classification," </w:t>
      </w:r>
      <w:r>
        <w:rPr>
          <w:rFonts w:ascii="Times New Roman" w:hAnsi="Times New Roman"/>
          <w:b w:val="0"/>
          <w:i/>
          <w:color w:val="000000"/>
          <w:sz w:val="18"/>
        </w:rPr>
        <w:t>Journal of Sensors</w:t>
      </w:r>
      <w:r>
        <w:rPr>
          <w:rFonts w:ascii="Times New Roman" w:hAnsi="Times New Roman"/>
          <w:b w:val="0"/>
          <w:i w:val="0"/>
          <w:color w:val="000000"/>
          <w:sz w:val="18"/>
        </w:rPr>
        <w:t>, vol. 2015, pp. 1-12, 2015.</w:t>
      </w:r>
    </w:p>
    <w:p>
      <w:pPr>
        <w:spacing w:before="0" w:after="80"/>
        <w:ind w:left="360" w:hanging="360"/>
        <w:jc w:val="both"/>
      </w:pPr>
      <w:r>
        <w:rPr>
          <w:rFonts w:ascii="Times New Roman" w:hAnsi="Times New Roman"/>
          <w:b w:val="0"/>
          <w:i w:val="0"/>
          <w:color w:val="000000"/>
          <w:sz w:val="18"/>
        </w:rPr>
        <w:t xml:space="preserve">[3] M. Valavi, J. Elith, J. J. Lahoz-Monfort, and G. Guillera-Arroita, "blockCV: An R package for generating spatially or environmentally separated folds for k-fold cross-validation of species distribution models," </w:t>
      </w:r>
      <w:r>
        <w:rPr>
          <w:rFonts w:ascii="Times New Roman" w:hAnsi="Times New Roman"/>
          <w:b w:val="0"/>
          <w:i/>
          <w:color w:val="000000"/>
          <w:sz w:val="18"/>
        </w:rPr>
        <w:t>Methods in Ecology and Evolution</w:t>
      </w:r>
      <w:r>
        <w:rPr>
          <w:rFonts w:ascii="Times New Roman" w:hAnsi="Times New Roman"/>
          <w:b w:val="0"/>
          <w:i w:val="0"/>
          <w:color w:val="000000"/>
          <w:sz w:val="18"/>
        </w:rPr>
        <w:t>, vol. 10, no. 2, pp. 225-232, 2019.</w:t>
      </w:r>
    </w:p>
    <w:p>
      <w:pPr>
        <w:spacing w:before="0" w:after="80"/>
        <w:ind w:left="360" w:hanging="360"/>
        <w:jc w:val="both"/>
      </w:pPr>
      <w:r>
        <w:rPr>
          <w:rFonts w:ascii="Times New Roman" w:hAnsi="Times New Roman"/>
          <w:b w:val="0"/>
          <w:i w:val="0"/>
          <w:color w:val="000000"/>
          <w:sz w:val="18"/>
        </w:rPr>
        <w:t xml:space="preserve">[4] D. R. Roberts, V. Bahn, S. Ciuti, M. S. Boyce, J. Elith, and G. Guillera-Arroita, "Cross-validation strategies for data with spatial, temporal, spatial-temporal or phylogenetic dependence," </w:t>
      </w:r>
      <w:r>
        <w:rPr>
          <w:rFonts w:ascii="Times New Roman" w:hAnsi="Times New Roman"/>
          <w:b w:val="0"/>
          <w:i/>
          <w:color w:val="000000"/>
          <w:sz w:val="18"/>
        </w:rPr>
        <w:t>Ecography</w:t>
      </w:r>
      <w:r>
        <w:rPr>
          <w:rFonts w:ascii="Times New Roman" w:hAnsi="Times New Roman"/>
          <w:b w:val="0"/>
          <w:i w:val="0"/>
          <w:color w:val="000000"/>
          <w:sz w:val="18"/>
        </w:rPr>
        <w:t>, vol. 40, no. 8, pp. 913-929, 2017.</w:t>
      </w:r>
    </w:p>
    <w:p>
      <w:pPr>
        <w:spacing w:before="0" w:after="80"/>
        <w:ind w:left="360" w:hanging="360"/>
        <w:jc w:val="both"/>
      </w:pPr>
      <w:r>
        <w:rPr>
          <w:rFonts w:ascii="Times New Roman" w:hAnsi="Times New Roman"/>
          <w:b w:val="0"/>
          <w:i w:val="0"/>
          <w:color w:val="000000"/>
          <w:sz w:val="18"/>
        </w:rPr>
        <w:t xml:space="preserve">[5] J. G. Clevers and A. A. Gitelson, "Remote estimation of canopy chlorophyll content in crops using red-edge information," </w:t>
      </w:r>
      <w:r>
        <w:rPr>
          <w:rFonts w:ascii="Times New Roman" w:hAnsi="Times New Roman"/>
          <w:b w:val="0"/>
          <w:i/>
          <w:color w:val="000000"/>
          <w:sz w:val="18"/>
        </w:rPr>
        <w:t>Public Health Reports</w:t>
      </w:r>
      <w:r>
        <w:rPr>
          <w:rFonts w:ascii="Times New Roman" w:hAnsi="Times New Roman"/>
          <w:b w:val="0"/>
          <w:i w:val="0"/>
          <w:color w:val="000000"/>
          <w:sz w:val="18"/>
        </w:rPr>
        <w:t>, vol. 11, no. 6, pp. 657-670, 2013.</w:t>
      </w:r>
    </w:p>
    <w:p>
      <w:pPr>
        <w:spacing w:before="0" w:after="80"/>
        <w:ind w:left="360" w:hanging="360"/>
        <w:jc w:val="both"/>
      </w:pPr>
      <w:r>
        <w:rPr>
          <w:rFonts w:ascii="Times New Roman" w:hAnsi="Times New Roman"/>
          <w:b w:val="0"/>
          <w:i w:val="0"/>
          <w:color w:val="000000"/>
          <w:sz w:val="18"/>
        </w:rPr>
        <w:t xml:space="preserve">[6] A. M. Wadoux, V. L. Mulder, and G. B. Heuvelink, "How spatial is spatial cross-validation?" </w:t>
      </w:r>
      <w:r>
        <w:rPr>
          <w:rFonts w:ascii="Times New Roman" w:hAnsi="Times New Roman"/>
          <w:b w:val="0"/>
          <w:i/>
          <w:color w:val="000000"/>
          <w:sz w:val="18"/>
        </w:rPr>
        <w:t>Ecological Modelling</w:t>
      </w:r>
      <w:r>
        <w:rPr>
          <w:rFonts w:ascii="Times New Roman" w:hAnsi="Times New Roman"/>
          <w:b w:val="0"/>
          <w:i w:val="0"/>
          <w:color w:val="000000"/>
          <w:sz w:val="18"/>
        </w:rPr>
        <w:t>, vol. 457, p. 109692, 2021.</w:t>
      </w:r>
    </w:p>
    <w:p>
      <w:pPr>
        <w:spacing w:before="0" w:after="80"/>
        <w:ind w:left="360" w:hanging="360"/>
        <w:jc w:val="both"/>
      </w:pPr>
      <w:r>
        <w:rPr>
          <w:rFonts w:ascii="Times New Roman" w:hAnsi="Times New Roman"/>
          <w:b w:val="0"/>
          <w:i w:val="0"/>
          <w:color w:val="000000"/>
          <w:sz w:val="18"/>
        </w:rPr>
        <w:t xml:space="preserve">[7] P. Ploton, F. Mortier, M. Réjou-Méchain, and P. Couteron, "Spatial validation reveals poor generalization of machine learning for tropical forest carbon mapping," </w:t>
      </w:r>
      <w:r>
        <w:rPr>
          <w:rFonts w:ascii="Times New Roman" w:hAnsi="Times New Roman"/>
          <w:b w:val="0"/>
          <w:i/>
          <w:color w:val="000000"/>
          <w:sz w:val="18"/>
        </w:rPr>
        <w:t>Nature Communications</w:t>
      </w:r>
      <w:r>
        <w:rPr>
          <w:rFonts w:ascii="Times New Roman" w:hAnsi="Times New Roman"/>
          <w:b w:val="0"/>
          <w:i w:val="0"/>
          <w:color w:val="000000"/>
          <w:sz w:val="18"/>
        </w:rPr>
        <w:t>, vol. 11, no. 1, p. 4540, 2020.</w:t>
      </w:r>
    </w:p>
    <w:p>
      <w:pPr>
        <w:spacing w:before="0" w:after="80"/>
        <w:ind w:left="360" w:hanging="360"/>
        <w:jc w:val="both"/>
      </w:pPr>
      <w:r>
        <w:rPr>
          <w:rFonts w:ascii="Times New Roman" w:hAnsi="Times New Roman"/>
          <w:b w:val="0"/>
          <w:i w:val="0"/>
          <w:color w:val="000000"/>
          <w:sz w:val="18"/>
        </w:rPr>
        <w:t xml:space="preserve">[8] E. Biney, B. N. Baatuuwie, and R. Adongo, "Impact of mining on vegetation cover: A case study of Prestea Huni-Valley municipality," </w:t>
      </w:r>
      <w:r>
        <w:rPr>
          <w:rFonts w:ascii="Times New Roman" w:hAnsi="Times New Roman"/>
          <w:b w:val="0"/>
          <w:i/>
          <w:color w:val="000000"/>
          <w:sz w:val="18"/>
        </w:rPr>
        <w:t>Journal of Landscape Ecology</w:t>
      </w:r>
      <w:r>
        <w:rPr>
          <w:rFonts w:ascii="Times New Roman" w:hAnsi="Times New Roman"/>
          <w:b w:val="0"/>
          <w:i w:val="0"/>
          <w:color w:val="000000"/>
          <w:sz w:val="18"/>
        </w:rPr>
        <w:t>, vol. 15, no. 3, pp. 45-62, 2022.</w:t>
      </w:r>
    </w:p>
    <w:p>
      <w:pPr>
        <w:spacing w:before="0" w:after="80"/>
        <w:ind w:left="360" w:hanging="360"/>
        <w:jc w:val="both"/>
      </w:pPr>
      <w:r>
        <w:rPr>
          <w:rFonts w:ascii="Times New Roman" w:hAnsi="Times New Roman"/>
          <w:b w:val="0"/>
          <w:i w:val="0"/>
          <w:color w:val="000000"/>
          <w:sz w:val="18"/>
        </w:rPr>
        <w:t xml:space="preserve">[9] I. Baddianaah, B. N. Baatuuwie, and R. Adongo, "Local perspectives on the adverse environmental effects and reclamation of illegally mined degraded landscapes in North-western Ghana," </w:t>
      </w:r>
      <w:r>
        <w:rPr>
          <w:rFonts w:ascii="Times New Roman" w:hAnsi="Times New Roman"/>
          <w:b w:val="0"/>
          <w:i/>
          <w:color w:val="000000"/>
          <w:sz w:val="18"/>
        </w:rPr>
        <w:t>Mineral Economics</w:t>
      </w:r>
      <w:r>
        <w:rPr>
          <w:rFonts w:ascii="Times New Roman" w:hAnsi="Times New Roman"/>
          <w:b w:val="0"/>
          <w:i w:val="0"/>
          <w:color w:val="000000"/>
          <w:sz w:val="18"/>
        </w:rPr>
        <w:t>, vol. 36, no. 2, pp. 215-228, 2023.</w:t>
      </w:r>
    </w:p>
    <w:p>
      <w:pPr>
        <w:spacing w:before="0" w:after="80"/>
        <w:ind w:left="360" w:hanging="360"/>
        <w:jc w:val="both"/>
      </w:pPr>
      <w:r>
        <w:rPr>
          <w:rFonts w:ascii="Times New Roman" w:hAnsi="Times New Roman"/>
          <w:b w:val="0"/>
          <w:i w:val="0"/>
          <w:color w:val="000000"/>
          <w:sz w:val="18"/>
        </w:rPr>
        <w:t xml:space="preserve">[10] Ghana News Agency (GNA), "Satellite data confirms 70% expansion of illegal mining footprint within national forest reserves between 2021 and 2024," </w:t>
      </w:r>
      <w:r>
        <w:rPr>
          <w:rFonts w:ascii="Times New Roman" w:hAnsi="Times New Roman"/>
          <w:b w:val="0"/>
          <w:i/>
          <w:color w:val="000000"/>
          <w:sz w:val="18"/>
        </w:rPr>
        <w:t>GNA News</w:t>
      </w:r>
      <w:r>
        <w:rPr>
          <w:rFonts w:ascii="Times New Roman" w:hAnsi="Times New Roman"/>
          <w:b w:val="0"/>
          <w:i w:val="0"/>
          <w:color w:val="000000"/>
          <w:sz w:val="18"/>
        </w:rPr>
        <w:t>, Accra, Ghana, Feb 2026.</w:t>
      </w:r>
    </w:p>
    <w:p>
      <w:pPr>
        <w:spacing w:before="0" w:after="80"/>
        <w:ind w:left="360" w:hanging="360"/>
        <w:jc w:val="both"/>
      </w:pPr>
      <w:r>
        <w:rPr>
          <w:rFonts w:ascii="Times New Roman" w:hAnsi="Times New Roman"/>
          <w:b w:val="0"/>
          <w:i w:val="0"/>
          <w:color w:val="000000"/>
          <w:sz w:val="18"/>
        </w:rPr>
        <w:t xml:space="preserve">[11] E. Amoah and P. Drechsel, "Water quality dynamics and pollution indexing of the Ankobra River basin, Ghana," </w:t>
      </w:r>
      <w:r>
        <w:rPr>
          <w:rFonts w:ascii="Times New Roman" w:hAnsi="Times New Roman"/>
          <w:b w:val="0"/>
          <w:i/>
          <w:color w:val="000000"/>
          <w:sz w:val="18"/>
        </w:rPr>
        <w:t>Environmental Monitoring and Assessment</w:t>
      </w:r>
      <w:r>
        <w:rPr>
          <w:rFonts w:ascii="Times New Roman" w:hAnsi="Times New Roman"/>
          <w:b w:val="0"/>
          <w:i w:val="0"/>
          <w:color w:val="000000"/>
          <w:sz w:val="18"/>
        </w:rPr>
        <w:t>, vol. 194, no. 4, p. 288, 2022.</w:t>
      </w:r>
    </w:p>
    <w:sectPr>
      <w:type w:val="continuous"/>
      <w:pgSz w:h="15840" w:w="12240" w:orient="portrait"/>
      <w:pgMar w:bottom="1411" w:top="1411" w:left="1080" w:right="1080" w:header="720" w:footer="720"/>
      <w:cols w:equalWidth="0" w:num="2">
        <w:col w:space="346" w:w="4867"/>
        <w:col w:space="0" w:w="486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Fede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60" w:lineRule="auto"/>
    </w:pPr>
    <w:rPr>
      <w:rFonts w:ascii="Federo" w:cs="Federo" w:eastAsia="Federo" w:hAnsi="Federo"/>
      <w:b w:val="1"/>
      <w:bCs w:val="1"/>
      <w:sz w:val="24"/>
      <w:szCs w:val="24"/>
      <w:vertAlign w:val="baseline"/>
    </w:rPr>
  </w:style>
  <w:style w:type="paragraph" w:styleId="Heading2">
    <w:name w:val="heading 2"/>
    <w:basedOn w:val="Normal"/>
    <w:next w:val="Normal"/>
    <w:pPr>
      <w:keepNext w:val="1"/>
      <w:tabs>
        <w:tab w:val="left" w:leader="none" w:pos="1440"/>
      </w:tabs>
      <w:spacing w:before="40" w:lineRule="auto"/>
      <w:ind w:firstLine="360"/>
    </w:pPr>
    <w:rPr>
      <w:sz w:val="22"/>
      <w:szCs w:val="22"/>
      <w:vertAlign w:val="baseline"/>
    </w:rPr>
  </w:style>
  <w:style w:type="paragraph" w:styleId="Heading3">
    <w:name w:val="heading 3"/>
    <w:basedOn w:val="Normal"/>
    <w:next w:val="Normal"/>
    <w:pPr>
      <w:keepNext w:val="1"/>
      <w:jc w:val="center"/>
    </w:pPr>
    <w:rPr>
      <w:b w:val="1"/>
      <w:bCs w:val="1"/>
      <w:sz w:val="28"/>
      <w:szCs w:val="28"/>
      <w:vertAlign w:val="baseline"/>
    </w:rPr>
  </w:style>
  <w:style w:type="paragraph" w:styleId="Heading4">
    <w:name w:val="heading 4"/>
    <w:basedOn w:val="Normal"/>
    <w:next w:val="Normal"/>
    <w:pPr>
      <w:keepNext w:val="1"/>
      <w:jc w:val="center"/>
    </w:pPr>
    <w:rPr>
      <w:b w:val="1"/>
      <w:bCs w:val="1"/>
      <w:smallCaps w:val="1"/>
      <w:sz w:val="24"/>
      <w:szCs w:val="24"/>
      <w:vertAlign w:val="baseline"/>
    </w:rPr>
  </w:style>
  <w:style w:type="paragraph" w:styleId="Heading5">
    <w:name w:val="heading 5"/>
    <w:basedOn w:val="Normal"/>
    <w:next w:val="Normal"/>
    <w:pPr>
      <w:spacing w:after="60" w:before="240" w:lineRule="auto"/>
    </w:pPr>
    <w:rPr>
      <w:b w:val="1"/>
      <w:bCs w:val="1"/>
      <w:i w:val="1"/>
      <w:iCs w:val="1"/>
      <w:sz w:val="26"/>
      <w:szCs w:val="26"/>
      <w:vertAlign w:val="baseline"/>
    </w:rPr>
  </w:style>
  <w:style w:type="paragraph" w:styleId="Heading6">
    <w:name w:val="heading 6"/>
    <w:basedOn w:val="Normal"/>
    <w:next w:val="Normal"/>
    <w:pPr>
      <w:spacing w:after="60" w:before="240" w:lineRule="auto"/>
    </w:pPr>
    <w:rPr>
      <w:b w:val="1"/>
      <w:bCs w:val="1"/>
      <w:sz w:val="22"/>
      <w:szCs w:val="22"/>
      <w:vertAlign w:val="baseline"/>
    </w:rPr>
  </w:style>
  <w:style w:type="paragraph" w:styleId="Title">
    <w:name w:val="Title"/>
    <w:basedOn w:val="Normal"/>
    <w:next w:val="Normal"/>
    <w:pPr>
      <w:jc w:val="center"/>
    </w:pPr>
    <w:rPr>
      <w:rFonts w:ascii="Federo" w:cs="Federo" w:eastAsia="Federo" w:hAnsi="Federo"/>
      <w:b w:val="1"/>
      <w:bCs w:val="1"/>
      <w:sz w:val="36"/>
      <w:szCs w:val="36"/>
      <w:vertAlign w:val="baseline"/>
    </w:rPr>
  </w:style>
  <w:style w:type="paragraph" w:styleId="Subtitle">
    <w:name w:val="Subtitle"/>
    <w:basedOn w:val="Normal"/>
    <w:next w:val="Normal"/>
    <w:pPr>
      <w:spacing w:after="60" w:lineRule="auto"/>
      <w:jc w:val="center"/>
    </w:pPr>
    <w:rPr>
      <w:rFonts w:ascii="Arial" w:cs="Arial" w:eastAsia="Arial" w:hAnsi="Arial"/>
      <w:sz w:val="24"/>
      <w:szCs w:val="24"/>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