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to use Live Tests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Live test is a java file (LiveTests.java) used to test code units, as well as see the results of the codes in question.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 testing refers to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rtl w:val="0"/>
        </w:rPr>
        <w:t xml:space="preserve">the testing of individual components in the source code, such as classes and their provided methods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. The writing of tests reveals whether each class and method observes or deviates from the guideline of each method and class having a single, clear responsibility.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use the Live Tests file, follow the instructions below: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– Download the LiveTests.java file from the GitHub repository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highlight w:val="white"/>
          <w:rtl w:val="0"/>
        </w:rPr>
        <w:t xml:space="preserve">repository 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or ask your supervisor for it.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Open the file and select the port of the Database you want to test your method on.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The selection of the DB is defined on 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private final String dbconnectionUrl = 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Ex1: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private final String dbConnectionUrl = "jdbc:mysql://localhost:3320/openmrs?useSSL=false";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localhost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where your server is located.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3320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port of the DB.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EX2: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private final String dbConnectionUrl = "jdbc:mysql://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thebugatti.e-saude.net/fgh-v3-c4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:3337/openmrs?useSSL=false";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thebugatti.e-saude.net/fgh-v3-c4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where your server is located.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3337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port to access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Database.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– Identify the method that tests the specific kind of code unit you want to test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CohortDefinition, DataSetDefinition, calculation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– Change the class name and method to be tested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“cohortDefinition cd = _______________”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to test the specific method you want to test. Ex: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CohortDefinition cd = txPvlsCohortQueries.getPregnantPatients().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txPvlsCohortQueries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is the name of the class where your method was created.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If the class you’re working with is not included in the Live Tests file, you will have to make an dependency injection. Ex: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@Autowired private TxPvlsCohortQueries txPvlsCohortQueries;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TxPvlsCohortQueries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is the name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class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, and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txPvlsCohortQueries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is the name of the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getPregnantPatients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is the method to be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- Identify the parameters that are considered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the method you want to test, checking the mappings of the method, in the class where the method was created. 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startDate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endDate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-  Define the parameters that are considered in your method,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 clicking (Ctrl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click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) on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that is being mapped in the Livetests file.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Ex: Define startdate as “2022-06-21”, endDate as “2022-09-20” and location as “399”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Then you click on the run button to run your test.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Enjoy.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