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185A66"/>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recuperar el acceso a una cuenta cuyo titular olvidó la contraseña, mediante un código enviado a su correo.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SolicitarRecuperacion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establecer una contraseña nueva presentando ese código, que caducará, servirá una sola vez y admitirá un número limitado de intentos.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RestablecerContrasena</w:t>
            </w:r>
          </w:p>
        </w:tc>
      </w:tr>
    </w:tbl>
    <w:p>
      <w:pPr>
        <w:spacing w:after="200"/>
      </w:pPr>
    </w:p>
    <w:p>
      <w:pPr>
        <w:spacing w:after="160" w:line="276"/>
        <w:jc w:val="both"/>
      </w:pPr>
      <w:r>
        <w:rPr>
          <w:rFonts w:ascii="Cambria" w:cs="Cambria" w:eastAsia="Cambria" w:hAnsi="Cambria"/>
          <w:sz w:val="24"/>
          <w:szCs w:val="24"/>
        </w:rPr>
        <w:t xml:space="preserve">Los treinta y cuatro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166 pruebas en menos de cuatro segundos, 20 de ellas contra la API por HTTP.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caducará a los 30 minutos, servirá una sola vez y admitirá como máximo cinco intentos.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Diez pruebas automatizadas de los casos de abuso: caducidad, reutilización, agotamiento de intentos y códigos de otra cuenta.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recuperación de contraseña no revelará si un correo está registrado.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ambas respuestas, y verificación contra el servidor real.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se almacenará cifrado,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sobre el valor guardado en el repositorio.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con tres excepciones: NotificadorExpoPush pertenece a la capa de infraestructura del backend, y AlarmasExpo y NavegacionPorNotificaciones pertenecen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notificaciones.test.ts, recuperacion.test.ts y sesiones.test.ts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2026-09-05T15:47:00.557Z</dcterms:created>
  <dcterms:modified xsi:type="dcterms:W3CDTF">2026-09-05T15:47:00.557Z</dcterms:modified>
</cp:coreProperties>
</file>

<file path=docProps/custom.xml><?xml version="1.0" encoding="utf-8"?>
<Properties xmlns="http://schemas.openxmlformats.org/officeDocument/2006/custom-properties" xmlns:vt="http://schemas.openxmlformats.org/officeDocument/2006/docPropsVTypes"/>
</file>