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0E6E62"/>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DDEDE9"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qué puede hacer cada cuidador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4F7F6"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bl>
    <w:p>
      <w:pPr>
        <w:spacing w:after="200"/>
      </w:pPr>
    </w:p>
    <w:p>
      <w:pPr>
        <w:spacing w:after="160" w:line="276"/>
        <w:jc w:val="both"/>
      </w:pPr>
      <w:r>
        <w:rPr>
          <w:rFonts w:ascii="Cambria" w:cs="Cambria" w:eastAsia="Cambria" w:hAnsi="Cambria"/>
          <w:sz w:val="24"/>
          <w:szCs w:val="24"/>
        </w:rPr>
        <w:t xml:space="preserve">Los treinta requerimientos están implementados y verificados. La entrega efectiva del RF-28 en un teléfono real depende de configurar el identificador de proyecto de Expo, que es un paso de despliegue y no de desarrollo: la lógica de envío, el reparto por lotes y la baja de dispositivos desinstalados están cubiertos por pruebas automatizadas.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DDEDE9"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base de la interfaz no será inferior a 18 puntos y el paciente podrá ampliarlo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cumplirá la relación de contraste 4.5:1 que exige la norma WCAG 2.1 nivel AA.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máxima de siete días.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Siete pruebas automatizadas de control de acceso y consentimiento.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Medido entre 20 y 75 ms con 25 peticiones simultáneas contra PostgreSQL 16.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25 peticiones simultáneas: cero duplicados y cero errores.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Verificado por diseño.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99 pruebas en menos de dos segundos.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en dispositivo y verificación de tipos y compilación.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Verificado con el servicio inaccesible: las cuatro tomas vencidas se cerraron igual y el fallo solo quedó en el registro. Verificado.</w:t>
            </w:r>
          </w:p>
        </w:tc>
      </w:tr>
      <w:tr>
        <w:trPr>
          <w:cantSplit/>
        </w:trPr>
        <w:tc>
          <w:tcPr>
            <w:tcW w:type="dxa" w:w="900"/>
            <w:shd w:fill="F4F7F6"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4F7F6"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salvo AlarmasExpo, que pertenece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y notificaciones.test.ts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 Actores, cronograma y requerimientos</dc:title>
  <dc:creator>Julián Andrés Herrera Roncancio y Emmanuel Correa Valencia</dc:creator>
  <cp:lastModifiedBy>Un-named</cp:lastModifiedBy>
  <cp:revision>1</cp:revision>
  <dcterms:created xsi:type="dcterms:W3CDTF">2026-08-31T23:55:27.172Z</dcterms:created>
  <dcterms:modified xsi:type="dcterms:W3CDTF">2026-08-31T23:55:27.172Z</dcterms:modified>
</cp:coreProperties>
</file>

<file path=docProps/custom.xml><?xml version="1.0" encoding="utf-8"?>
<Properties xmlns="http://schemas.openxmlformats.org/officeDocument/2006/custom-properties" xmlns:vt="http://schemas.openxmlformats.org/officeDocument/2006/docPropsVTypes"/>
</file>