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0E6E62"/>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qué puede hacer cada cuidador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bl>
    <w:p>
      <w:pPr>
        <w:spacing w:after="200"/>
      </w:pPr>
    </w:p>
    <w:p>
      <w:pPr>
        <w:spacing w:after="160" w:line="276"/>
        <w:jc w:val="both"/>
      </w:pPr>
      <w:r>
        <w:rPr>
          <w:rFonts w:ascii="Cambria" w:cs="Cambria" w:eastAsia="Cambria" w:hAnsi="Cambria"/>
          <w:sz w:val="24"/>
          <w:szCs w:val="24"/>
        </w:rPr>
        <w:t xml:space="preserve">Los treinta y dos requerimientos están implementados y verificados. Corresponde precisar el alcance del RF-28: la lógica de envío, el reparto por lotes y la baja de dispositivos desinstalados están cubiertas por pruebas automatizadas, y el adaptador se ejerció contra el servicio real. La entrega en un teléfono depende de dos pasos de despliegue ajenos al desarrollo: configurar el identificador de proyecto de Expo y generar una compilación de desarrollo, ya 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base de la interfaz no será inferior a 18 puntos y el paciente podrá ampliarlo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cumplirá la relación de contraste 4.5:1 que exige la norma WCAG 2.1 nivel AA.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máxima de siete días.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Doce pruebas automatizadas de control de acceso y consentimiento.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Medido entre 20 y 75 ms con 25 peticiones simultáneas contra PostgreSQL 16.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25 peticiones simultáneas: cero duplicados y cero errores.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Verificado por diseño.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104 pruebas en menos de dos segundos.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en dispositivo y verificación de tipos y compilación.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Verificado con el servicio inaccesible: las cuatro tomas vencidas se cerraron igual y el fallo solo quedó en el registro.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salvo AlarmasExpo, que pertenece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y notificaciones.test.ts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2026-09-01T22:32:58.104Z</dcterms:created>
  <dcterms:modified xsi:type="dcterms:W3CDTF">2026-09-01T22:32:58.104Z</dcterms:modified>
</cp:coreProperties>
</file>

<file path=docProps/custom.xml><?xml version="1.0" encoding="utf-8"?>
<Properties xmlns="http://schemas.openxmlformats.org/officeDocument/2006/custom-properties" xmlns:vt="http://schemas.openxmlformats.org/officeDocument/2006/docPropsVTypes"/>
</file>