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Food Swamps, Food Deserts, and Food Oases: Integrating Spatial Analysis and Census Data to Examine Community Food Environments and Socioeconomic Indicators</w:t>
      </w:r>
    </w:p>
    <w:p>
      <w:pPr>
        <w:pStyle w:val="Author"/>
      </w:pPr>
      <w:r>
        <w:t xml:space="preserve">Emmanuel Christian</w:t>
      </w:r>
    </w:p>
    <w:p>
      <w:pPr>
        <w:pStyle w:val="Author"/>
      </w:pPr>
      <w:r>
        <w:t xml:space="preserve">Howard University</w:t>
      </w:r>
    </w:p>
    <w:p>
      <w:r>
        <w:br w:type="page"/>
      </w:r>
    </w:p>
    <w:bookmarkStart w:id="20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rPr>
          <w:b/>
          <w:bCs/>
        </w:rPr>
        <w:t xml:space="preserve">Keywords</w:t>
      </w:r>
      <w:r>
        <w:t xml:space="preserve">:</w:t>
      </w:r>
    </w:p>
    <w:p>
      <w:r>
        <w:br w:type="page"/>
      </w:r>
    </w:p>
    <w:bookmarkEnd w:id="20"/>
    <w:bookmarkStart w:id="25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In this article, we build on</w:t>
      </w:r>
      <w:r>
        <w:t xml:space="preserve"> </w:t>
      </w:r>
      <w:r>
        <w:t xml:space="preserve">Alexander (2024)</w:t>
      </w:r>
      <w:r>
        <w:t xml:space="preserve">.</w:t>
      </w:r>
    </w:p>
    <w:p>
      <w:r>
        <w:br w:type="page"/>
      </w:r>
    </w:p>
    <w:bookmarkStart w:id="21" w:name="notes"/>
    <w:p>
      <w:pPr>
        <w:pStyle w:val="Heading2"/>
      </w:pPr>
      <w:r>
        <w:t xml:space="preserve">Notes</w:t>
      </w:r>
    </w:p>
    <w:p>
      <w:pPr>
        <w:numPr>
          <w:ilvl w:val="0"/>
          <w:numId w:val="1001"/>
        </w:numPr>
      </w:pPr>
      <w:r>
        <w:t xml:space="preserve">Note.</w:t>
      </w:r>
    </w:p>
    <w:p>
      <w:pPr>
        <w:numPr>
          <w:ilvl w:val="0"/>
          <w:numId w:val="1001"/>
        </w:numPr>
      </w:pPr>
      <w:r>
        <w:t xml:space="preserve">Note.</w:t>
      </w:r>
    </w:p>
    <w:p>
      <w:r>
        <w:br w:type="page"/>
      </w:r>
    </w:p>
    <w:bookmarkEnd w:id="21"/>
    <w:bookmarkStart w:id="24" w:name="references"/>
    <w:p>
      <w:pPr>
        <w:pStyle w:val="Heading2"/>
      </w:pPr>
      <w:r>
        <w:t xml:space="preserve">References</w:t>
      </w:r>
    </w:p>
    <w:bookmarkStart w:id="23" w:name="refs"/>
    <w:bookmarkStart w:id="22" w:name="ref-alexander2024measuring"/>
    <w:p>
      <w:pPr>
        <w:pStyle w:val="Bibliography"/>
      </w:pPr>
      <w:r>
        <w:t xml:space="preserve">Alexander, N. (2024). Measuring school desegregation: A critical quantitative replication.</w:t>
      </w:r>
      <w:r>
        <w:t xml:space="preserve"> </w:t>
      </w:r>
      <w:r>
        <w:rPr>
          <w:i/>
          <w:iCs/>
        </w:rPr>
        <w:t xml:space="preserve">The Journal of Negro Education</w:t>
      </w:r>
      <w:r>
        <w:t xml:space="preserve">,</w:t>
      </w:r>
      <w:r>
        <w:t xml:space="preserve"> </w:t>
      </w:r>
      <w:r>
        <w:rPr>
          <w:i/>
          <w:iCs/>
        </w:rPr>
        <w:t xml:space="preserve">93</w:t>
      </w:r>
      <w:r>
        <w:t xml:space="preserve">(3), 318–331.</w:t>
      </w:r>
    </w:p>
    <w:bookmarkEnd w:id="22"/>
    <w:bookmarkEnd w:id="23"/>
    <w:bookmarkEnd w:id="24"/>
    <w:bookmarkEnd w:id="25"/>
    <w:sectPr w:rsidR="006B250D" w:rsidRPr="00230908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1880587507"/>
      <w:docPartObj>
        <w:docPartGallery w:val="Page Numbers (Bottom of Page)"/>
        <w:docPartUnique/>
      </w:docPartObj>
    </w:sdtPr>
    <w:sdtContent>
      <w:p w14:paraId="29846899" w14:textId="77777777" w:rsidR="006B250D" w:rsidRDefault="00000000" w:rsidP="001A1758">
        <w:pPr>
          <w:pStyle w:val="Foo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7AD90C5" w14:textId="77777777" w:rsidR="006B250D" w:rsidRDefault="006B250D" w:rsidP="001A175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763420434"/>
      <w:docPartObj>
        <w:docPartGallery w:val="Page Numbers (Bottom of Page)"/>
        <w:docPartUnique/>
      </w:docPartObj>
    </w:sdtPr>
    <w:sdtContent>
      <w:p w14:paraId="2E8456B4" w14:textId="77777777" w:rsidR="006B250D" w:rsidRDefault="006B250D" w:rsidP="00EA5F9B">
        <w:pPr>
          <w:pStyle w:val="Footer"/>
          <w:jc w:val="right"/>
          <w:rPr>
            <w:rStyle w:val="PageNumber"/>
          </w:rPr>
        </w:pPr>
      </w:p>
      <w:p w14:paraId="25FF0C5C" w14:textId="77777777" w:rsidR="006B250D" w:rsidRDefault="00000000" w:rsidP="00EA5F9B">
        <w:pPr>
          <w:pStyle w:val="Footer"/>
          <w:jc w:val="right"/>
        </w:pPr>
        <w:r w:rsidRPr="001A1758">
          <w:rPr>
            <w:rStyle w:val="PageNumber"/>
          </w:rPr>
          <w:fldChar w:fldCharType="begin"/>
        </w:r>
        <w:r w:rsidRPr="001A1758">
          <w:rPr>
            <w:rStyle w:val="PageNumber"/>
          </w:rPr>
          <w:instrText xml:space="preserve"> PAGE </w:instrText>
        </w:r>
        <w:r w:rsidRPr="001A1758">
          <w:rPr>
            <w:rStyle w:val="PageNumber"/>
          </w:rPr>
          <w:fldChar w:fldCharType="separate"/>
        </w:r>
        <w:r w:rsidRPr="001A1758">
          <w:rPr>
            <w:rStyle w:val="PageNumber"/>
          </w:rPr>
          <w:t>1</w:t>
        </w:r>
        <w:r w:rsidRPr="001A1758">
          <w:rPr>
            <w:rStyle w:val="PageNumber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896DF4" w14:textId="77777777" w:rsidR="006B250D" w:rsidRDefault="006B250D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FF8BB7" w14:textId="77777777" w:rsidR="006B250D" w:rsidRDefault="006B250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BDFF58" w14:textId="77777777" w:rsidR="006B250D" w:rsidRDefault="006B250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F5C04D" w14:textId="77777777" w:rsidR="006B250D" w:rsidRDefault="006B250D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0000A990"/>
    <w:multiLevelType w:val="multilevel"/>
    <w:tmpl w:val="DBA8501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9773924" w:numId="1">
    <w:abstractNumId w:val="0"/>
  </w:num>
  <w:num w16cid:durableId="1643996298" w:numId="2">
    <w:abstractNumId w:val="0"/>
  </w:num>
  <w:num w16cid:durableId="1593860145" w:numId="3">
    <w:abstractNumId w:val="0"/>
  </w:num>
  <w:num w16cid:durableId="72512387" w:numId="4">
    <w:abstractNumId w:val="0"/>
  </w:num>
  <w:num w16cid:durableId="169954517" w:numId="5">
    <w:abstractNumId w:val="0"/>
  </w:num>
  <w:num w16cid:durableId="709961530" w:numId="6">
    <w:abstractNumId w:val="0"/>
  </w:num>
  <w:num w16cid:durableId="1600529918" w:numId="7">
    <w:abstractNumId w:val="0"/>
  </w:num>
  <w:num w16cid:durableId="569656093" w:numId="8">
    <w:abstractNumId w:val="0"/>
  </w:num>
  <w:num w16cid:durableId="1819955243" w:numId="9">
    <w:abstractNumId w:val="0"/>
  </w:num>
  <w:num w16cid:durableId="1031881661" w:numId="10">
    <w:abstractNumId w:val="0"/>
  </w:num>
  <w:num w16cid:durableId="1064257662" w:numId="11">
    <w:abstractNumId w:val="0"/>
  </w:num>
  <w:num w16cid:durableId="52047552" w:numId="12">
    <w:abstractNumId w:val="0"/>
  </w:num>
  <w:num w16cid:durableId="22680595" w:numId="13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50D"/>
    <w:rsid w:val="00230908"/>
    <w:rsid w:val="00625830"/>
    <w:rsid w:val="006B250D"/>
    <w:rsid w:val="00860A48"/>
    <w:rsid w:val="00A47137"/>
    <w:rsid w:val="00A537CD"/>
    <w:rsid w:val="00B75E67"/>
    <w:rsid w:val="00F1037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1A1758"/>
    <w:pPr>
      <w:spacing w:line="480" w:lineRule="auto"/>
      <w:ind w:firstLine="720"/>
    </w:pPr>
    <w:rPr>
      <w:rFonts w:ascii="Times New Roman" w:hAnsi="Times New Roman"/>
    </w:rPr>
  </w:style>
  <w:style w:styleId="Heading1" w:type="paragraph">
    <w:name w:val="heading 1"/>
    <w:basedOn w:val="Normal"/>
    <w:next w:val="BodyText"/>
    <w:uiPriority w:val="9"/>
    <w:qFormat/>
    <w:rsid w:val="00E813C0"/>
    <w:pPr>
      <w:keepNext/>
      <w:keepLines/>
      <w:spacing w:after="0" w:before="240"/>
      <w:ind w:firstLine="0"/>
      <w:outlineLvl w:val="0"/>
    </w:pPr>
    <w:rPr>
      <w:rFonts w:cstheme="majorBidi" w:eastAsiaTheme="majorEastAsia"/>
      <w:b/>
      <w:bCs/>
      <w:color w:themeColor="text1" w:val="000000"/>
      <w:sz w:val="2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F527AA"/>
    <w:pPr>
      <w:keepNext/>
      <w:keepLines/>
      <w:spacing w:after="120" w:before="320"/>
      <w:ind w:firstLine="0"/>
      <w:outlineLvl w:val="1"/>
    </w:pPr>
    <w:rPr>
      <w:rFonts w:cstheme="majorBidi" w:eastAsiaTheme="majorEastAsia"/>
      <w:b/>
      <w:bCs/>
      <w:color w:themeColor="text1" w:val="000000"/>
    </w:rPr>
  </w:style>
  <w:style w:styleId="Heading3" w:type="paragraph">
    <w:name w:val="heading 3"/>
    <w:basedOn w:val="Normal"/>
    <w:next w:val="BodyText"/>
    <w:uiPriority w:val="9"/>
    <w:unhideWhenUsed/>
    <w:qFormat/>
    <w:rsid w:val="0013328F"/>
    <w:pPr>
      <w:keepNext/>
      <w:keepLines/>
      <w:spacing w:after="120" w:before="320"/>
      <w:outlineLvl w:val="2"/>
    </w:pPr>
    <w:rPr>
      <w:rFonts w:cstheme="majorBidi" w:eastAsiaTheme="majorEastAsia"/>
      <w:b/>
      <w:bCs/>
      <w:color w:themeColor="text1" w:val="000000"/>
    </w:rPr>
  </w:style>
  <w:style w:styleId="Heading4" w:type="paragraph">
    <w:name w:val="heading 4"/>
    <w:basedOn w:val="Normal"/>
    <w:next w:val="BodyText"/>
    <w:uiPriority w:val="9"/>
    <w:unhideWhenUsed/>
    <w:qFormat/>
    <w:rsid w:val="00F10379"/>
    <w:pPr>
      <w:keepNext/>
      <w:keepLines/>
      <w:spacing w:after="0" w:before="200"/>
      <w:outlineLvl w:val="3"/>
    </w:pPr>
    <w:rPr>
      <w:rFonts w:cstheme="majorBidi" w:eastAsiaTheme="majorEastAsia"/>
      <w:bCs/>
      <w:i/>
      <w:color w:themeColor="text1" w:val="000000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13328F"/>
    <w:pPr>
      <w:spacing w:after="0"/>
    </w:pPr>
  </w:style>
  <w:style w:customStyle="1" w:styleId="FirstParagraph" w:type="paragraph">
    <w:name w:val="First Paragraph"/>
    <w:basedOn w:val="BodyText"/>
    <w:next w:val="BodyText"/>
    <w:qFormat/>
    <w:rsid w:val="00402A71"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1A1758"/>
    <w:pPr>
      <w:keepNext/>
      <w:keepLines/>
      <w:spacing w:after="120" w:before="120" w:line="240" w:lineRule="auto"/>
      <w:ind w:firstLine="0"/>
      <w:jc w:val="center"/>
    </w:pPr>
    <w:rPr>
      <w:rFonts w:cstheme="majorBidi" w:eastAsiaTheme="majorEastAsia"/>
      <w:b/>
      <w:bCs/>
      <w:color w:themeColor="text1" w:val="000000"/>
      <w:szCs w:val="36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C975EF"/>
    <w:pPr>
      <w:keepNext/>
      <w:keepLines/>
      <w:jc w:val="center"/>
    </w:pPr>
    <w:rPr>
      <w:rFonts w:ascii="Times New Roman" w:hAnsi="Times New Roman"/>
    </w:r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Heading1"/>
    <w:next w:val="BodyText"/>
    <w:qFormat/>
    <w:rsid w:val="00034FDF"/>
    <w:pPr>
      <w:jc w:val="center"/>
    </w:pPr>
  </w:style>
  <w:style w:styleId="Bibliography" w:type="paragraph">
    <w:name w:val="Bibliography"/>
    <w:basedOn w:val="Normal"/>
    <w:qFormat/>
    <w:rsid w:val="00D06E19"/>
    <w:pPr>
      <w:ind w:hanging="720" w:left="720"/>
    </w:p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line="259" w:lineRule="auto"/>
      <w:outlineLvl w:val="9"/>
    </w:pPr>
    <w:rPr>
      <w:rFonts w:asciiTheme="majorHAnsi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shd w:color="auto" w:fill="F8F8F8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DataTypeTok" w:type="character">
    <w:name w:val="DataTyp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DecValTok" w:type="character">
    <w:name w:val="DecVal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BaseNTok" w:type="character">
    <w:name w:val="BaseN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FloatTok" w:type="character">
    <w:name w:val="Float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ConstantTok" w:type="character">
    <w:name w:val="ConstantTok"/>
    <w:basedOn w:val="VerbatimChar"/>
    <w:rPr>
      <w:rFonts w:ascii="Consolas" w:hAnsi="Consolas"/>
      <w:color w:val="8F5902"/>
      <w:sz w:val="22"/>
      <w:shd w:color="auto" w:fill="F8F8F8" w:val="clear"/>
    </w:rPr>
  </w:style>
  <w:style w:customStyle="1" w:styleId="CharTok" w:type="character">
    <w:name w:val="Char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CharTok" w:type="character">
    <w:name w:val="SpecialCha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StringTok" w:type="character">
    <w:name w:val="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ImportTok" w:type="character">
    <w:name w:val="ImportTok"/>
    <w:basedOn w:val="VerbatimChar"/>
    <w:rPr>
      <w:rFonts w:ascii="Consolas" w:hAnsi="Consolas"/>
      <w:sz w:val="22"/>
      <w:shd w:color="auto" w:fill="F8F8F8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DocumentationTok" w:type="character">
    <w:name w:val="Documen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OtherTok" w:type="character">
    <w:name w:val="OtherTok"/>
    <w:basedOn w:val="VerbatimChar"/>
    <w:rPr>
      <w:rFonts w:ascii="Consolas" w:hAnsi="Consolas"/>
      <w:color w:val="8F5902"/>
      <w:sz w:val="22"/>
      <w:shd w:color="auto" w:fill="F8F8F8" w:val="clear"/>
    </w:rPr>
  </w:style>
  <w:style w:customStyle="1" w:styleId="FunctionTok" w:type="character">
    <w:name w:val="Function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VariableTok" w:type="character">
    <w:name w:val="Variable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OperatorTok" w:type="character">
    <w:name w:val="Operato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BuiltInTok" w:type="character">
    <w:name w:val="BuiltInTok"/>
    <w:basedOn w:val="VerbatimChar"/>
    <w:rPr>
      <w:rFonts w:ascii="Consolas" w:hAnsi="Consolas"/>
      <w:sz w:val="22"/>
      <w:shd w:color="auto" w:fill="F8F8F8" w:val="clear"/>
    </w:rPr>
  </w:style>
  <w:style w:customStyle="1" w:styleId="ExtensionTok" w:type="character">
    <w:name w:val="ExtensionTok"/>
    <w:basedOn w:val="VerbatimChar"/>
    <w:rPr>
      <w:rFonts w:ascii="Consolas" w:hAnsi="Consolas"/>
      <w:sz w:val="22"/>
      <w:shd w:color="auto" w:fill="F8F8F8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  <w:shd w:color="auto" w:fill="F8F8F8" w:val="clear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lertTok" w:type="character">
    <w:name w:val="AlertTok"/>
    <w:basedOn w:val="VerbatimChar"/>
    <w:rPr>
      <w:rFonts w:ascii="Consolas" w:hAnsi="Consolas"/>
      <w:color w:val="EF2929"/>
      <w:sz w:val="22"/>
      <w:shd w:color="auto" w:fill="F8F8F8" w:val="clear"/>
    </w:rPr>
  </w:style>
  <w:style w:customStyle="1" w:styleId="ErrorTok" w:type="character">
    <w:name w:val="ErrorTok"/>
    <w:basedOn w:val="VerbatimChar"/>
    <w:rPr>
      <w:rFonts w:ascii="Consolas" w:hAnsi="Consolas"/>
      <w:b/>
      <w:color w:val="A40000"/>
      <w:sz w:val="22"/>
      <w:shd w:color="auto" w:fill="F8F8F8" w:val="clear"/>
    </w:rPr>
  </w:style>
  <w:style w:customStyle="1" w:styleId="NormalTok" w:type="character">
    <w:name w:val="NormalTok"/>
    <w:basedOn w:val="VerbatimChar"/>
    <w:rPr>
      <w:rFonts w:ascii="Consolas" w:hAnsi="Consolas"/>
      <w:sz w:val="22"/>
      <w:shd w:color="auto" w:fill="F8F8F8" w:val="clear"/>
    </w:rPr>
  </w:style>
  <w:style w:styleId="Header" w:type="paragraph">
    <w:name w:val="header"/>
    <w:basedOn w:val="Normal"/>
    <w:link w:val="HeaderChar"/>
    <w:rsid w:val="001A1758"/>
    <w:pPr>
      <w:tabs>
        <w:tab w:pos="4680" w:val="center"/>
        <w:tab w:pos="9360" w:val="right"/>
      </w:tabs>
      <w:spacing w:after="0"/>
    </w:pPr>
  </w:style>
  <w:style w:customStyle="1" w:styleId="HeaderChar" w:type="character">
    <w:name w:val="Header Char"/>
    <w:basedOn w:val="DefaultParagraphFont"/>
    <w:link w:val="Header"/>
    <w:rsid w:val="001A1758"/>
  </w:style>
  <w:style w:styleId="Footer" w:type="paragraph">
    <w:name w:val="footer"/>
    <w:basedOn w:val="Normal"/>
    <w:link w:val="FooterChar"/>
    <w:rsid w:val="001A1758"/>
    <w:pPr>
      <w:tabs>
        <w:tab w:pos="4680" w:val="center"/>
        <w:tab w:pos="9360" w:val="right"/>
      </w:tabs>
      <w:spacing w:after="0"/>
    </w:pPr>
  </w:style>
  <w:style w:customStyle="1" w:styleId="FooterChar" w:type="character">
    <w:name w:val="Footer Char"/>
    <w:basedOn w:val="DefaultParagraphFont"/>
    <w:link w:val="Footer"/>
    <w:rsid w:val="001A1758"/>
  </w:style>
  <w:style w:styleId="PageNumber" w:type="character">
    <w:name w:val="page number"/>
    <w:basedOn w:val="DefaultParagraphFont"/>
    <w:rsid w:val="00EA5F9B"/>
  </w:style>
  <w:style w:styleId="NormalIndent" w:type="paragraph">
    <w:name w:val="Normal Indent"/>
    <w:basedOn w:val="Normal"/>
    <w:rsid w:val="001A17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Food Swamps, Food Deserts, and Food Oases: Integrating Spatial Analysis and Census Data to Examine Community Food Environments and Socioeconomic Indicators</dc:title>
  <dc:creator>Emmanuel Christian; Howard University</dc:creator>
  <cp:keywords/>
  <dcterms:created xsi:type="dcterms:W3CDTF">2026-09-21T16:43:26Z</dcterms:created>
  <dcterms:modified xsi:type="dcterms:W3CDTF">2026-09-21T16:43:26Z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references.bib</vt:lpwstr>
  </property>
  <property fmtid="{D5CDD505-2E9C-101B-9397-08002B2CF9AE}" pid="3" name="csl">
    <vt:lpwstr>styles/apa.csl</vt:lpwstr>
  </property>
  <property fmtid="{D5CDD505-2E9C-101B-9397-08002B2CF9AE}" pid="4" name="editor_options">
    <vt:lpwstr/>
  </property>
  <property fmtid="{D5CDD505-2E9C-101B-9397-08002B2CF9AE}" pid="5" name="output">
    <vt:lpwstr/>
  </property>
</Properties>
</file>