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44CA" w14:textId="77777777" w:rsidR="00BE0FD5" w:rsidRDefault="00000000">
      <w:pPr>
        <w:spacing w:after="0" w:line="259" w:lineRule="auto"/>
        <w:ind w:left="10" w:right="-15"/>
        <w:jc w:val="right"/>
      </w:pPr>
      <w:r>
        <w:rPr>
          <w:rFonts w:cs="Calibri"/>
          <w:b/>
          <w:color w:val="580F8B"/>
          <w:sz w:val="36"/>
        </w:rPr>
        <w:t xml:space="preserve">23 </w:t>
      </w:r>
    </w:p>
    <w:p w14:paraId="40B4B374" w14:textId="77777777" w:rsidR="00BE0FD5" w:rsidRDefault="00000000">
      <w:pPr>
        <w:spacing w:after="569" w:line="259" w:lineRule="auto"/>
        <w:ind w:left="9979" w:right="-513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1F7D42DA" wp14:editId="237A638A">
                <wp:extent cx="576072" cy="12192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" cy="12192"/>
                          <a:chOff x="0" y="0"/>
                          <a:chExt cx="576072" cy="12192"/>
                        </a:xfrm>
                      </wpg:grpSpPr>
                      <wps:wsp>
                        <wps:cNvPr id="2912" name="Shape 2912"/>
                        <wps:cNvSpPr/>
                        <wps:spPr>
                          <a:xfrm>
                            <a:off x="0" y="0"/>
                            <a:ext cx="57607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" h="12192">
                                <a:moveTo>
                                  <a:pt x="0" y="0"/>
                                </a:moveTo>
                                <a:lnTo>
                                  <a:pt x="576072" y="0"/>
                                </a:lnTo>
                                <a:lnTo>
                                  <a:pt x="57607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0F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3" style="width:45.36pt;height:0.960022pt;mso-position-horizontal-relative:char;mso-position-vertical-relative:line" coordsize="5760,121">
                <v:shape id="Shape 2913" style="position:absolute;width:5760;height:121;left:0;top:0;" coordsize="576072,12192" path="m0,0l576072,0l576072,12192l0,12192l0,0">
                  <v:stroke weight="0pt" endcap="flat" joinstyle="miter" miterlimit="10" on="false" color="#000000" opacity="0"/>
                  <v:fill on="true" color="#580f8b"/>
                </v:shape>
              </v:group>
            </w:pict>
          </mc:Fallback>
        </mc:AlternateContent>
      </w:r>
    </w:p>
    <w:p w14:paraId="6F553A36" w14:textId="77777777" w:rsidR="00BE0FD5" w:rsidRDefault="00000000">
      <w:pPr>
        <w:pStyle w:val="Heading1"/>
      </w:pPr>
      <w:r>
        <w:t xml:space="preserve">Appendix 2 – Glossary </w:t>
      </w:r>
    </w:p>
    <w:p w14:paraId="33A72374" w14:textId="77777777" w:rsidR="00BE0FD5" w:rsidRDefault="00000000">
      <w:pPr>
        <w:ind w:left="646" w:right="653"/>
      </w:pPr>
      <w:r>
        <w:t xml:space="preserve">This glossary is provided to enable a common understanding of the key terms in this syllabus. </w:t>
      </w:r>
    </w:p>
    <w:p w14:paraId="2E07D9F4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Arbitration </w:t>
      </w:r>
    </w:p>
    <w:p w14:paraId="7E41440C" w14:textId="77777777" w:rsidR="00BE0FD5" w:rsidRDefault="00000000">
      <w:pPr>
        <w:ind w:left="646" w:right="653"/>
      </w:pPr>
      <w:r>
        <w:t xml:space="preserve">A formal dispute resolution process whereby a neutral third party considers the arguments and evidence presented by disputing parties to determine a solution that will be binding for all involved. </w:t>
      </w:r>
    </w:p>
    <w:p w14:paraId="28DC7B78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Career </w:t>
      </w:r>
    </w:p>
    <w:p w14:paraId="2D796EDB" w14:textId="77777777" w:rsidR="00BE0FD5" w:rsidRDefault="00000000">
      <w:pPr>
        <w:ind w:left="646" w:right="653"/>
      </w:pPr>
      <w:r>
        <w:t xml:space="preserve">The sequence and variety of roles which one undertakes throughout a lifetime. It encompasses all life roles, not just occupation, and includes all paid and unpaid work, learning, leisure activities, and community and family responsibilities.  </w:t>
      </w:r>
    </w:p>
    <w:p w14:paraId="269E8D3E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Career adaptability </w:t>
      </w:r>
    </w:p>
    <w:p w14:paraId="2B9D5A84" w14:textId="77777777" w:rsidR="00BE0FD5" w:rsidRDefault="00000000">
      <w:pPr>
        <w:ind w:left="646" w:right="653"/>
      </w:pPr>
      <w:r>
        <w:t xml:space="preserve">The ability to adjust to changing work conditions and/or environments by </w:t>
      </w:r>
      <w:proofErr w:type="spellStart"/>
      <w:r>
        <w:t>recognising</w:t>
      </w:r>
      <w:proofErr w:type="spellEnd"/>
      <w:r>
        <w:t xml:space="preserve"> and pursuing opportunities for a positive transition to new work roles. </w:t>
      </w:r>
    </w:p>
    <w:p w14:paraId="4EA64F5F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Career competencies </w:t>
      </w:r>
    </w:p>
    <w:p w14:paraId="5D3FCC0C" w14:textId="77777777" w:rsidR="00BE0FD5" w:rsidRDefault="00000000">
      <w:pPr>
        <w:ind w:left="646" w:right="653"/>
      </w:pPr>
      <w:r>
        <w:t xml:space="preserve">The knowledge, skills and attitudes that promote intentional career development, lifelong learning and work/life balance that can be developed and strengthened over time.  </w:t>
      </w:r>
    </w:p>
    <w:p w14:paraId="7383CEB5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Career development </w:t>
      </w:r>
    </w:p>
    <w:p w14:paraId="229DFA9B" w14:textId="77777777" w:rsidR="00BE0FD5" w:rsidRDefault="00000000">
      <w:pPr>
        <w:ind w:left="646" w:right="653"/>
      </w:pPr>
      <w:r>
        <w:t xml:space="preserve">The lifelong process of gaining the knowledge, skills, attributes and </w:t>
      </w:r>
      <w:proofErr w:type="spellStart"/>
      <w:r>
        <w:t>behaviours</w:t>
      </w:r>
      <w:proofErr w:type="spellEnd"/>
      <w:r>
        <w:t xml:space="preserve"> to manage life, learning, leisure and work </w:t>
      </w:r>
      <w:proofErr w:type="gramStart"/>
      <w:r>
        <w:t>in order to</w:t>
      </w:r>
      <w:proofErr w:type="gramEnd"/>
      <w:r>
        <w:t xml:space="preserve"> move towards a personally determined and evolving preferred future. It involves individuals planning and making decisions about education, training and career choices. </w:t>
      </w:r>
    </w:p>
    <w:p w14:paraId="21A3C1BC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Cover letter </w:t>
      </w:r>
    </w:p>
    <w:p w14:paraId="224C1055" w14:textId="77777777" w:rsidR="00BE0FD5" w:rsidRDefault="00000000">
      <w:pPr>
        <w:ind w:left="646" w:right="653"/>
      </w:pPr>
      <w:r>
        <w:rPr>
          <w:rFonts w:cs="Calibri"/>
        </w:rPr>
        <w:t xml:space="preserve">A document that accompanies a job applicant’s </w:t>
      </w:r>
      <w:r>
        <w:t xml:space="preserve">résumé which concisely communicates their interest in a job opportunity and highlights the skills and attributes that make them a suitable candidate. </w:t>
      </w:r>
    </w:p>
    <w:p w14:paraId="5B1B47D9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Demographic shift </w:t>
      </w:r>
    </w:p>
    <w:p w14:paraId="40A027CC" w14:textId="77777777" w:rsidR="00BE0FD5" w:rsidRDefault="00000000">
      <w:pPr>
        <w:ind w:left="646" w:right="939"/>
      </w:pPr>
      <w:r>
        <w:t xml:space="preserve">The change in the size and nature of a population due to migration and changes in birth and death rates. </w:t>
      </w:r>
    </w:p>
    <w:p w14:paraId="5B23A063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Dispute resolution </w:t>
      </w:r>
    </w:p>
    <w:p w14:paraId="00CCE9A9" w14:textId="77777777" w:rsidR="00BE0FD5" w:rsidRDefault="00000000">
      <w:pPr>
        <w:ind w:left="646" w:right="653"/>
      </w:pPr>
      <w:r>
        <w:t xml:space="preserve">A process which aims to settle a conflict or disagreement between two or more people by developing a solution which is believed to be fair to all parties. </w:t>
      </w:r>
    </w:p>
    <w:p w14:paraId="502C96E4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Diversity </w:t>
      </w:r>
    </w:p>
    <w:p w14:paraId="59A57FE5" w14:textId="77777777" w:rsidR="00BE0FD5" w:rsidRDefault="00000000">
      <w:pPr>
        <w:ind w:left="646" w:right="653"/>
      </w:pPr>
      <w:r>
        <w:t xml:space="preserve">The state of having or being composed of a variety of elements. In a work context, it refers to the inclusion of different types of people based on age, ethnicity, gender, religion and/or ability/disability. </w:t>
      </w:r>
    </w:p>
    <w:p w14:paraId="3D285C0B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Economic power shift </w:t>
      </w:r>
    </w:p>
    <w:p w14:paraId="505FE265" w14:textId="77777777" w:rsidR="00BE0FD5" w:rsidRDefault="00000000">
      <w:pPr>
        <w:ind w:left="646" w:right="653"/>
      </w:pPr>
      <w:r>
        <w:t xml:space="preserve">The long-term global shift away from established advanced economies to emerging market countries. </w:t>
      </w:r>
    </w:p>
    <w:p w14:paraId="097D12B6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Emerging industries </w:t>
      </w:r>
    </w:p>
    <w:p w14:paraId="1E4397AD" w14:textId="77777777" w:rsidR="00BE0FD5" w:rsidRDefault="00000000">
      <w:pPr>
        <w:spacing w:after="521"/>
        <w:ind w:left="646" w:right="653"/>
      </w:pPr>
      <w:r>
        <w:t xml:space="preserve">Industries that are in the early stages of creating new products and services or transforming existing products and services through innovation and/or technology. </w:t>
      </w:r>
    </w:p>
    <w:p w14:paraId="221E8D3C" w14:textId="77777777" w:rsidR="00BE0FD5" w:rsidRDefault="00000000">
      <w:pPr>
        <w:spacing w:after="284" w:line="259" w:lineRule="auto"/>
        <w:ind w:left="10" w:right="639"/>
        <w:jc w:val="right"/>
      </w:pPr>
      <w:r>
        <w:rPr>
          <w:rFonts w:cs="Calibri"/>
          <w:b/>
          <w:color w:val="580F8B"/>
          <w:sz w:val="18"/>
        </w:rPr>
        <w:lastRenderedPageBreak/>
        <w:t xml:space="preserve">Careers and Employability | General |Year 12 syllabus </w:t>
      </w:r>
    </w:p>
    <w:p w14:paraId="091CF1EB" w14:textId="77777777" w:rsidR="00BE0FD5" w:rsidRDefault="00000000">
      <w:pPr>
        <w:pStyle w:val="Heading2"/>
      </w:pPr>
      <w:r>
        <w:t xml:space="preserve">24 </w:t>
      </w:r>
    </w:p>
    <w:p w14:paraId="367983E9" w14:textId="77777777" w:rsidR="00BE0FD5" w:rsidRDefault="00000000">
      <w:pPr>
        <w:spacing w:after="531" w:line="259" w:lineRule="auto"/>
        <w:ind w:left="-511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9495D68" wp14:editId="7E912210">
                <wp:extent cx="574548" cy="12192"/>
                <wp:effectExtent l="0" t="0" r="0" b="0"/>
                <wp:docPr id="2337" name="Group 2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48" cy="12192"/>
                          <a:chOff x="0" y="0"/>
                          <a:chExt cx="574548" cy="12192"/>
                        </a:xfrm>
                      </wpg:grpSpPr>
                      <wps:wsp>
                        <wps:cNvPr id="2914" name="Shape 2914"/>
                        <wps:cNvSpPr/>
                        <wps:spPr>
                          <a:xfrm>
                            <a:off x="0" y="0"/>
                            <a:ext cx="57454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48" h="12192">
                                <a:moveTo>
                                  <a:pt x="0" y="0"/>
                                </a:moveTo>
                                <a:lnTo>
                                  <a:pt x="574548" y="0"/>
                                </a:lnTo>
                                <a:lnTo>
                                  <a:pt x="57454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0F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7" style="width:45.24pt;height:0.960022pt;mso-position-horizontal-relative:char;mso-position-vertical-relative:line" coordsize="5745,121">
                <v:shape id="Shape 2915" style="position:absolute;width:5745;height:121;left:0;top:0;" coordsize="574548,12192" path="m0,0l574548,0l574548,12192l0,12192l0,0">
                  <v:stroke weight="0pt" endcap="flat" joinstyle="miter" miterlimit="10" on="false" color="#000000" opacity="0"/>
                  <v:fill on="true" color="#580f8b"/>
                </v:shape>
              </v:group>
            </w:pict>
          </mc:Fallback>
        </mc:AlternateContent>
      </w:r>
    </w:p>
    <w:p w14:paraId="6EC65CAE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Enterprise </w:t>
      </w:r>
    </w:p>
    <w:p w14:paraId="4ADE73A6" w14:textId="77777777" w:rsidR="00BE0FD5" w:rsidRDefault="00000000">
      <w:pPr>
        <w:ind w:left="646" w:right="653"/>
      </w:pPr>
      <w:r>
        <w:t xml:space="preserve">The willingness to try new things, show initiative and embrace and/or promote innovative activities. </w:t>
      </w:r>
    </w:p>
    <w:p w14:paraId="53078B7C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Enterprise culture </w:t>
      </w:r>
    </w:p>
    <w:p w14:paraId="637EE844" w14:textId="77777777" w:rsidR="00BE0FD5" w:rsidRDefault="00000000">
      <w:pPr>
        <w:ind w:left="646" w:right="653"/>
      </w:pPr>
      <w:r>
        <w:t xml:space="preserve">The shared values, beliefs, attitudes, standards and </w:t>
      </w:r>
      <w:proofErr w:type="spellStart"/>
      <w:r>
        <w:t>behaviours</w:t>
      </w:r>
      <w:proofErr w:type="spellEnd"/>
      <w:r>
        <w:t xml:space="preserve"> that </w:t>
      </w:r>
      <w:proofErr w:type="spellStart"/>
      <w:r>
        <w:t>characterise</w:t>
      </w:r>
      <w:proofErr w:type="spellEnd"/>
      <w:r>
        <w:t xml:space="preserve"> a work environment. </w:t>
      </w:r>
    </w:p>
    <w:p w14:paraId="16A158D7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Impactful technology </w:t>
      </w:r>
    </w:p>
    <w:p w14:paraId="46D9E54E" w14:textId="77777777" w:rsidR="00BE0FD5" w:rsidRDefault="00000000">
      <w:pPr>
        <w:ind w:left="646" w:right="653"/>
      </w:pPr>
      <w:r>
        <w:t xml:space="preserve">The emergence of technologies that have the capacity to improve products, services and processes, but to also cause disruption and uncertainty for society and the economy. </w:t>
      </w:r>
    </w:p>
    <w:p w14:paraId="303EB9D4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Green industries </w:t>
      </w:r>
    </w:p>
    <w:p w14:paraId="716BC158" w14:textId="77777777" w:rsidR="00BE0FD5" w:rsidRDefault="00000000">
      <w:pPr>
        <w:ind w:left="646" w:right="653"/>
      </w:pPr>
      <w:r>
        <w:t xml:space="preserve">Industries that actively participate in protecting or improving the environment by adopting processes that reduce waste and/or pollution or by producing sustainable products using environmentally friendly processes and materials. </w:t>
      </w:r>
    </w:p>
    <w:p w14:paraId="4DE54A2C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Grievance </w:t>
      </w:r>
    </w:p>
    <w:p w14:paraId="705B67E7" w14:textId="77777777" w:rsidR="00BE0FD5" w:rsidRDefault="00000000">
      <w:pPr>
        <w:ind w:left="646" w:right="653"/>
      </w:pPr>
      <w:r>
        <w:t xml:space="preserve">Any real or perceived problem an employee has about their work, the workplace or someone they work with. </w:t>
      </w:r>
    </w:p>
    <w:p w14:paraId="7DADF4A9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Growth industry </w:t>
      </w:r>
    </w:p>
    <w:p w14:paraId="158FFF3E" w14:textId="77777777" w:rsidR="00BE0FD5" w:rsidRDefault="00000000">
      <w:pPr>
        <w:ind w:left="646" w:right="653"/>
      </w:pPr>
      <w:r>
        <w:t xml:space="preserve">An industry that is experiencing a higher-than-average growth rate compared to other industries.  </w:t>
      </w:r>
    </w:p>
    <w:p w14:paraId="503FAD23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Initiative </w:t>
      </w:r>
    </w:p>
    <w:p w14:paraId="35E1F9B9" w14:textId="77777777" w:rsidR="00BE0FD5" w:rsidRDefault="00000000">
      <w:pPr>
        <w:ind w:left="646" w:right="653"/>
      </w:pPr>
      <w:r>
        <w:t xml:space="preserve">Taking a proactive approach to completing work tasks, overcoming challenges and dealing with unexpected events. </w:t>
      </w:r>
    </w:p>
    <w:p w14:paraId="3935F829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Learning opportunity </w:t>
      </w:r>
    </w:p>
    <w:p w14:paraId="667E2172" w14:textId="77777777" w:rsidR="00BE0FD5" w:rsidRDefault="00000000">
      <w:pPr>
        <w:ind w:left="646" w:right="653"/>
      </w:pPr>
      <w:r>
        <w:t xml:space="preserve">A situation that allows a person to develop knowledge, understanding and skills. </w:t>
      </w:r>
    </w:p>
    <w:p w14:paraId="0FD6097A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Lifelong learning  </w:t>
      </w:r>
    </w:p>
    <w:p w14:paraId="213658DA" w14:textId="77777777" w:rsidR="00BE0FD5" w:rsidRDefault="00000000">
      <w:pPr>
        <w:ind w:left="646" w:right="653"/>
      </w:pPr>
      <w:r>
        <w:t xml:space="preserve">The ongoing, voluntary and self-motivated pursuit of knowledge, understanding and skill development for either personal or professional reasons. </w:t>
      </w:r>
    </w:p>
    <w:p w14:paraId="3CFB5A45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Mediation </w:t>
      </w:r>
    </w:p>
    <w:p w14:paraId="11C2CFF4" w14:textId="77777777" w:rsidR="00BE0FD5" w:rsidRDefault="00000000">
      <w:pPr>
        <w:ind w:left="646" w:right="653"/>
      </w:pPr>
      <w:r>
        <w:t xml:space="preserve">A dispute resolution process whereby a neutral third party facilitates communication and negotiation between disputing parties, helping them to reach a compromised solution. </w:t>
      </w:r>
    </w:p>
    <w:p w14:paraId="79B070AB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Megatrend </w:t>
      </w:r>
    </w:p>
    <w:p w14:paraId="00DF56B2" w14:textId="77777777" w:rsidR="00BE0FD5" w:rsidRDefault="00000000">
      <w:pPr>
        <w:ind w:left="646" w:right="653"/>
      </w:pPr>
      <w:r>
        <w:t xml:space="preserve">A significant and long-lasting development that has a transformative impact on the way we live, work and do business.  </w:t>
      </w:r>
    </w:p>
    <w:p w14:paraId="130DA6D6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Performance management </w:t>
      </w:r>
    </w:p>
    <w:p w14:paraId="0DC60DC1" w14:textId="77777777" w:rsidR="00BE0FD5" w:rsidRDefault="00000000">
      <w:pPr>
        <w:ind w:left="646" w:right="764"/>
      </w:pPr>
      <w:r>
        <w:t xml:space="preserve">The continuous process of feedback and communication between an employer and an employee, so that the employee is supported in performing their work role to the best of their ability. </w:t>
      </w:r>
    </w:p>
    <w:p w14:paraId="020A51F6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Personal risk </w:t>
      </w:r>
    </w:p>
    <w:p w14:paraId="60F705F9" w14:textId="77777777" w:rsidR="00BE0FD5" w:rsidRDefault="00000000">
      <w:pPr>
        <w:ind w:left="646" w:right="653"/>
      </w:pPr>
      <w:r>
        <w:t xml:space="preserve">A risk that directly impacts on the individual and/or their family. </w:t>
      </w:r>
    </w:p>
    <w:p w14:paraId="7FACFB1C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Professional development </w:t>
      </w:r>
    </w:p>
    <w:p w14:paraId="2A2A4B92" w14:textId="77777777" w:rsidR="00BE0FD5" w:rsidRDefault="00000000">
      <w:pPr>
        <w:spacing w:after="653"/>
        <w:ind w:left="646" w:right="1929"/>
      </w:pPr>
      <w:r>
        <w:lastRenderedPageBreak/>
        <w:t xml:space="preserve">Undertaking learning and training to develop, refine and enhance skills, knowledge and understandings. </w:t>
      </w:r>
    </w:p>
    <w:p w14:paraId="33A1F72F" w14:textId="77777777" w:rsidR="00BE0FD5" w:rsidRDefault="00000000">
      <w:pPr>
        <w:spacing w:after="0" w:line="259" w:lineRule="auto"/>
        <w:ind w:left="651" w:firstLine="0"/>
      </w:pPr>
      <w:r>
        <w:rPr>
          <w:rFonts w:cs="Calibri"/>
          <w:b/>
          <w:color w:val="580F8B"/>
          <w:sz w:val="18"/>
        </w:rPr>
        <w:t xml:space="preserve">Careers and Employability | General |Year 12 syllabus </w:t>
      </w:r>
    </w:p>
    <w:p w14:paraId="67948310" w14:textId="77777777" w:rsidR="00BE0FD5" w:rsidRDefault="00000000">
      <w:pPr>
        <w:spacing w:after="0" w:line="259" w:lineRule="auto"/>
        <w:ind w:left="10" w:right="-15"/>
        <w:jc w:val="right"/>
      </w:pPr>
      <w:r>
        <w:rPr>
          <w:rFonts w:cs="Calibri"/>
          <w:b/>
          <w:color w:val="580F8B"/>
          <w:sz w:val="36"/>
        </w:rPr>
        <w:t xml:space="preserve">25 </w:t>
      </w:r>
    </w:p>
    <w:p w14:paraId="4774F778" w14:textId="77777777" w:rsidR="00BE0FD5" w:rsidRDefault="00000000">
      <w:pPr>
        <w:spacing w:after="531" w:line="259" w:lineRule="auto"/>
        <w:ind w:left="9979" w:right="-513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0D4C45D" wp14:editId="1D7DE3B4">
                <wp:extent cx="576072" cy="12192"/>
                <wp:effectExtent l="0" t="0" r="0" b="0"/>
                <wp:docPr id="2668" name="Group 2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" cy="12192"/>
                          <a:chOff x="0" y="0"/>
                          <a:chExt cx="576072" cy="12192"/>
                        </a:xfrm>
                      </wpg:grpSpPr>
                      <wps:wsp>
                        <wps:cNvPr id="2916" name="Shape 2916"/>
                        <wps:cNvSpPr/>
                        <wps:spPr>
                          <a:xfrm>
                            <a:off x="0" y="0"/>
                            <a:ext cx="57607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" h="12192">
                                <a:moveTo>
                                  <a:pt x="0" y="0"/>
                                </a:moveTo>
                                <a:lnTo>
                                  <a:pt x="576072" y="0"/>
                                </a:lnTo>
                                <a:lnTo>
                                  <a:pt x="57607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0F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8" style="width:45.36pt;height:0.960022pt;mso-position-horizontal-relative:char;mso-position-vertical-relative:line" coordsize="5760,121">
                <v:shape id="Shape 2917" style="position:absolute;width:5760;height:121;left:0;top:0;" coordsize="576072,12192" path="m0,0l576072,0l576072,12192l0,12192l0,0">
                  <v:stroke weight="0pt" endcap="flat" joinstyle="miter" miterlimit="10" on="false" color="#000000" opacity="0"/>
                  <v:fill on="true" color="#580f8b"/>
                </v:shape>
              </v:group>
            </w:pict>
          </mc:Fallback>
        </mc:AlternateContent>
      </w:r>
    </w:p>
    <w:p w14:paraId="6D469DB1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Professional risk </w:t>
      </w:r>
    </w:p>
    <w:p w14:paraId="491C8D1B" w14:textId="77777777" w:rsidR="00BE0FD5" w:rsidRDefault="00000000">
      <w:pPr>
        <w:ind w:left="646" w:right="653"/>
      </w:pPr>
      <w:r>
        <w:t xml:space="preserve">A risk taken during career development which can result in improved outcomes for the individual. </w:t>
      </w:r>
    </w:p>
    <w:p w14:paraId="675E1DBF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Resilience </w:t>
      </w:r>
    </w:p>
    <w:p w14:paraId="20A81988" w14:textId="77777777" w:rsidR="00BE0FD5" w:rsidRDefault="00000000">
      <w:pPr>
        <w:ind w:left="646" w:right="653"/>
      </w:pPr>
      <w:r>
        <w:t xml:space="preserve">The ability to endure adversity and bounce back from challenging life events. </w:t>
      </w:r>
    </w:p>
    <w:p w14:paraId="6BE83485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Selection criteria </w:t>
      </w:r>
    </w:p>
    <w:p w14:paraId="4633C269" w14:textId="77777777" w:rsidR="00BE0FD5" w:rsidRDefault="00000000">
      <w:pPr>
        <w:ind w:left="646" w:right="653"/>
      </w:pPr>
      <w:r>
        <w:t xml:space="preserve">The qualities, skills, abilities, knowledge and qualifications needed to perform a job role effectively. </w:t>
      </w:r>
    </w:p>
    <w:p w14:paraId="4AB605CB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Skills shortage </w:t>
      </w:r>
    </w:p>
    <w:p w14:paraId="440919CF" w14:textId="77777777" w:rsidR="00BE0FD5" w:rsidRDefault="00000000">
      <w:pPr>
        <w:ind w:left="646" w:right="653"/>
      </w:pPr>
      <w:r>
        <w:t xml:space="preserve">A situation that occurs when employers cannot fill vacancies in an occupation or in a </w:t>
      </w:r>
      <w:proofErr w:type="spellStart"/>
      <w:r>
        <w:t>specialisation</w:t>
      </w:r>
      <w:proofErr w:type="spellEnd"/>
      <w:r>
        <w:t xml:space="preserve"> within that occupation. </w:t>
      </w:r>
    </w:p>
    <w:p w14:paraId="2C2FE49B" w14:textId="77777777" w:rsidR="00BE0FD5" w:rsidRDefault="00000000">
      <w:pPr>
        <w:spacing w:after="18" w:line="259" w:lineRule="auto"/>
        <w:ind w:left="646"/>
      </w:pPr>
      <w:r>
        <w:rPr>
          <w:rFonts w:cs="Calibri"/>
          <w:b/>
        </w:rPr>
        <w:t xml:space="preserve">Work environment </w:t>
      </w:r>
    </w:p>
    <w:p w14:paraId="4461CFF2" w14:textId="77777777" w:rsidR="00BE0FD5" w:rsidRDefault="00000000">
      <w:pPr>
        <w:ind w:left="646" w:right="956"/>
      </w:pPr>
      <w:r>
        <w:t xml:space="preserve">The physical conditions, procedures and processes, and social dynamics which comprise a place of work. </w:t>
      </w:r>
    </w:p>
    <w:p w14:paraId="7773553F" w14:textId="77777777" w:rsidR="00BE0FD5" w:rsidRDefault="00000000">
      <w:pPr>
        <w:spacing w:after="9655" w:line="259" w:lineRule="auto"/>
        <w:ind w:left="651" w:firstLine="0"/>
      </w:pPr>
      <w:r>
        <w:t xml:space="preserve"> </w:t>
      </w:r>
      <w:r>
        <w:tab/>
        <w:t xml:space="preserve"> </w:t>
      </w:r>
    </w:p>
    <w:p w14:paraId="1E9A4607" w14:textId="77777777" w:rsidR="00BE0FD5" w:rsidRDefault="00000000">
      <w:pPr>
        <w:spacing w:after="284" w:line="259" w:lineRule="auto"/>
        <w:ind w:left="10" w:right="639"/>
        <w:jc w:val="right"/>
      </w:pPr>
      <w:r>
        <w:rPr>
          <w:rFonts w:cs="Calibri"/>
          <w:b/>
          <w:color w:val="580F8B"/>
          <w:sz w:val="18"/>
        </w:rPr>
        <w:lastRenderedPageBreak/>
        <w:t xml:space="preserve">Careers and Employability | General |Year 12 syllabus </w:t>
      </w:r>
    </w:p>
    <w:sectPr w:rsidR="00BE0FD5">
      <w:footerReference w:type="even" r:id="rId6"/>
      <w:footerReference w:type="default" r:id="rId7"/>
      <w:footerReference w:type="first" r:id="rId8"/>
      <w:pgSz w:w="11906" w:h="16838"/>
      <w:pgMar w:top="752" w:right="766" w:bottom="684" w:left="768" w:header="720" w:footer="9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34D38" w14:textId="77777777" w:rsidR="00CD0EA6" w:rsidRDefault="00CD0EA6">
      <w:pPr>
        <w:spacing w:after="0" w:line="240" w:lineRule="auto"/>
      </w:pPr>
      <w:r>
        <w:separator/>
      </w:r>
    </w:p>
  </w:endnote>
  <w:endnote w:type="continuationSeparator" w:id="0">
    <w:p w14:paraId="3656C002" w14:textId="77777777" w:rsidR="00CD0EA6" w:rsidRDefault="00CD0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09457" w14:textId="77777777" w:rsidR="00BE0FD5" w:rsidRDefault="00000000">
    <w:pPr>
      <w:spacing w:after="0" w:line="259" w:lineRule="auto"/>
      <w:ind w:left="-768" w:right="622" w:firstLine="0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71831BF" wp14:editId="263967CC">
              <wp:simplePos x="0" y="0"/>
              <wp:positionH relativeFrom="page">
                <wp:posOffset>882701</wp:posOffset>
              </wp:positionH>
              <wp:positionV relativeFrom="page">
                <wp:posOffset>10062667</wp:posOffset>
              </wp:positionV>
              <wp:extent cx="5796661" cy="6096"/>
              <wp:effectExtent l="0" t="0" r="0" b="0"/>
              <wp:wrapSquare wrapText="bothSides"/>
              <wp:docPr id="2783" name="Group 27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6096"/>
                        <a:chOff x="0" y="0"/>
                        <a:chExt cx="5796661" cy="6096"/>
                      </a:xfrm>
                    </wpg:grpSpPr>
                    <wps:wsp>
                      <wps:cNvPr id="2922" name="Shape 2922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80F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3" style="width:456.43pt;height:0.47998pt;position:absolute;mso-position-horizontal-relative:page;mso-position-horizontal:absolute;margin-left:69.504pt;mso-position-vertical-relative:page;margin-top:792.336pt;" coordsize="57966,60">
              <v:shape id="Shape 2923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580f8b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FAB2" w14:textId="77777777" w:rsidR="00BE0FD5" w:rsidRDefault="00000000">
    <w:pPr>
      <w:spacing w:after="0" w:line="259" w:lineRule="auto"/>
      <w:ind w:left="-768" w:right="622" w:firstLine="0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4FB6CF" wp14:editId="2424D16F">
              <wp:simplePos x="0" y="0"/>
              <wp:positionH relativeFrom="page">
                <wp:posOffset>882701</wp:posOffset>
              </wp:positionH>
              <wp:positionV relativeFrom="page">
                <wp:posOffset>10062667</wp:posOffset>
              </wp:positionV>
              <wp:extent cx="5796661" cy="6096"/>
              <wp:effectExtent l="0" t="0" r="0" b="0"/>
              <wp:wrapSquare wrapText="bothSides"/>
              <wp:docPr id="2777" name="Group 2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6096"/>
                        <a:chOff x="0" y="0"/>
                        <a:chExt cx="5796661" cy="6096"/>
                      </a:xfrm>
                    </wpg:grpSpPr>
                    <wps:wsp>
                      <wps:cNvPr id="2920" name="Shape 2920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80F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7" style="width:456.43pt;height:0.47998pt;position:absolute;mso-position-horizontal-relative:page;mso-position-horizontal:absolute;margin-left:69.504pt;mso-position-vertical-relative:page;margin-top:792.336pt;" coordsize="57966,60">
              <v:shape id="Shape 2921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580f8b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128" w14:textId="77777777" w:rsidR="00BE0FD5" w:rsidRDefault="00000000">
    <w:pPr>
      <w:spacing w:after="0" w:line="259" w:lineRule="auto"/>
      <w:ind w:left="-768" w:right="622" w:firstLine="0"/>
    </w:pPr>
    <w:r>
      <w:rPr>
        <w:rFonts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834593" wp14:editId="4E10F65D">
              <wp:simplePos x="0" y="0"/>
              <wp:positionH relativeFrom="page">
                <wp:posOffset>882701</wp:posOffset>
              </wp:positionH>
              <wp:positionV relativeFrom="page">
                <wp:posOffset>10062667</wp:posOffset>
              </wp:positionV>
              <wp:extent cx="5796661" cy="6096"/>
              <wp:effectExtent l="0" t="0" r="0" b="0"/>
              <wp:wrapSquare wrapText="bothSides"/>
              <wp:docPr id="2771" name="Group 2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6096"/>
                        <a:chOff x="0" y="0"/>
                        <a:chExt cx="5796661" cy="6096"/>
                      </a:xfrm>
                    </wpg:grpSpPr>
                    <wps:wsp>
                      <wps:cNvPr id="2918" name="Shape 2918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80F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1" style="width:456.43pt;height:0.47998pt;position:absolute;mso-position-horizontal-relative:page;mso-position-horizontal:absolute;margin-left:69.504pt;mso-position-vertical-relative:page;margin-top:792.336pt;" coordsize="57966,60">
              <v:shape id="Shape 2919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580f8b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DCA24" w14:textId="77777777" w:rsidR="00CD0EA6" w:rsidRDefault="00CD0EA6">
      <w:pPr>
        <w:spacing w:after="0" w:line="240" w:lineRule="auto"/>
      </w:pPr>
      <w:r>
        <w:separator/>
      </w:r>
    </w:p>
  </w:footnote>
  <w:footnote w:type="continuationSeparator" w:id="0">
    <w:p w14:paraId="244BDA3F" w14:textId="77777777" w:rsidR="00CD0EA6" w:rsidRDefault="00CD0E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D5"/>
    <w:rsid w:val="00A23D51"/>
    <w:rsid w:val="00BE0FD5"/>
    <w:rsid w:val="00CD0EA6"/>
    <w:rsid w:val="00E2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D458A"/>
  <w15:docId w15:val="{E2FBC57F-7408-294D-865E-E877B55E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8" w:lineRule="auto"/>
      <w:ind w:left="661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51"/>
      <w:outlineLvl w:val="0"/>
    </w:pPr>
    <w:rPr>
      <w:rFonts w:ascii="Calibri" w:eastAsia="Calibri" w:hAnsi="Calibri" w:cs="Calibri"/>
      <w:b/>
      <w:color w:val="580F8B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b/>
      <w:color w:val="580F8B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580F8B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80F8B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740</Words>
  <Characters>4412</Characters>
  <Application>Microsoft Office Word</Application>
  <DocSecurity>0</DocSecurity>
  <Lines>100</Lines>
  <Paragraphs>80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Calvert</dc:creator>
  <cp:keywords/>
  <cp:lastModifiedBy>Tania Byrnes (Emmanuel Catholic College - Success)</cp:lastModifiedBy>
  <cp:revision>2</cp:revision>
  <dcterms:created xsi:type="dcterms:W3CDTF">2026-03-31T06:18:00Z</dcterms:created>
  <dcterms:modified xsi:type="dcterms:W3CDTF">2026-03-31T06:18:00Z</dcterms:modified>
</cp:coreProperties>
</file>