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Eagle &amp; Thistle Ltd — Installer Service Partner Policy (UK)</w:t>
      </w:r>
    </w:p>
    <w:p>
      <w:pPr>
        <w:jc w:val="center"/>
      </w:pPr>
      <w:r>
        <w:rPr>
          <w:sz w:val="18"/>
        </w:rPr>
        <w:t>Scope: Requirements for onboarding, selection, training, quality, and commercial terms for Installer Service Partners (Solar PV, BESS, EV, Heat Pumps).</w:t>
      </w:r>
    </w:p>
    <w:p>
      <w:pPr>
        <w:spacing w:after="120"/>
      </w:pPr>
    </w:p>
    <w:p>
      <w:r>
        <w:rPr>
          <w:b/>
          <w:sz w:val="26"/>
        </w:rPr>
        <w:t>1) Role &amp; Responsibilities</w:t>
      </w:r>
    </w:p>
    <w:p>
      <w:r>
        <w:t>• Deliver design, installation, testing/inspection, commissioning and O&amp;M to E&amp;T standards and applicable UK regulations (BS 7671).</w:t>
      </w:r>
    </w:p>
    <w:p>
      <w:r>
        <w:t>• Comply with CDM 2015 duties when applicable, and HSE Working at Height requirements.</w:t>
      </w:r>
    </w:p>
    <w:p>
      <w:r>
        <w:t>• Provide complete handover documentation (as-builts, test sheets, commissioning reports, warranty forms, photos).</w:t>
      </w:r>
    </w:p>
    <w:p>
      <w:r>
        <w:rPr>
          <w:b/>
          <w:sz w:val="26"/>
        </w:rPr>
        <w:t>2) Selection Criteria — Qualifications &amp; Experience</w:t>
      </w:r>
    </w:p>
    <w:p>
      <w:r>
        <w:t>• Electrical competence: 18th Edition (BS 7671) and relevant City &amp; Guilds (e.g., 2382, 2391).</w:t>
      </w:r>
    </w:p>
    <w:p>
      <w:r>
        <w:t>• CPS membership (e.g., NICEIC or NAPIT) for self-certification under Part P where relevant.</w:t>
      </w:r>
    </w:p>
    <w:p>
      <w:r>
        <w:t>• Technology credentials: MCS (MIS 3002 Solar PV; MIS 3005 Heat Pumps) where applicable; IET EESS competence for battery storage; EV charger competence per manufacturer/IET guidance.</w:t>
      </w:r>
    </w:p>
    <w:p>
      <w:r>
        <w:t>• Safety: Evidence of RAMS, CSCS, IPAF/PASMA, First Aid; calibrated test equipment and documented tool control.</w:t>
      </w:r>
    </w:p>
    <w:p>
      <w:r>
        <w:t>• Experience thresholds (minimum): 50 PV installs and/or 10 BESS and/or 20 EV chargers and/or 10 heat pumps (or equivalent demonstrable competence, with references).</w:t>
      </w:r>
    </w:p>
    <w:p>
      <w:r>
        <w:t>• Insurance: Public &amp; Product Liability ≥ £2m; Employers’ Liability (if applicable); Professional Indemnity recommended for design.</w:t>
      </w:r>
    </w:p>
    <w:p>
      <w:r>
        <w:t>• References: Three recent projects with client contacts; pass due diligence and background checks.</w:t>
      </w:r>
    </w:p>
    <w:p>
      <w:r>
        <w:rPr>
          <w:b/>
          <w:sz w:val="26"/>
        </w:rPr>
        <w:t>3) Onboarding Process</w:t>
      </w:r>
    </w:p>
    <w:p>
      <w:r>
        <w:t>• Application &amp; document review (legal, insurance, certifications, RAMS, equipment calibrations).</w:t>
      </w:r>
    </w:p>
    <w:p>
      <w:r>
        <w:t>• Technical interview &amp; portfolio review; rate card submission.</w:t>
      </w:r>
    </w:p>
    <w:p>
      <w:r>
        <w:t>• Conditional approval → compulsory training → first 3 jobs under enhanced QA audit; elevation to full approval after successful audits.</w:t>
      </w:r>
    </w:p>
    <w:p>
      <w:r>
        <w:rPr>
          <w:b/>
          <w:sz w:val="26"/>
        </w:rPr>
        <w:t>4) Training — Compulsory Professional Programme</w:t>
      </w:r>
    </w:p>
    <w:p>
      <w:r>
        <w:t>• E&amp;T Induction (0.5 day): brand standards, documentation, CRM, H&amp;S expectations, QA process.</w:t>
      </w:r>
    </w:p>
    <w:p>
      <w:r>
        <w:t>• Technical Modules (2–3 days total): Solar PV to MCS MIS 3002; Battery Storage per IET EESS Code of Practice; EV Charging; Heat Pumps to MCS MIS 3005; refrigerant safety (F-gas).</w:t>
      </w:r>
    </w:p>
    <w:p>
      <w:r>
        <w:t>• Assessments: written (≥80% pass) + practical sign-off; annual CPD ≥16 hours; re-assessment every 24 months or after major standard updates.</w:t>
      </w:r>
    </w:p>
    <w:p>
      <w:r>
        <w:t>• Site audits: first 3 jobs + random quarterly audits thereafter; failure triggers corrective training or suspension.</w:t>
      </w:r>
    </w:p>
    <w:p>
      <w:r>
        <w:rPr>
          <w:b/>
          <w:sz w:val="26"/>
        </w:rPr>
        <w:t>5) Quality &amp; KPIs</w:t>
      </w:r>
    </w:p>
    <w:p>
      <w:r>
        <w:t>• Defect rate &lt;2% per quarter; return call-outs &lt;3%; H&amp;S incidents (RIDDOR) = 0; documentation completeness = 100%.</w:t>
      </w:r>
    </w:p>
    <w:p>
      <w:r>
        <w:t>• Response SLAs: Emergency within 24h; Standard within 72h (unless otherwise contracted).</w:t>
      </w:r>
    </w:p>
    <w:p>
      <w:r>
        <w:rPr>
          <w:b/>
          <w:sz w:val="26"/>
        </w:rPr>
        <w:t>6) Commercial Terms — Bonds, Retention &amp; Retainers</w:t>
      </w:r>
    </w:p>
    <w:p>
      <w:r>
        <w:t>• Performance Bond: 5–10% of project value for projects &gt; £50k, at E&amp;T’s discretion based on risk (alternatively, parent guarantee).</w:t>
      </w:r>
    </w:p>
    <w:p>
      <w:r>
        <w:t>• Retention: 5% of contract value — 2.5% released at Practical Completion; 2.5% at end of the Defects Liability Period (6–12 months).</w:t>
      </w:r>
    </w:p>
    <w:p>
      <w:r>
        <w:t>• Framework Retainer (optional): for guaranteed response times/regional coverage; typical £500–£1,500/month per region, netted against call-outs or project work.</w:t>
      </w:r>
    </w:p>
    <w:p>
      <w:r>
        <w:t>• Payment: Upon milestone acceptance and receipt of complete handover pack; variations require prior written authorisation.</w:t>
      </w:r>
    </w:p>
    <w:p>
      <w:r>
        <w:rPr>
          <w:b/>
          <w:sz w:val="26"/>
        </w:rPr>
        <w:t>7) Capacity Planning — Installer Caps by UK Region (max active partners)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Max Active Installers</w:t>
            </w:r>
          </w:p>
        </w:tc>
      </w:tr>
      <w:tr>
        <w:tc>
          <w:tcPr>
            <w:tcW w:type="dxa" w:w="4320"/>
          </w:tcPr>
          <w:p>
            <w:r>
              <w:t>London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South East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North West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West Midlands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Yorkshire &amp; Humber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Scotland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Wales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East of England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South West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East Midlands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North East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Northern Ireland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spacing w:after="60"/>
      </w:pPr>
    </w:p>
    <w:p>
      <w:r>
        <w:t>• Caps reviewed quarterly; exclusivity considered where a partner sustains KPIs, coverage, and customer satisfaction across 2 consecutive quarters.</w:t>
      </w:r>
    </w:p>
    <w:p>
      <w:r>
        <w:t>• Bench partners may be onboarded (non-active) for surge capacity; activation requires training currency and insurance in force.</w:t>
      </w:r>
    </w:p>
    <w:p>
      <w:r>
        <w:rPr>
          <w:b/>
          <w:sz w:val="26"/>
        </w:rPr>
        <w:t>8) Compliance &amp; Documentation Deliverables</w:t>
      </w:r>
    </w:p>
    <w:p>
      <w:r>
        <w:t>• For each job: designs, RAMS, electrical test/inspection reports, commissioning certificates, warranties, photos, user manuals.</w:t>
      </w:r>
    </w:p>
    <w:p>
      <w:r>
        <w:t>• Notify/self-certify where required (e.g., Part P) and register MCS jobs where applicable. Waste handled per WEEE/Environmental obligations.</w:t>
      </w:r>
    </w:p>
    <w:p>
      <w:r>
        <w:rPr>
          <w:b/>
          <w:sz w:val="26"/>
        </w:rPr>
        <w:t>9) Audit, Suspension &amp; Termination</w:t>
      </w:r>
    </w:p>
    <w:p>
      <w:r>
        <w:t>• E&amp;T reserves the right to audit sites and documentation at any time. Material non-compliance may lead to corrective actions, suspension, or termination.</w:t>
      </w:r>
    </w:p>
    <w:p>
      <w:r>
        <w:t>• Governing Law: England &amp; Wales.</w:t>
      </w:r>
    </w:p>
    <w:p>
      <w:r>
        <w:rPr>
          <w:b/>
          <w:sz w:val="26"/>
        </w:rPr>
        <w:t>10) Acceptance</w:t>
      </w:r>
    </w:p>
    <w:p>
      <w:r>
        <w:t>By accepting work orders or framework terms, the Installer agrees to this Policy and the Marketplace/Framework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