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280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55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45pt;margin-top:0.55pt;width:356.3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account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3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registrato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bacheca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3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RF_GB.1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RF_GB.3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/>
        <w:t>Scenari/Scenarios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Pubblicazione Storia </w:t>
      </w:r>
      <w:r>
        <w:rPr>
          <w:b/>
          <w:sz w:val="28"/>
          <w:szCs w:val="28"/>
        </w:rPr>
        <w:t>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1"/>
        <w:gridCol w:w="442"/>
        <w:gridCol w:w="929"/>
        <w:gridCol w:w="3605"/>
        <w:gridCol w:w="1761"/>
        <w:gridCol w:w="1749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Pubblica la storia all’interno della bacheca include (UCIn)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 Scenario/Flusso di eventi di ERRORE:  L’utente cerca di pubblicare una storia vuota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Il sistema avverte l’utente con un messaggio di errore e lo riporta nella condizione precedente.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II Scenario/Flusso di eventi di ERRORE: L’utente cerca di pubblicare una storia vuota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584" w:hRule="atLeast"/>
        </w:trPr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III Scenario/Flusso di eventi di ERRORE: L’utente cerca di pubblicare una storia vuota</w:t>
            </w:r>
          </w:p>
        </w:tc>
      </w:tr>
      <w:tr>
        <w:trPr>
          <w:trHeight w:val="555" w:hRule="atLeast"/>
        </w:trPr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 Use Case</w:t>
      </w:r>
    </w:p>
    <w:tbl>
      <w:tblPr>
        <w:tblW w:w="9855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674"/>
        <w:gridCol w:w="698"/>
        <w:gridCol w:w="3605"/>
        <w:gridCol w:w="1761"/>
        <w:gridCol w:w="1751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>
              <w:rPr>
                <w:bCs/>
                <w:i/>
                <w:iCs/>
              </w:rPr>
              <w:t>7</w:t>
            </w:r>
            <w:r>
              <w:rPr>
                <w:bCs/>
                <w:i/>
                <w:iCs/>
              </w:rPr>
              <w:t>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Entrambi gli utenti devono essere registrati alla piattaforma.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L’entry condition sarebbe la condizione che si presenta davanti all’attore all’inizio dello svolgimento dell’use case, nel tuo caso un’icona affianco al nome dell’utente a cui inviare il messaggio...pure a me sembrava strano ma controlla il pdf del prof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bCs/>
                <w:color w:val="C9211E"/>
              </w:rPr>
              <w:t>Abbiamo detto di nooooooooo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L’utente destinatario visualizza la notifica e la cancella.</w:t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Annulla l’inoltro del messaggio e avvisa l’utente che non è abilitato </w:t>
            </w:r>
            <w:r>
              <w:rPr>
                <w:rFonts w:eastAsia="Calibri" w:cs="DejaVu Sans"/>
                <w:color w:val="C9211E"/>
                <w:kern w:val="0"/>
                <w:sz w:val="22"/>
                <w:szCs w:val="22"/>
                <w:lang w:val="it-IT" w:eastAsia="en-US" w:bidi="ar-SA"/>
              </w:rPr>
              <w:t>correggi pure qua</w:t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Il sistema avverte l’utente con un messaggio di errore e lo riporta alla condizione precedente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pure qua non credo sia un giusto errore</w:t>
            </w:r>
          </w:p>
        </w:tc>
      </w:tr>
      <w:tr>
        <w:trPr>
          <w:trHeight w:val="342" w:hRule="atLeast"/>
        </w:trPr>
        <w:tc>
          <w:tcPr>
            <w:tcW w:w="98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8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8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6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7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LibreOffice/6.4.7.2$Linux_X86_64 LibreOffice_project/40$Build-2</Application>
  <Pages>8</Pages>
  <Words>1140</Words>
  <Characters>6832</Characters>
  <CharactersWithSpaces>7890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2021-10-27T18:02:37Z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