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4CC2" w:rsidRDefault="003A06E5">
      <w:pPr>
        <w:pStyle w:val="Titre"/>
      </w:pPr>
      <w:r>
        <w:t>Cahier des Charges Technique — ASAP</w:t>
      </w:r>
    </w:p>
    <w:p w:rsidR="00CE4CC2" w:rsidRDefault="003A06E5">
      <w:pPr>
        <w:pStyle w:val="Sous-titre"/>
      </w:pPr>
      <w:r>
        <w:t>Plateforme intelligente de livraison, mise en relation et optimisation logistique — Version 2.0 (refonte de conception)</w:t>
      </w:r>
    </w:p>
    <w:p w:rsidR="00CE4CC2" w:rsidRDefault="003A06E5">
      <w:pPr>
        <w:pStyle w:val="Author"/>
      </w:pPr>
      <w:r>
        <w:t>Équipe ASAP — ISI ING3 · Institut Universitaire Saint Jean, Yaoundé</w:t>
      </w:r>
    </w:p>
    <w:p w:rsidR="00CE4CC2" w:rsidRDefault="003A06E5">
      <w:pPr>
        <w:pStyle w:val="Date"/>
      </w:pPr>
      <w:r>
        <w:t>Juin 2026</w:t>
      </w:r>
    </w:p>
    <w:sdt>
      <w:sdtPr>
        <w:rPr>
          <w:rFonts w:asciiTheme="minorHAnsi" w:eastAsiaTheme="minorHAnsi" w:hAnsiTheme="minorHAnsi" w:cstheme="minorBidi"/>
          <w:color w:val="auto"/>
          <w:sz w:val="24"/>
          <w:szCs w:val="24"/>
        </w:rPr>
        <w:id w:val="-517312522"/>
        <w:docPartObj>
          <w:docPartGallery w:val="Table of Contents"/>
          <w:docPartUnique/>
        </w:docPartObj>
      </w:sdtPr>
      <w:sdtContent>
        <w:p w:rsidR="00CE4CC2" w:rsidRDefault="003A06E5">
          <w:pPr>
            <w:pStyle w:val="En-ttedetabledesmatires"/>
          </w:pPr>
          <w:r>
            <w:t>Table of Contents</w:t>
          </w:r>
        </w:p>
        <w:p w:rsidR="003A06E5" w:rsidRDefault="003A06E5">
          <w:pPr>
            <w:pStyle w:val="TM1"/>
            <w:tabs>
              <w:tab w:val="right" w:leader="dot" w:pos="9016"/>
            </w:tabs>
            <w:rPr>
              <w:noProof/>
            </w:rPr>
          </w:pPr>
          <w:r>
            <w:fldChar w:fldCharType="begin"/>
            <w:instrText>TOC \o "1-2" \h \z \u</w:instrText>
            <w:fldChar w:fldCharType="separate"/>
          </w:r>
          <w:hyperlink w:anchor="_Toc232734015" w:history="1">
            <w:r>
              <w:rPr>
                <w:rStyle w:val="Lienhypertexte"/>
                <w:noProof/>
              </w:rPr>
              <w:t>1. Fiche de contrôle du document</w:t>
            </w:r>
            <w:r>
              <w:rPr>
                <w:noProof/>
                <w:webHidden/>
              </w:rPr>
              <w:tab/>
              <w:fldChar w:fldCharType="begin"/>
              <w:instrText xml:space="preserve"> PAGEREF _Toc232734015 \h </w:instrText>
              <w:fldChar w:fldCharType="separate"/>
              <w:t>3</w:t>
              <w:fldChar w:fldCharType="end"/>
            </w:r>
          </w:hyperlink>
        </w:p>
        <w:p w:rsidR="003A06E5" w:rsidRDefault="003A06E5">
          <w:pPr>
            <w:pStyle w:val="TM1"/>
            <w:tabs>
              <w:tab w:val="right" w:leader="dot" w:pos="9016"/>
            </w:tabs>
            <w:rPr>
              <w:noProof/>
            </w:rPr>
          </w:pPr>
          <w:hyperlink w:anchor="_Toc232734016" w:history="1">
            <w:r>
              <w:rPr>
                <w:rStyle w:val="Lienhypertexte"/>
                <w:noProof/>
              </w:rPr>
              <w:t>2. Introduction</w:t>
            </w:r>
            <w:r>
              <w:rPr>
                <w:noProof/>
                <w:webHidden/>
              </w:rPr>
              <w:tab/>
              <w:fldChar w:fldCharType="begin"/>
              <w:instrText xml:space="preserve"> PAGEREF _Toc232734016 \h </w:instrText>
              <w:fldChar w:fldCharType="separate"/>
              <w:t>3</w:t>
              <w:fldChar w:fldCharType="end"/>
            </w:r>
          </w:hyperlink>
        </w:p>
        <w:p w:rsidR="003A06E5" w:rsidRDefault="003A06E5">
          <w:pPr>
            <w:pStyle w:val="TM2"/>
            <w:tabs>
              <w:tab w:val="right" w:leader="dot" w:pos="9016"/>
            </w:tabs>
            <w:rPr>
              <w:noProof/>
            </w:rPr>
          </w:pPr>
          <w:hyperlink w:anchor="_Toc232734017" w:history="1">
            <w:r>
              <w:rPr>
                <w:rStyle w:val="Lienhypertexte"/>
                <w:noProof/>
              </w:rPr>
              <w:t>2.1 Objet</w:t>
            </w:r>
            <w:r>
              <w:rPr>
                <w:noProof/>
                <w:webHidden/>
              </w:rPr>
              <w:tab/>
              <w:fldChar w:fldCharType="begin"/>
              <w:instrText xml:space="preserve"> PAGEREF _Toc232734017 \h </w:instrText>
              <w:fldChar w:fldCharType="separate"/>
              <w:t>3</w:t>
              <w:fldChar w:fldCharType="end"/>
            </w:r>
          </w:hyperlink>
        </w:p>
        <w:p w:rsidR="003A06E5" w:rsidRDefault="003A06E5">
          <w:pPr>
            <w:pStyle w:val="TM2"/>
            <w:tabs>
              <w:tab w:val="right" w:leader="dot" w:pos="9016"/>
            </w:tabs>
            <w:rPr>
              <w:noProof/>
            </w:rPr>
          </w:pPr>
          <w:hyperlink w:anchor="_Toc232734018" w:history="1">
            <w:r>
              <w:rPr>
                <w:rStyle w:val="Lienhypertexte"/>
                <w:noProof/>
              </w:rPr>
              <w:t>2.2 Périmètre du document</w:t>
            </w:r>
            <w:r>
              <w:rPr>
                <w:noProof/>
                <w:webHidden/>
              </w:rPr>
              <w:tab/>
              <w:fldChar w:fldCharType="begin"/>
              <w:instrText xml:space="preserve"> PAGEREF _Toc232734018 \h </w:instrText>
              <w:fldChar w:fldCharType="separate"/>
              <w:t>3</w:t>
              <w:fldChar w:fldCharType="end"/>
            </w:r>
          </w:hyperlink>
        </w:p>
        <w:p w:rsidR="003A06E5" w:rsidRDefault="003A06E5">
          <w:pPr>
            <w:pStyle w:val="TM2"/>
            <w:tabs>
              <w:tab w:val="right" w:leader="dot" w:pos="9016"/>
            </w:tabs>
            <w:rPr>
              <w:noProof/>
            </w:rPr>
          </w:pPr>
          <w:hyperlink w:anchor="_Toc232734019" w:history="1">
            <w:r>
              <w:rPr>
                <w:rStyle w:val="Lienhypertexte"/>
                <w:noProof/>
              </w:rPr>
              <w:t>2.3 Documents de référence</w:t>
            </w:r>
            <w:r>
              <w:rPr>
                <w:noProof/>
                <w:webHidden/>
              </w:rPr>
              <w:tab/>
              <w:fldChar w:fldCharType="begin"/>
              <w:instrText xml:space="preserve"> PAGEREF _Toc232734019 \h </w:instrText>
              <w:fldChar w:fldCharType="separate"/>
              <w:t>3</w:t>
              <w:fldChar w:fldCharType="end"/>
            </w:r>
          </w:hyperlink>
        </w:p>
        <w:p w:rsidR="003A06E5" w:rsidRDefault="003A06E5">
          <w:pPr>
            <w:pStyle w:val="TM1"/>
            <w:tabs>
              <w:tab w:val="right" w:leader="dot" w:pos="9016"/>
            </w:tabs>
            <w:rPr>
              <w:noProof/>
            </w:rPr>
          </w:pPr>
          <w:hyperlink w:anchor="_Toc232734020" w:history="1">
            <w:r>
              <w:rPr>
                <w:rStyle w:val="Lienhypertexte"/>
                <w:noProof/>
              </w:rPr>
              <w:t>3. Liste des sigles et abréviations</w:t>
            </w:r>
            <w:r>
              <w:rPr>
                <w:noProof/>
                <w:webHidden/>
              </w:rPr>
              <w:tab/>
              <w:fldChar w:fldCharType="begin"/>
              <w:instrText xml:space="preserve"> PAGEREF _Toc232734020 \h </w:instrText>
              <w:fldChar w:fldCharType="separate"/>
              <w:t>4</w:t>
              <w:fldChar w:fldCharType="end"/>
            </w:r>
          </w:hyperlink>
        </w:p>
        <w:p w:rsidR="003A06E5" w:rsidRDefault="003A06E5">
          <w:pPr>
            <w:pStyle w:val="TM1"/>
            <w:tabs>
              <w:tab w:val="right" w:leader="dot" w:pos="9016"/>
            </w:tabs>
            <w:rPr>
              <w:noProof/>
            </w:rPr>
          </w:pPr>
          <w:hyperlink w:anchor="_Toc232734021" w:history="1">
            <w:r>
              <w:rPr>
                <w:rStyle w:val="Lienhypertexte"/>
                <w:noProof/>
              </w:rPr>
              <w:t>4. Glossaire métier</w:t>
            </w:r>
            <w:r>
              <w:rPr>
                <w:noProof/>
                <w:webHidden/>
              </w:rPr>
              <w:tab/>
              <w:fldChar w:fldCharType="begin"/>
              <w:instrText xml:space="preserve"> PAGEREF _Toc232734021 \h </w:instrText>
              <w:fldChar w:fldCharType="separate"/>
              <w:t>5</w:t>
              <w:fldChar w:fldCharType="end"/>
            </w:r>
          </w:hyperlink>
        </w:p>
        <w:p w:rsidR="003A06E5" w:rsidRDefault="003A06E5">
          <w:pPr>
            <w:pStyle w:val="TM1"/>
            <w:tabs>
              <w:tab w:val="right" w:leader="dot" w:pos="9016"/>
            </w:tabs>
            <w:rPr>
              <w:noProof/>
            </w:rPr>
          </w:pPr>
          <w:hyperlink w:anchor="_Toc232734022" w:history="1">
            <w:r>
              <w:rPr>
                <w:rStyle w:val="Lienhypertexte"/>
                <w:noProof/>
              </w:rPr>
              <w:t>5. Présentation générale du projet</w:t>
            </w:r>
            <w:r>
              <w:rPr>
                <w:noProof/>
                <w:webHidden/>
              </w:rPr>
              <w:tab/>
              <w:fldChar w:fldCharType="begin"/>
              <w:instrText xml:space="preserve"> PAGEREF _Toc232734022 \h </w:instrText>
              <w:fldChar w:fldCharType="separate"/>
              <w:t>6</w:t>
              <w:fldChar w:fldCharType="end"/>
            </w:r>
          </w:hyperlink>
        </w:p>
        <w:p w:rsidR="003A06E5" w:rsidRDefault="003A06E5">
          <w:pPr>
            <w:pStyle w:val="TM2"/>
            <w:tabs>
              <w:tab w:val="right" w:leader="dot" w:pos="9016"/>
            </w:tabs>
            <w:rPr>
              <w:noProof/>
            </w:rPr>
          </w:pPr>
          <w:hyperlink w:anchor="_Toc232734023" w:history="1">
            <w:r>
              <w:rPr>
                <w:rStyle w:val="Lienhypertexte"/>
                <w:noProof/>
              </w:rPr>
              <w:t>5.1 Vision et positionnement</w:t>
            </w:r>
            <w:r>
              <w:rPr>
                <w:noProof/>
                <w:webHidden/>
              </w:rPr>
              <w:tab/>
              <w:fldChar w:fldCharType="begin"/>
              <w:instrText xml:space="preserve"> PAGEREF _Toc232734023 \h </w:instrText>
              <w:fldChar w:fldCharType="separate"/>
              <w:t>6</w:t>
              <w:fldChar w:fldCharType="end"/>
            </w:r>
          </w:hyperlink>
        </w:p>
        <w:p w:rsidR="003A06E5" w:rsidRDefault="003A06E5">
          <w:pPr>
            <w:pStyle w:val="TM2"/>
            <w:tabs>
              <w:tab w:val="right" w:leader="dot" w:pos="9016"/>
            </w:tabs>
            <w:rPr>
              <w:noProof/>
            </w:rPr>
          </w:pPr>
          <w:hyperlink w:anchor="_Toc232734024" w:history="1">
            <w:r>
              <w:rPr>
                <w:rStyle w:val="Lienhypertexte"/>
                <w:noProof/>
              </w:rPr>
              <w:t>5.2 Acteurs et rôles</w:t>
            </w:r>
            <w:r>
              <w:rPr>
                <w:noProof/>
                <w:webHidden/>
              </w:rPr>
              <w:tab/>
              <w:fldChar w:fldCharType="begin"/>
              <w:instrText xml:space="preserve"> PAGEREF _Toc232734024 \h </w:instrText>
              <w:fldChar w:fldCharType="separate"/>
              <w:t>6</w:t>
              <w:fldChar w:fldCharType="end"/>
            </w:r>
          </w:hyperlink>
        </w:p>
        <w:p w:rsidR="003A06E5" w:rsidRDefault="003A06E5">
          <w:pPr>
            <w:pStyle w:val="TM2"/>
            <w:tabs>
              <w:tab w:val="right" w:leader="dot" w:pos="9016"/>
            </w:tabs>
            <w:rPr>
              <w:noProof/>
            </w:rPr>
          </w:pPr>
          <w:hyperlink w:anchor="_Toc232734025" w:history="1">
            <w:r>
              <w:rPr>
                <w:rStyle w:val="Lienhypertexte"/>
                <w:noProof/>
              </w:rPr>
              <w:t>5.3 Types d’opérations</w:t>
            </w:r>
            <w:r>
              <w:rPr>
                <w:noProof/>
                <w:webHidden/>
              </w:rPr>
              <w:tab/>
              <w:fldChar w:fldCharType="begin"/>
              <w:instrText xml:space="preserve"> PAGEREF _Toc232734025 \h </w:instrText>
              <w:fldChar w:fldCharType="separate"/>
              <w:t>6</w:t>
              <w:fldChar w:fldCharType="end"/>
            </w:r>
          </w:hyperlink>
        </w:p>
        <w:p w:rsidR="003A06E5" w:rsidRDefault="003A06E5">
          <w:pPr>
            <w:pStyle w:val="TM2"/>
            <w:tabs>
              <w:tab w:val="right" w:leader="dot" w:pos="9016"/>
            </w:tabs>
            <w:rPr>
              <w:noProof/>
            </w:rPr>
          </w:pPr>
          <w:hyperlink w:anchor="_Toc232734026" w:history="1">
            <w:r>
              <w:rPr>
                <w:rStyle w:val="Lienhypertexte"/>
                <w:noProof/>
              </w:rPr>
              <w:t xml:space="preserve">5.4 Périmètre MVP (Phase 1) — </w:t>
            </w:r>
            <w:r>
              <w:rPr>
                <w:rStyle w:val="Lienhypertexte"/>
                <w:i/>
                <w:iCs/>
                <w:noProof/>
              </w:rPr>
              <w:t>[Décision]</w:t>
            </w:r>
            <w:r>
              <w:rPr>
                <w:noProof/>
                <w:webHidden/>
              </w:rPr>
              <w:tab/>
              <w:fldChar w:fldCharType="begin"/>
              <w:instrText xml:space="preserve"> PAGEREF _Toc232734026 \h </w:instrText>
              <w:fldChar w:fldCharType="separate"/>
              <w:t>7</w:t>
              <w:fldChar w:fldCharType="end"/>
            </w:r>
          </w:hyperlink>
        </w:p>
        <w:p w:rsidR="003A06E5" w:rsidRDefault="003A06E5">
          <w:pPr>
            <w:pStyle w:val="TM1"/>
            <w:tabs>
              <w:tab w:val="right" w:leader="dot" w:pos="9016"/>
            </w:tabs>
            <w:rPr>
              <w:noProof/>
            </w:rPr>
          </w:pPr>
          <w:hyperlink w:anchor="_Toc232734027" w:history="1">
            <w:r>
              <w:rPr>
                <w:rStyle w:val="Lienhypertexte"/>
                <w:noProof/>
              </w:rPr>
              <w:t>6. Contexte</w:t>
            </w:r>
            <w:r>
              <w:rPr>
                <w:noProof/>
                <w:webHidden/>
              </w:rPr>
              <w:tab/>
              <w:fldChar w:fldCharType="begin"/>
              <w:instrText xml:space="preserve"> PAGEREF _Toc232734027 \h </w:instrText>
              <w:fldChar w:fldCharType="separate"/>
              <w:t>7</w:t>
              <w:fldChar w:fldCharType="end"/>
            </w:r>
          </w:hyperlink>
        </w:p>
        <w:p w:rsidR="003A06E5" w:rsidRDefault="003A06E5">
          <w:pPr>
            <w:pStyle w:val="TM2"/>
            <w:tabs>
              <w:tab w:val="right" w:leader="dot" w:pos="9016"/>
            </w:tabs>
            <w:rPr>
              <w:noProof/>
            </w:rPr>
          </w:pPr>
          <w:hyperlink w:anchor="_Toc232734028" w:history="1">
            <w:r>
              <w:rPr>
                <w:rStyle w:val="Lienhypertexte"/>
                <w:noProof/>
              </w:rPr>
              <w:t>6.1 Contexte opérationnel camerounais</w:t>
            </w:r>
            <w:r>
              <w:rPr>
                <w:noProof/>
                <w:webHidden/>
              </w:rPr>
              <w:tab/>
              <w:fldChar w:fldCharType="begin"/>
              <w:instrText xml:space="preserve"> PAGEREF _Toc232734028 \h </w:instrText>
              <w:fldChar w:fldCharType="separate"/>
              <w:t>7</w:t>
              <w:fldChar w:fldCharType="end"/>
            </w:r>
          </w:hyperlink>
        </w:p>
        <w:p w:rsidR="003A06E5" w:rsidRDefault="003A06E5">
          <w:pPr>
            <w:pStyle w:val="TM2"/>
            <w:tabs>
              <w:tab w:val="right" w:leader="dot" w:pos="9016"/>
            </w:tabs>
            <w:rPr>
              <w:noProof/>
            </w:rPr>
          </w:pPr>
          <w:hyperlink w:anchor="_Toc232734029" w:history="1">
            <w:r>
              <w:rPr>
                <w:rStyle w:val="Lienhypertexte"/>
                <w:noProof/>
              </w:rPr>
              <w:t>6.2 Contexte académique</w:t>
            </w:r>
            <w:r>
              <w:rPr>
                <w:noProof/>
                <w:webHidden/>
              </w:rPr>
              <w:tab/>
              <w:fldChar w:fldCharType="begin"/>
              <w:instrText xml:space="preserve"> PAGEREF _Toc232734029 \h </w:instrText>
              <w:fldChar w:fldCharType="separate"/>
              <w:t>8</w:t>
              <w:fldChar w:fldCharType="end"/>
            </w:r>
          </w:hyperlink>
        </w:p>
        <w:p w:rsidR="003A06E5" w:rsidRDefault="003A06E5">
          <w:pPr>
            <w:pStyle w:val="TM2"/>
            <w:tabs>
              <w:tab w:val="right" w:leader="dot" w:pos="9016"/>
            </w:tabs>
            <w:rPr>
              <w:noProof/>
            </w:rPr>
          </w:pPr>
          <w:hyperlink w:anchor="_Toc232734030" w:history="1">
            <w:r>
              <w:rPr>
                <w:rStyle w:val="Lienhypertexte"/>
                <w:noProof/>
              </w:rPr>
              <w:t xml:space="preserve">6.3 Hypothèses et contraintes de dimensionnement — </w:t>
            </w:r>
            <w:r>
              <w:rPr>
                <w:rStyle w:val="Lienhypertexte"/>
                <w:i/>
                <w:iCs/>
                <w:noProof/>
              </w:rPr>
              <w:t>[Décision]</w:t>
            </w:r>
            <w:r>
              <w:rPr>
                <w:noProof/>
                <w:webHidden/>
              </w:rPr>
              <w:tab/>
              <w:fldChar w:fldCharType="begin"/>
              <w:instrText xml:space="preserve"> PAGEREF _Toc232734030 \h </w:instrText>
              <w:fldChar w:fldCharType="separate"/>
              <w:t>8</w:t>
              <w:fldChar w:fldCharType="end"/>
            </w:r>
          </w:hyperlink>
        </w:p>
        <w:p w:rsidR="003A06E5" w:rsidRDefault="003A06E5">
          <w:pPr>
            <w:pStyle w:val="TM1"/>
            <w:tabs>
              <w:tab w:val="right" w:leader="dot" w:pos="9016"/>
            </w:tabs>
            <w:rPr>
              <w:noProof/>
            </w:rPr>
          </w:pPr>
          <w:hyperlink w:anchor="_Toc232734031" w:history="1">
            <w:r>
              <w:rPr>
                <w:rStyle w:val="Lienhypertexte"/>
                <w:noProof/>
              </w:rPr>
              <w:t>7. Exigences fonctionnelles</w:t>
            </w:r>
            <w:r>
              <w:rPr>
                <w:noProof/>
                <w:webHidden/>
              </w:rPr>
              <w:tab/>
              <w:fldChar w:fldCharType="begin"/>
              <w:instrText xml:space="preserve"> PAGEREF _Toc232734031 \h </w:instrText>
              <w:fldChar w:fldCharType="separate"/>
              <w:t>8</w:t>
              <w:fldChar w:fldCharType="end"/>
            </w:r>
          </w:hyperlink>
        </w:p>
        <w:p w:rsidR="003A06E5" w:rsidRDefault="003A06E5">
          <w:pPr>
            <w:pStyle w:val="TM2"/>
            <w:tabs>
              <w:tab w:val="right" w:leader="dot" w:pos="9016"/>
            </w:tabs>
            <w:rPr>
              <w:noProof/>
            </w:rPr>
          </w:pPr>
          <w:hyperlink w:anchor="_Toc232734032" w:history="1">
            <w:r>
              <w:rPr>
                <w:rStyle w:val="Lienhypertexte"/>
                <w:noProof/>
              </w:rPr>
              <w:t>7.1 Comptes, identité et sécurité d’accès</w:t>
            </w:r>
            <w:r>
              <w:rPr>
                <w:noProof/>
                <w:webHidden/>
              </w:rPr>
              <w:tab/>
              <w:fldChar w:fldCharType="begin"/>
              <w:instrText xml:space="preserve"> PAGEREF _Toc232734032 \h </w:instrText>
              <w:fldChar w:fldCharType="separate"/>
              <w:t>8</w:t>
              <w:fldChar w:fldCharType="end"/>
            </w:r>
          </w:hyperlink>
        </w:p>
        <w:p w:rsidR="003A06E5" w:rsidRDefault="003A06E5">
          <w:pPr>
            <w:pStyle w:val="TM2"/>
            <w:tabs>
              <w:tab w:val="right" w:leader="dot" w:pos="9016"/>
            </w:tabs>
            <w:rPr>
              <w:noProof/>
            </w:rPr>
          </w:pPr>
          <w:hyperlink w:anchor="_Toc232734033" w:history="1">
            <w:r>
              <w:rPr>
                <w:rStyle w:val="Lienhypertexte"/>
                <w:noProof/>
              </w:rPr>
              <w:t>7.2 Commande et opérations de livraison</w:t>
            </w:r>
            <w:r>
              <w:rPr>
                <w:noProof/>
                <w:webHidden/>
              </w:rPr>
              <w:tab/>
              <w:fldChar w:fldCharType="begin"/>
              <w:instrText xml:space="preserve"> PAGEREF _Toc232734033 \h </w:instrText>
              <w:fldChar w:fldCharType="separate"/>
              <w:t>8</w:t>
              <w:fldChar w:fldCharType="end"/>
            </w:r>
          </w:hyperlink>
        </w:p>
        <w:p w:rsidR="003A06E5" w:rsidRDefault="003A06E5">
          <w:pPr>
            <w:pStyle w:val="TM2"/>
            <w:tabs>
              <w:tab w:val="right" w:leader="dot" w:pos="9016"/>
            </w:tabs>
            <w:rPr>
              <w:noProof/>
            </w:rPr>
          </w:pPr>
          <w:hyperlink w:anchor="_Toc232734034" w:history="1">
            <w:r>
              <w:rPr>
                <w:rStyle w:val="Lienhypertexte"/>
                <w:noProof/>
              </w:rPr>
              <w:t>7.3 Affectation, suivi et confirmation</w:t>
            </w:r>
            <w:r>
              <w:rPr>
                <w:noProof/>
                <w:webHidden/>
              </w:rPr>
              <w:tab/>
              <w:fldChar w:fldCharType="begin"/>
              <w:instrText xml:space="preserve"> PAGEREF _Toc232734034 \h </w:instrText>
              <w:fldChar w:fldCharType="separate"/>
              <w:t>9</w:t>
              <w:fldChar w:fldCharType="end"/>
            </w:r>
          </w:hyperlink>
        </w:p>
        <w:p w:rsidR="003A06E5" w:rsidRDefault="003A06E5">
          <w:pPr>
            <w:pStyle w:val="TM2"/>
            <w:tabs>
              <w:tab w:val="right" w:leader="dot" w:pos="9016"/>
            </w:tabs>
            <w:rPr>
              <w:noProof/>
            </w:rPr>
          </w:pPr>
          <w:hyperlink w:anchor="_Toc232734035" w:history="1">
            <w:r>
              <w:rPr>
                <w:rStyle w:val="Lienhypertexte"/>
                <w:noProof/>
              </w:rPr>
              <w:t>7.4 Paiement et facturation</w:t>
            </w:r>
            <w:r>
              <w:rPr>
                <w:noProof/>
                <w:webHidden/>
              </w:rPr>
              <w:tab/>
              <w:fldChar w:fldCharType="begin"/>
              <w:instrText xml:space="preserve"> PAGEREF _Toc232734035 \h </w:instrText>
              <w:fldChar w:fldCharType="separate"/>
              <w:t>10</w:t>
              <w:fldChar w:fldCharType="end"/>
            </w:r>
          </w:hyperlink>
        </w:p>
        <w:p w:rsidR="003A06E5" w:rsidRDefault="003A06E5">
          <w:pPr>
            <w:pStyle w:val="TM2"/>
            <w:tabs>
              <w:tab w:val="right" w:leader="dot" w:pos="9016"/>
            </w:tabs>
            <w:rPr>
              <w:noProof/>
            </w:rPr>
          </w:pPr>
          <w:hyperlink w:anchor="_Toc232734036" w:history="1">
            <w:r>
              <w:rPr>
                <w:rStyle w:val="Lienhypertexte"/>
                <w:noProof/>
              </w:rPr>
              <w:t>7.5 Communication, évaluation, historique</w:t>
            </w:r>
            <w:r>
              <w:rPr>
                <w:noProof/>
                <w:webHidden/>
              </w:rPr>
              <w:tab/>
              <w:fldChar w:fldCharType="begin"/>
              <w:instrText xml:space="preserve"> PAGEREF _Toc232734036 \h </w:instrText>
              <w:fldChar w:fldCharType="separate"/>
              <w:t>10</w:t>
              <w:fldChar w:fldCharType="end"/>
            </w:r>
          </w:hyperlink>
        </w:p>
        <w:p w:rsidR="003A06E5" w:rsidRDefault="003A06E5">
          <w:pPr>
            <w:pStyle w:val="TM2"/>
            <w:tabs>
              <w:tab w:val="right" w:leader="dot" w:pos="9016"/>
            </w:tabs>
            <w:rPr>
              <w:noProof/>
            </w:rPr>
          </w:pPr>
          <w:hyperlink w:anchor="_Toc232734037" w:history="1">
            <w:r>
              <w:rPr>
                <w:rStyle w:val="Lienhypertexte"/>
                <w:noProof/>
              </w:rPr>
              <w:t>7.6 Administration et pilotage</w:t>
            </w:r>
            <w:r>
              <w:rPr>
                <w:noProof/>
                <w:webHidden/>
              </w:rPr>
              <w:tab/>
              <w:fldChar w:fldCharType="begin"/>
              <w:instrText xml:space="preserve"> PAGEREF _Toc232734037 \h </w:instrText>
              <w:fldChar w:fldCharType="separate"/>
              <w:t>10</w:t>
              <w:fldChar w:fldCharType="end"/>
            </w:r>
          </w:hyperlink>
        </w:p>
        <w:p w:rsidR="003A06E5" w:rsidRDefault="003A06E5">
          <w:pPr>
            <w:pStyle w:val="TM1"/>
            <w:tabs>
              <w:tab w:val="right" w:leader="dot" w:pos="9016"/>
            </w:tabs>
            <w:rPr>
              <w:noProof/>
            </w:rPr>
          </w:pPr>
          <w:hyperlink w:anchor="_Toc232734038" w:history="1">
            <w:r>
              <w:rPr>
                <w:rStyle w:val="Lienhypertexte"/>
                <w:noProof/>
              </w:rPr>
              <w:t>8. Exigences non fonctionnelles</w:t>
            </w:r>
            <w:r>
              <w:rPr>
                <w:noProof/>
                <w:webHidden/>
              </w:rPr>
              <w:tab/>
              <w:fldChar w:fldCharType="begin"/>
              <w:instrText xml:space="preserve"> PAGEREF _Toc232734038 \h </w:instrText>
              <w:fldChar w:fldCharType="separate"/>
              <w:t>11</w:t>
              <w:fldChar w:fldCharType="end"/>
            </w:r>
          </w:hyperlink>
        </w:p>
        <w:p w:rsidR="003A06E5" w:rsidRDefault="003A06E5">
          <w:pPr>
            <w:pStyle w:val="TM1"/>
            <w:tabs>
              <w:tab w:val="right" w:leader="dot" w:pos="9016"/>
            </w:tabs>
            <w:rPr>
              <w:noProof/>
            </w:rPr>
          </w:pPr>
          <w:hyperlink w:anchor="_Toc232734039" w:history="1">
            <w:r>
              <w:rPr>
                <w:rStyle w:val="Lienhypertexte"/>
                <w:noProof/>
              </w:rPr>
              <w:t>9. Règles de gestion (formalisées)</w:t>
            </w:r>
            <w:r>
              <w:rPr>
                <w:noProof/>
                <w:webHidden/>
              </w:rPr>
              <w:tab/>
              <w:fldChar w:fldCharType="begin"/>
              <w:instrText xml:space="preserve"> PAGEREF _Toc232734039 \h </w:instrText>
              <w:fldChar w:fldCharType="separate"/>
              <w:t>12</w:t>
              <w:fldChar w:fldCharType="end"/>
            </w:r>
          </w:hyperlink>
        </w:p>
        <w:p w:rsidR="003A06E5" w:rsidRDefault="003A06E5">
          <w:pPr>
            <w:pStyle w:val="TM2"/>
            <w:tabs>
              <w:tab w:val="right" w:leader="dot" w:pos="9016"/>
            </w:tabs>
            <w:rPr>
              <w:noProof/>
            </w:rPr>
          </w:pPr>
          <w:hyperlink w:anchor="_Toc232734040" w:history="1">
            <w:r>
              <w:rPr>
                <w:rStyle w:val="Lienhypertexte"/>
                <w:noProof/>
              </w:rPr>
              <w:t xml:space="preserve">9.1 Tarification — formule canonique </w:t>
            </w:r>
            <w:r>
              <w:rPr>
                <w:rStyle w:val="Lienhypertexte"/>
                <w:i/>
                <w:iCs/>
                <w:noProof/>
              </w:rPr>
              <w:t>[Décision]</w:t>
            </w:r>
            <w:r>
              <w:rPr>
                <w:noProof/>
                <w:webHidden/>
              </w:rPr>
              <w:tab/>
              <w:fldChar w:fldCharType="begin"/>
              <w:instrText xml:space="preserve"> PAGEREF _Toc232734040 \h </w:instrText>
              <w:fldChar w:fldCharType="separate"/>
              <w:t>12</w:t>
              <w:fldChar w:fldCharType="end"/>
            </w:r>
          </w:hyperlink>
        </w:p>
        <w:p w:rsidR="003A06E5" w:rsidRDefault="003A06E5">
          <w:pPr>
            <w:pStyle w:val="TM2"/>
            <w:tabs>
              <w:tab w:val="right" w:leader="dot" w:pos="9016"/>
            </w:tabs>
            <w:rPr>
              <w:noProof/>
            </w:rPr>
          </w:pPr>
          <w:hyperlink w:anchor="_Toc232734041" w:history="1">
            <w:r>
              <w:rPr>
                <w:rStyle w:val="Lienhypertexte"/>
                <w:noProof/>
              </w:rPr>
              <w:t xml:space="preserve">9.2 Score composite d’attribution </w:t>
            </w:r>
            <w:r>
              <w:rPr>
                <w:rStyle w:val="Lienhypertexte"/>
                <w:i/>
                <w:iCs/>
                <w:noProof/>
              </w:rPr>
              <w:t>[Décision]</w:t>
            </w:r>
            <w:r>
              <w:rPr>
                <w:noProof/>
                <w:webHidden/>
              </w:rPr>
              <w:tab/>
              <w:fldChar w:fldCharType="begin"/>
              <w:instrText xml:space="preserve"> PAGEREF _Toc232734041 \h </w:instrText>
              <w:fldChar w:fldCharType="separate"/>
              <w:t>12</w:t>
              <w:fldChar w:fldCharType="end"/>
            </w:r>
          </w:hyperlink>
        </w:p>
        <w:p w:rsidR="003A06E5" w:rsidRDefault="003A06E5">
          <w:pPr>
            <w:pStyle w:val="TM2"/>
            <w:tabs>
              <w:tab w:val="right" w:leader="dot" w:pos="9016"/>
            </w:tabs>
            <w:rPr>
              <w:noProof/>
            </w:rPr>
          </w:pPr>
          <w:hyperlink w:anchor="_Toc232734042" w:history="1">
            <w:r>
              <w:rPr>
                <w:rStyle w:val="Lienhypertexte"/>
                <w:noProof/>
              </w:rPr>
              <w:t xml:space="preserve">9.3 Pénalités et échelle GPS </w:t>
            </w:r>
            <w:r>
              <w:rPr>
                <w:rStyle w:val="Lienhypertexte"/>
                <w:i/>
                <w:iCs/>
                <w:noProof/>
              </w:rPr>
              <w:t>[Décision]</w:t>
            </w:r>
            <w:r>
              <w:rPr>
                <w:noProof/>
                <w:webHidden/>
              </w:rPr>
              <w:tab/>
              <w:fldChar w:fldCharType="begin"/>
              <w:instrText xml:space="preserve"> PAGEREF _Toc232734042 \h </w:instrText>
              <w:fldChar w:fldCharType="separate"/>
              <w:t>13</w:t>
              <w:fldChar w:fldCharType="end"/>
            </w:r>
          </w:hyperlink>
        </w:p>
        <w:p w:rsidR="003A06E5" w:rsidRDefault="003A06E5">
          <w:pPr>
            <w:pStyle w:val="TM2"/>
            <w:tabs>
              <w:tab w:val="right" w:leader="dot" w:pos="9016"/>
            </w:tabs>
            <w:rPr>
              <w:noProof/>
            </w:rPr>
          </w:pPr>
          <w:hyperlink w:anchor="_Toc232734043" w:history="1">
            <w:r>
              <w:rPr>
                <w:rStyle w:val="Lienhypertexte"/>
                <w:noProof/>
              </w:rPr>
              <w:t>9.4 Retrait partenaire (§7.3 BF10/BF19)</w:t>
            </w:r>
            <w:r>
              <w:rPr>
                <w:noProof/>
                <w:webHidden/>
              </w:rPr>
              <w:tab/>
              <w:fldChar w:fldCharType="begin"/>
              <w:instrText xml:space="preserve"> PAGEREF _Toc232734043 \h </w:instrText>
              <w:fldChar w:fldCharType="separate"/>
              <w:t>13</w:t>
              <w:fldChar w:fldCharType="end"/>
            </w:r>
          </w:hyperlink>
        </w:p>
        <w:p w:rsidR="003A06E5" w:rsidRDefault="003A06E5">
          <w:pPr>
            <w:pStyle w:val="TM2"/>
            <w:tabs>
              <w:tab w:val="right" w:leader="dot" w:pos="9016"/>
            </w:tabs>
            <w:rPr>
              <w:noProof/>
            </w:rPr>
          </w:pPr>
          <w:hyperlink w:anchor="_Toc232734044" w:history="1">
            <w:r>
              <w:rPr>
                <w:rStyle w:val="Lienhypertexte"/>
                <w:noProof/>
              </w:rPr>
              <w:t>9.5 Ramassage hebdomadaire (§7.2 BF11)</w:t>
            </w:r>
            <w:r>
              <w:rPr>
                <w:noProof/>
                <w:webHidden/>
              </w:rPr>
              <w:tab/>
              <w:fldChar w:fldCharType="begin"/>
              <w:instrText xml:space="preserve"> PAGEREF _Toc232734044 \h </w:instrText>
              <w:fldChar w:fldCharType="separate"/>
              <w:t>13</w:t>
              <w:fldChar w:fldCharType="end"/>
            </w:r>
          </w:hyperlink>
        </w:p>
        <w:p w:rsidR="003A06E5" w:rsidRDefault="003A06E5">
          <w:pPr>
            <w:pStyle w:val="TM1"/>
            <w:tabs>
              <w:tab w:val="right" w:leader="dot" w:pos="9016"/>
            </w:tabs>
            <w:rPr>
              <w:noProof/>
            </w:rPr>
          </w:pPr>
          <w:hyperlink w:anchor="_Toc232734045" w:history="1">
            <w:r>
              <w:rPr>
                <w:rStyle w:val="Lienhypertexte"/>
                <w:noProof/>
              </w:rPr>
              <w:t xml:space="preserve">10. Machine à états des livraisons </w:t>
            </w:r>
            <w:r>
              <w:rPr>
                <w:rStyle w:val="Lienhypertexte"/>
                <w:i/>
                <w:iCs/>
                <w:noProof/>
              </w:rPr>
              <w:t>[Décision]</w:t>
            </w:r>
            <w:r>
              <w:rPr>
                <w:noProof/>
                <w:webHidden/>
              </w:rPr>
              <w:tab/>
              <w:fldChar w:fldCharType="begin"/>
              <w:instrText xml:space="preserve"> PAGEREF _Toc232734045 \h </w:instrText>
              <w:fldChar w:fldCharType="separate"/>
              <w:t>14</w:t>
              <w:fldChar w:fldCharType="end"/>
            </w:r>
          </w:hyperlink>
        </w:p>
        <w:p w:rsidR="003A06E5" w:rsidRDefault="003A06E5">
          <w:pPr>
            <w:pStyle w:val="TM2"/>
            <w:tabs>
              <w:tab w:val="right" w:leader="dot" w:pos="9016"/>
            </w:tabs>
            <w:rPr>
              <w:noProof/>
            </w:rPr>
          </w:pPr>
          <w:hyperlink w:anchor="_Toc232734046" w:history="1">
            <w:r>
              <w:rPr>
                <w:rStyle w:val="Lienhypertexte"/>
                <w:noProof/>
              </w:rPr>
              <w:t>10.1 États</w:t>
            </w:r>
            <w:r>
              <w:rPr>
                <w:noProof/>
                <w:webHidden/>
              </w:rPr>
              <w:tab/>
              <w:fldChar w:fldCharType="begin"/>
              <w:instrText xml:space="preserve"> PAGEREF _Toc232734046 \h </w:instrText>
              <w:fldChar w:fldCharType="separate"/>
              <w:t>14</w:t>
              <w:fldChar w:fldCharType="end"/>
            </w:r>
          </w:hyperlink>
        </w:p>
        <w:p w:rsidR="003A06E5" w:rsidRDefault="003A06E5">
          <w:pPr>
            <w:pStyle w:val="TM2"/>
            <w:tabs>
              <w:tab w:val="right" w:leader="dot" w:pos="9016"/>
            </w:tabs>
            <w:rPr>
              <w:noProof/>
            </w:rPr>
          </w:pPr>
          <w:hyperlink w:anchor="_Toc232734047" w:history="1">
            <w:r>
              <w:rPr>
                <w:rStyle w:val="Lienhypertexte"/>
                <w:noProof/>
              </w:rPr>
              <w:t>10.2 Transitions principales</w:t>
            </w:r>
            <w:r>
              <w:rPr>
                <w:noProof/>
                <w:webHidden/>
              </w:rPr>
              <w:tab/>
              <w:fldChar w:fldCharType="begin"/>
              <w:instrText xml:space="preserve"> PAGEREF _Toc232734047 \h </w:instrText>
              <w:fldChar w:fldCharType="separate"/>
              <w:t>14</w:t>
              <w:fldChar w:fldCharType="end"/>
            </w:r>
          </w:hyperlink>
        </w:p>
        <w:p w:rsidR="003A06E5" w:rsidRDefault="003A06E5">
          <w:pPr>
            <w:pStyle w:val="TM2"/>
            <w:tabs>
              <w:tab w:val="right" w:leader="dot" w:pos="9016"/>
            </w:tabs>
            <w:rPr>
              <w:noProof/>
            </w:rPr>
          </w:pPr>
          <w:hyperlink w:anchor="_Toc232734048" w:history="1">
            <w:r>
              <w:rPr>
                <w:rStyle w:val="Lienhypertexte"/>
                <w:noProof/>
              </w:rPr>
              <w:t xml:space="preserve">10.3 Confirmation hors-ligne (résolution de la tension offline ↔ OTP) </w:t>
            </w:r>
            <w:r>
              <w:rPr>
                <w:rStyle w:val="Lienhypertexte"/>
                <w:i/>
                <w:iCs/>
                <w:noProof/>
              </w:rPr>
              <w:t>[Décision]</w:t>
            </w:r>
            <w:r>
              <w:rPr>
                <w:noProof/>
                <w:webHidden/>
              </w:rPr>
              <w:tab/>
              <w:fldChar w:fldCharType="begin"/>
              <w:instrText xml:space="preserve"> PAGEREF _Toc232734048 \h </w:instrText>
              <w:fldChar w:fldCharType="separate"/>
              <w:t>15</w:t>
              <w:fldChar w:fldCharType="end"/>
            </w:r>
          </w:hyperlink>
        </w:p>
        <w:p w:rsidR="003A06E5" w:rsidRDefault="003A06E5">
          <w:pPr>
            <w:pStyle w:val="TM2"/>
            <w:tabs>
              <w:tab w:val="right" w:leader="dot" w:pos="9016"/>
            </w:tabs>
            <w:rPr>
              <w:noProof/>
            </w:rPr>
          </w:pPr>
          <w:hyperlink w:anchor="_Toc232734049" w:history="1">
            <w:r>
              <w:rPr>
                <w:rStyle w:val="Lienhypertexte"/>
                <w:noProof/>
              </w:rPr>
              <w:t xml:space="preserve">10.4 Résolution des conflits de synchronisation </w:t>
            </w:r>
            <w:r>
              <w:rPr>
                <w:rStyle w:val="Lienhypertexte"/>
                <w:i/>
                <w:iCs/>
                <w:noProof/>
              </w:rPr>
              <w:t>[Décision]</w:t>
            </w:r>
            <w:r>
              <w:rPr>
                <w:noProof/>
                <w:webHidden/>
              </w:rPr>
              <w:tab/>
              <w:fldChar w:fldCharType="begin"/>
              <w:instrText xml:space="preserve"> PAGEREF _Toc232734049 \h </w:instrText>
              <w:fldChar w:fldCharType="separate"/>
              <w:t>15</w:t>
              <w:fldChar w:fldCharType="end"/>
            </w:r>
          </w:hyperlink>
        </w:p>
        <w:p w:rsidR="003A06E5" w:rsidRDefault="003A06E5">
          <w:pPr>
            <w:pStyle w:val="TM1"/>
            <w:tabs>
              <w:tab w:val="right" w:leader="dot" w:pos="9016"/>
            </w:tabs>
            <w:rPr>
              <w:noProof/>
            </w:rPr>
          </w:pPr>
          <w:hyperlink w:anchor="_Toc232734050" w:history="1">
            <w:r>
              <w:rPr>
                <w:rStyle w:val="Lienhypertexte"/>
                <w:noProof/>
              </w:rPr>
              <w:t>11. Modèle économique et rémunération</w:t>
            </w:r>
            <w:r>
              <w:rPr>
                <w:noProof/>
                <w:webHidden/>
              </w:rPr>
              <w:tab/>
              <w:fldChar w:fldCharType="begin"/>
              <w:instrText xml:space="preserve"> PAGEREF _Toc232734050 \h </w:instrText>
              <w:fldChar w:fldCharType="separate"/>
              <w:t>16</w:t>
              <w:fldChar w:fldCharType="end"/>
            </w:r>
          </w:hyperlink>
        </w:p>
        <w:p w:rsidR="003A06E5" w:rsidRDefault="003A06E5">
          <w:pPr>
            <w:pStyle w:val="TM2"/>
            <w:tabs>
              <w:tab w:val="right" w:leader="dot" w:pos="9016"/>
            </w:tabs>
            <w:rPr>
              <w:noProof/>
            </w:rPr>
          </w:pPr>
          <w:hyperlink w:anchor="_Toc232734051" w:history="1">
            <w:r>
              <w:rPr>
                <w:rStyle w:val="Lienhypertexte"/>
                <w:noProof/>
              </w:rPr>
              <w:t xml:space="preserve">11.1 Statut des livreurs </w:t>
            </w:r>
            <w:r>
              <w:rPr>
                <w:rStyle w:val="Lienhypertexte"/>
                <w:i/>
                <w:iCs/>
                <w:noProof/>
              </w:rPr>
              <w:t>[Décision — lève la contradiction salarié/commission]</w:t>
            </w:r>
            <w:r>
              <w:rPr>
                <w:noProof/>
                <w:webHidden/>
              </w:rPr>
              <w:tab/>
              <w:fldChar w:fldCharType="begin"/>
              <w:instrText xml:space="preserve"> PAGEREF _Toc232734051 \h </w:instrText>
              <w:fldChar w:fldCharType="separate"/>
              <w:t>16</w:t>
              <w:fldChar w:fldCharType="end"/>
            </w:r>
          </w:hyperlink>
        </w:p>
        <w:p w:rsidR="003A06E5" w:rsidRDefault="003A06E5">
          <w:pPr>
            <w:pStyle w:val="TM2"/>
            <w:tabs>
              <w:tab w:val="right" w:leader="dot" w:pos="9016"/>
            </w:tabs>
            <w:rPr>
              <w:noProof/>
            </w:rPr>
          </w:pPr>
          <w:hyperlink w:anchor="_Toc232734052" w:history="1">
            <w:r>
              <w:rPr>
                <w:rStyle w:val="Lienhypertexte"/>
                <w:noProof/>
              </w:rPr>
              <w:t xml:space="preserve">11.2 Calcul de la prime (BF38) </w:t>
            </w:r>
            <w:r>
              <w:rPr>
                <w:rStyle w:val="Lienhypertexte"/>
                <w:i/>
                <w:iCs/>
                <w:noProof/>
              </w:rPr>
              <w:t>[Décision]</w:t>
            </w:r>
            <w:r>
              <w:rPr>
                <w:noProof/>
                <w:webHidden/>
              </w:rPr>
              <w:tab/>
              <w:fldChar w:fldCharType="begin"/>
              <w:instrText xml:space="preserve"> PAGEREF _Toc232734052 \h </w:instrText>
              <w:fldChar w:fldCharType="separate"/>
              <w:t>16</w:t>
              <w:fldChar w:fldCharType="end"/>
            </w:r>
          </w:hyperlink>
        </w:p>
        <w:p w:rsidR="003A06E5" w:rsidRDefault="003A06E5">
          <w:pPr>
            <w:pStyle w:val="TM2"/>
            <w:tabs>
              <w:tab w:val="right" w:leader="dot" w:pos="9016"/>
            </w:tabs>
            <w:rPr>
              <w:noProof/>
            </w:rPr>
          </w:pPr>
          <w:hyperlink w:anchor="_Toc232734053" w:history="1">
            <w:r>
              <w:rPr>
                <w:rStyle w:val="Lienhypertexte"/>
                <w:noProof/>
              </w:rPr>
              <w:t xml:space="preserve">11.3 Structure des revenus de la plateforme </w:t>
            </w:r>
            <w:r>
              <w:rPr>
                <w:rStyle w:val="Lienhypertexte"/>
                <w:i/>
                <w:iCs/>
                <w:noProof/>
              </w:rPr>
              <w:t>[Décision]</w:t>
            </w:r>
            <w:r>
              <w:rPr>
                <w:noProof/>
                <w:webHidden/>
              </w:rPr>
              <w:tab/>
              <w:fldChar w:fldCharType="begin"/>
              <w:instrText xml:space="preserve"> PAGEREF _Toc232734053 \h </w:instrText>
              <w:fldChar w:fldCharType="separate"/>
              <w:t>16</w:t>
              <w:fldChar w:fldCharType="end"/>
            </w:r>
          </w:hyperlink>
        </w:p>
        <w:p w:rsidR="003A06E5" w:rsidRDefault="003A06E5">
          <w:pPr>
            <w:pStyle w:val="TM2"/>
            <w:tabs>
              <w:tab w:val="right" w:leader="dot" w:pos="9016"/>
            </w:tabs>
            <w:rPr>
              <w:noProof/>
            </w:rPr>
          </w:pPr>
          <w:hyperlink w:anchor="_Toc232734054" w:history="1">
            <w:r>
              <w:rPr>
                <w:rStyle w:val="Lienhypertexte"/>
                <w:noProof/>
              </w:rPr>
              <w:t xml:space="preserve">11.4 Clients entreprise (B2B) </w:t>
            </w:r>
            <w:r>
              <w:rPr>
                <w:rStyle w:val="Lienhypertexte"/>
                <w:i/>
                <w:iCs/>
                <w:noProof/>
              </w:rPr>
              <w:t>[Décision]</w:t>
            </w:r>
            <w:r>
              <w:rPr>
                <w:noProof/>
                <w:webHidden/>
              </w:rPr>
              <w:tab/>
              <w:fldChar w:fldCharType="begin"/>
              <w:instrText xml:space="preserve"> PAGEREF _Toc232734054 \h </w:instrText>
              <w:fldChar w:fldCharType="separate"/>
              <w:t>16</w:t>
              <w:fldChar w:fldCharType="end"/>
            </w:r>
          </w:hyperlink>
        </w:p>
        <w:p w:rsidR="003A06E5" w:rsidRDefault="003A06E5">
          <w:pPr>
            <w:pStyle w:val="TM2"/>
            <w:tabs>
              <w:tab w:val="right" w:leader="dot" w:pos="9016"/>
            </w:tabs>
            <w:rPr>
              <w:noProof/>
            </w:rPr>
          </w:pPr>
          <w:hyperlink w:anchor="_Toc232734055" w:history="1">
            <w:r>
              <w:rPr>
                <w:rStyle w:val="Lienhypertexte"/>
                <w:noProof/>
              </w:rPr>
              <w:t xml:space="preserve">11.5 Périmètre COD et module futur </w:t>
            </w:r>
            <w:r>
              <w:rPr>
                <w:rStyle w:val="Lienhypertexte"/>
                <w:i/>
                <w:iCs/>
                <w:noProof/>
              </w:rPr>
              <w:t>[Décision]</w:t>
            </w:r>
            <w:r>
              <w:rPr>
                <w:noProof/>
                <w:webHidden/>
              </w:rPr>
              <w:tab/>
              <w:fldChar w:fldCharType="begin"/>
              <w:instrText xml:space="preserve"> PAGEREF _Toc232734055 \h </w:instrText>
              <w:fldChar w:fldCharType="separate"/>
              <w:t>17</w:t>
              <w:fldChar w:fldCharType="end"/>
            </w:r>
          </w:hyperlink>
        </w:p>
        <w:p w:rsidR="003A06E5" w:rsidRDefault="003A06E5">
          <w:pPr>
            <w:pStyle w:val="TM1"/>
            <w:tabs>
              <w:tab w:val="right" w:leader="dot" w:pos="9016"/>
            </w:tabs>
            <w:rPr>
              <w:noProof/>
            </w:rPr>
          </w:pPr>
          <w:hyperlink w:anchor="_Toc232734056" w:history="1">
            <w:r>
              <w:rPr>
                <w:rStyle w:val="Lienhypertexte"/>
                <w:noProof/>
              </w:rPr>
              <w:t>12. Architecture technique</w:t>
            </w:r>
            <w:r>
              <w:rPr>
                <w:noProof/>
                <w:webHidden/>
              </w:rPr>
              <w:tab/>
              <w:fldChar w:fldCharType="begin"/>
              <w:instrText xml:space="preserve"> PAGEREF _Toc232734056 \h </w:instrText>
              <w:fldChar w:fldCharType="separate"/>
              <w:t>17</w:t>
              <w:fldChar w:fldCharType="end"/>
            </w:r>
          </w:hyperlink>
        </w:p>
        <w:p w:rsidR="003A06E5" w:rsidRDefault="003A06E5">
          <w:pPr>
            <w:pStyle w:val="TM2"/>
            <w:tabs>
              <w:tab w:val="right" w:leader="dot" w:pos="9016"/>
            </w:tabs>
            <w:rPr>
              <w:noProof/>
            </w:rPr>
          </w:pPr>
          <w:hyperlink w:anchor="_Toc232734057" w:history="1">
            <w:r>
              <w:rPr>
                <w:rStyle w:val="Lienhypertexte"/>
                <w:noProof/>
              </w:rPr>
              <w:t>12.1 Écosystème applicatif</w:t>
            </w:r>
            <w:r>
              <w:rPr>
                <w:noProof/>
                <w:webHidden/>
              </w:rPr>
              <w:tab/>
              <w:fldChar w:fldCharType="begin"/>
              <w:instrText xml:space="preserve"> PAGEREF _Toc232734057 \h </w:instrText>
              <w:fldChar w:fldCharType="separate"/>
              <w:t>17</w:t>
              <w:fldChar w:fldCharType="end"/>
            </w:r>
          </w:hyperlink>
        </w:p>
        <w:p w:rsidR="003A06E5" w:rsidRDefault="003A06E5">
          <w:pPr>
            <w:pStyle w:val="TM2"/>
            <w:tabs>
              <w:tab w:val="right" w:leader="dot" w:pos="9016"/>
            </w:tabs>
            <w:rPr>
              <w:noProof/>
            </w:rPr>
          </w:pPr>
          <w:hyperlink w:anchor="_Toc232734058" w:history="1">
            <w:r>
              <w:rPr>
                <w:rStyle w:val="Lienhypertexte"/>
                <w:noProof/>
              </w:rPr>
              <w:t>12.2 Données et messagerie</w:t>
            </w:r>
            <w:r>
              <w:rPr>
                <w:noProof/>
                <w:webHidden/>
              </w:rPr>
              <w:tab/>
              <w:fldChar w:fldCharType="begin"/>
              <w:instrText xml:space="preserve"> PAGEREF _Toc232734058 \h </w:instrText>
              <w:fldChar w:fldCharType="separate"/>
              <w:t>17</w:t>
              <w:fldChar w:fldCharType="end"/>
            </w:r>
          </w:hyperlink>
        </w:p>
        <w:p w:rsidR="003A06E5" w:rsidRDefault="003A06E5">
          <w:pPr>
            <w:pStyle w:val="TM2"/>
            <w:tabs>
              <w:tab w:val="right" w:leader="dot" w:pos="9016"/>
            </w:tabs>
            <w:rPr>
              <w:noProof/>
            </w:rPr>
          </w:pPr>
          <w:hyperlink w:anchor="_Toc232734059" w:history="1">
            <w:r>
              <w:rPr>
                <w:rStyle w:val="Lienhypertexte"/>
                <w:noProof/>
              </w:rPr>
              <w:t xml:space="preserve">12.3 Cartographie et services tiers </w:t>
            </w:r>
            <w:r>
              <w:rPr>
                <w:rStyle w:val="Lienhypertexte"/>
                <w:i/>
                <w:iCs/>
                <w:noProof/>
              </w:rPr>
              <w:t>[Décision]</w:t>
            </w:r>
            <w:r>
              <w:rPr>
                <w:noProof/>
                <w:webHidden/>
              </w:rPr>
              <w:tab/>
              <w:fldChar w:fldCharType="begin"/>
              <w:instrText xml:space="preserve"> PAGEREF _Toc232734059 \h </w:instrText>
              <w:fldChar w:fldCharType="separate"/>
              <w:t>17</w:t>
              <w:fldChar w:fldCharType="end"/>
            </w:r>
          </w:hyperlink>
        </w:p>
        <w:p w:rsidR="003A06E5" w:rsidRDefault="003A06E5">
          <w:pPr>
            <w:pStyle w:val="TM2"/>
            <w:tabs>
              <w:tab w:val="right" w:leader="dot" w:pos="9016"/>
            </w:tabs>
            <w:rPr>
              <w:noProof/>
            </w:rPr>
          </w:pPr>
          <w:hyperlink w:anchor="_Toc232734060" w:history="1">
            <w:r>
              <w:rPr>
                <w:rStyle w:val="Lienhypertexte"/>
                <w:noProof/>
              </w:rPr>
              <w:t xml:space="preserve">12.4 Infrastructure et niveaux de service </w:t>
            </w:r>
            <w:r>
              <w:rPr>
                <w:rStyle w:val="Lienhypertexte"/>
                <w:i/>
                <w:iCs/>
                <w:noProof/>
              </w:rPr>
              <w:t>[Décision]</w:t>
            </w:r>
            <w:r>
              <w:rPr>
                <w:noProof/>
                <w:webHidden/>
              </w:rPr>
              <w:tab/>
              <w:fldChar w:fldCharType="begin"/>
              <w:instrText xml:space="preserve"> PAGEREF _Toc232734060 \h </w:instrText>
              <w:fldChar w:fldCharType="separate"/>
              <w:t>17</w:t>
              <w:fldChar w:fldCharType="end"/>
            </w:r>
          </w:hyperlink>
        </w:p>
        <w:p w:rsidR="003A06E5" w:rsidRDefault="003A06E5">
          <w:pPr>
            <w:pStyle w:val="TM1"/>
            <w:tabs>
              <w:tab w:val="right" w:leader="dot" w:pos="9016"/>
            </w:tabs>
            <w:rPr>
              <w:noProof/>
            </w:rPr>
          </w:pPr>
          <w:hyperlink w:anchor="_Toc232734061" w:history="1">
            <w:r>
              <w:rPr>
                <w:rStyle w:val="Lienhypertexte"/>
                <w:noProof/>
              </w:rPr>
              <w:t xml:space="preserve">13. Modèle de données de référence (domaine) </w:t>
            </w:r>
            <w:r>
              <w:rPr>
                <w:rStyle w:val="Lienhypertexte"/>
                <w:i/>
                <w:iCs/>
                <w:noProof/>
              </w:rPr>
              <w:t>[Décision]</w:t>
            </w:r>
            <w:r>
              <w:rPr>
                <w:noProof/>
                <w:webHidden/>
              </w:rPr>
              <w:tab/>
              <w:fldChar w:fldCharType="begin"/>
              <w:instrText xml:space="preserve"> PAGEREF _Toc232734061 \h </w:instrText>
              <w:fldChar w:fldCharType="separate"/>
              <w:t>18</w:t>
              <w:fldChar w:fldCharType="end"/>
            </w:r>
          </w:hyperlink>
        </w:p>
        <w:p w:rsidR="003A06E5" w:rsidRDefault="003A06E5">
          <w:pPr>
            <w:pStyle w:val="TM1"/>
            <w:tabs>
              <w:tab w:val="right" w:leader="dot" w:pos="9016"/>
            </w:tabs>
            <w:rPr>
              <w:noProof/>
            </w:rPr>
          </w:pPr>
          <w:hyperlink w:anchor="_Toc232734062" w:history="1">
            <w:r>
              <w:rPr>
                <w:rStyle w:val="Lienhypertexte"/>
                <w:noProof/>
              </w:rPr>
              <w:t>14. Sécurité multicouche</w:t>
            </w:r>
            <w:r>
              <w:rPr>
                <w:noProof/>
                <w:webHidden/>
              </w:rPr>
              <w:tab/>
              <w:fldChar w:fldCharType="begin"/>
              <w:instrText xml:space="preserve"> PAGEREF _Toc232734062 \h </w:instrText>
              <w:fldChar w:fldCharType="separate"/>
              <w:t>19</w:t>
              <w:fldChar w:fldCharType="end"/>
            </w:r>
          </w:hyperlink>
        </w:p>
        <w:p w:rsidR="003A06E5" w:rsidRDefault="003A06E5">
          <w:pPr>
            <w:pStyle w:val="TM1"/>
            <w:tabs>
              <w:tab w:val="right" w:leader="dot" w:pos="9016"/>
            </w:tabs>
            <w:rPr>
              <w:noProof/>
            </w:rPr>
          </w:pPr>
          <w:hyperlink w:anchor="_Toc232734063" w:history="1">
            <w:r>
              <w:rPr>
                <w:rStyle w:val="Lienhypertexte"/>
                <w:noProof/>
              </w:rPr>
              <w:t>15. Cadre juridique, conformité et protection des données</w:t>
            </w:r>
            <w:r>
              <w:rPr>
                <w:noProof/>
                <w:webHidden/>
              </w:rPr>
              <w:tab/>
              <w:fldChar w:fldCharType="begin"/>
              <w:instrText xml:space="preserve"> PAGEREF _Toc232734063 \h </w:instrText>
              <w:fldChar w:fldCharType="separate"/>
              <w:t>19</w:t>
              <w:fldChar w:fldCharType="end"/>
            </w:r>
          </w:hyperlink>
        </w:p>
        <w:p w:rsidR="003A06E5" w:rsidRDefault="003A06E5">
          <w:pPr>
            <w:pStyle w:val="TM2"/>
            <w:tabs>
              <w:tab w:val="right" w:leader="dot" w:pos="9016"/>
            </w:tabs>
            <w:rPr>
              <w:noProof/>
            </w:rPr>
          </w:pPr>
          <w:hyperlink w:anchor="_Toc232734064" w:history="1">
            <w:r>
              <w:rPr>
                <w:rStyle w:val="Lienhypertexte"/>
                <w:noProof/>
              </w:rPr>
              <w:t>15.1 Textes applicables</w:t>
            </w:r>
            <w:r>
              <w:rPr>
                <w:noProof/>
                <w:webHidden/>
              </w:rPr>
              <w:tab/>
              <w:fldChar w:fldCharType="begin"/>
              <w:instrText xml:space="preserve"> PAGEREF _Toc232734064 \h </w:instrText>
              <w:fldChar w:fldCharType="separate"/>
              <w:t>19</w:t>
              <w:fldChar w:fldCharType="end"/>
            </w:r>
          </w:hyperlink>
        </w:p>
        <w:p w:rsidR="003A06E5" w:rsidRDefault="003A06E5">
          <w:pPr>
            <w:pStyle w:val="TM2"/>
            <w:tabs>
              <w:tab w:val="right" w:leader="dot" w:pos="9016"/>
            </w:tabs>
            <w:rPr>
              <w:noProof/>
            </w:rPr>
          </w:pPr>
          <w:hyperlink w:anchor="_Toc232734065" w:history="1">
            <w:r>
              <w:rPr>
                <w:rStyle w:val="Lienhypertexte"/>
                <w:noProof/>
              </w:rPr>
              <w:t xml:space="preserve">15.2 Protection des données et durées de conservation </w:t>
            </w:r>
            <w:r>
              <w:rPr>
                <w:rStyle w:val="Lienhypertexte"/>
                <w:i/>
                <w:iCs/>
                <w:noProof/>
              </w:rPr>
              <w:t>[Décision]</w:t>
            </w:r>
            <w:r>
              <w:rPr>
                <w:noProof/>
                <w:webHidden/>
              </w:rPr>
              <w:tab/>
              <w:fldChar w:fldCharType="begin"/>
              <w:instrText xml:space="preserve"> PAGEREF _Toc232734065 \h </w:instrText>
              <w:fldChar w:fldCharType="separate"/>
              <w:t>19</w:t>
              <w:fldChar w:fldCharType="end"/>
            </w:r>
          </w:hyperlink>
        </w:p>
        <w:p w:rsidR="003A06E5" w:rsidRDefault="003A06E5">
          <w:pPr>
            <w:pStyle w:val="TM1"/>
            <w:tabs>
              <w:tab w:val="right" w:leader="dot" w:pos="9016"/>
            </w:tabs>
            <w:rPr>
              <w:noProof/>
            </w:rPr>
          </w:pPr>
          <w:hyperlink w:anchor="_Toc232734066" w:history="1">
            <w:r>
              <w:rPr>
                <w:rStyle w:val="Lienhypertexte"/>
                <w:noProof/>
              </w:rPr>
              <w:t>16. Gestion des risques (ISO 27005)</w:t>
            </w:r>
            <w:r>
              <w:rPr>
                <w:noProof/>
                <w:webHidden/>
              </w:rPr>
              <w:tab/>
              <w:fldChar w:fldCharType="begin"/>
              <w:instrText xml:space="preserve"> PAGEREF _Toc232734066 \h </w:instrText>
              <w:fldChar w:fldCharType="separate"/>
              <w:t>20</w:t>
              <w:fldChar w:fldCharType="end"/>
            </w:r>
          </w:hyperlink>
        </w:p>
        <w:p w:rsidR="003A06E5" w:rsidRDefault="003A06E5">
          <w:pPr>
            <w:pStyle w:val="TM1"/>
            <w:tabs>
              <w:tab w:val="right" w:leader="dot" w:pos="9016"/>
            </w:tabs>
            <w:rPr>
              <w:noProof/>
            </w:rPr>
          </w:pPr>
          <w:hyperlink w:anchor="_Toc232734067" w:history="1">
            <w:r>
              <w:rPr>
                <w:rStyle w:val="Lienhypertexte"/>
                <w:noProof/>
              </w:rPr>
              <w:t>17. Démarche et organisation</w:t>
            </w:r>
            <w:r>
              <w:rPr>
                <w:noProof/>
                <w:webHidden/>
              </w:rPr>
              <w:tab/>
              <w:fldChar w:fldCharType="begin"/>
              <w:instrText xml:space="preserve"> PAGEREF _Toc232734067 \h </w:instrText>
              <w:fldChar w:fldCharType="separate"/>
              <w:t>21</w:t>
              <w:fldChar w:fldCharType="end"/>
            </w:r>
          </w:hyperlink>
        </w:p>
        <w:p w:rsidR="003A06E5" w:rsidRDefault="003A06E5">
          <w:pPr>
            <w:pStyle w:val="TM2"/>
            <w:tabs>
              <w:tab w:val="right" w:leader="dot" w:pos="9016"/>
            </w:tabs>
            <w:rPr>
              <w:noProof/>
            </w:rPr>
          </w:pPr>
          <w:hyperlink w:anchor="_Toc232734068" w:history="1">
            <w:r>
              <w:rPr>
                <w:rStyle w:val="Lienhypertexte"/>
                <w:noProof/>
              </w:rPr>
              <w:t>17.1 Méthode</w:t>
            </w:r>
            <w:r>
              <w:rPr>
                <w:noProof/>
                <w:webHidden/>
              </w:rPr>
              <w:tab/>
              <w:fldChar w:fldCharType="begin"/>
              <w:instrText xml:space="preserve"> PAGEREF _Toc232734068 \h </w:instrText>
              <w:fldChar w:fldCharType="separate"/>
              <w:t>21</w:t>
              <w:fldChar w:fldCharType="end"/>
            </w:r>
          </w:hyperlink>
        </w:p>
        <w:p w:rsidR="003A06E5" w:rsidRDefault="003A06E5">
          <w:pPr>
            <w:pStyle w:val="TM2"/>
            <w:tabs>
              <w:tab w:val="right" w:leader="dot" w:pos="9016"/>
            </w:tabs>
            <w:rPr>
              <w:noProof/>
            </w:rPr>
          </w:pPr>
          <w:hyperlink w:anchor="_Toc232734069" w:history="1">
            <w:r>
              <w:rPr>
                <w:rStyle w:val="Lienhypertexte"/>
                <w:noProof/>
              </w:rPr>
              <w:t>17.2 Équipe</w:t>
            </w:r>
            <w:r>
              <w:rPr>
                <w:noProof/>
                <w:webHidden/>
              </w:rPr>
              <w:tab/>
              <w:fldChar w:fldCharType="begin"/>
              <w:instrText xml:space="preserve"> PAGEREF _Toc232734069 \h </w:instrText>
              <w:fldChar w:fldCharType="separate"/>
              <w:t>21</w:t>
              <w:fldChar w:fldCharType="end"/>
            </w:r>
          </w:hyperlink>
        </w:p>
        <w:p w:rsidR="003A06E5" w:rsidRDefault="003A06E5">
          <w:pPr>
            <w:pStyle w:val="TM1"/>
            <w:tabs>
              <w:tab w:val="right" w:leader="dot" w:pos="9016"/>
            </w:tabs>
            <w:rPr>
              <w:noProof/>
            </w:rPr>
          </w:pPr>
          <w:hyperlink w:anchor="_Toc232734070" w:history="1">
            <w:r>
              <w:rPr>
                <w:rStyle w:val="Lienhypertexte"/>
                <w:noProof/>
              </w:rPr>
              <w:t>18. Ressources et budget prévisionnel</w:t>
            </w:r>
            <w:r>
              <w:rPr>
                <w:noProof/>
                <w:webHidden/>
              </w:rPr>
              <w:tab/>
              <w:fldChar w:fldCharType="begin"/>
              <w:instrText xml:space="preserve"> PAGEREF _Toc232734070 \h </w:instrText>
              <w:fldChar w:fldCharType="separate"/>
              <w:t>21</w:t>
              <w:fldChar w:fldCharType="end"/>
            </w:r>
          </w:hyperlink>
        </w:p>
        <w:p w:rsidR="003A06E5" w:rsidRDefault="003A06E5">
          <w:pPr>
            <w:pStyle w:val="TM2"/>
            <w:tabs>
              <w:tab w:val="right" w:leader="dot" w:pos="9016"/>
            </w:tabs>
            <w:rPr>
              <w:noProof/>
            </w:rPr>
          </w:pPr>
          <w:hyperlink w:anchor="_Toc232734071" w:history="1">
            <w:r>
              <w:rPr>
                <w:rStyle w:val="Lienhypertexte"/>
                <w:noProof/>
              </w:rPr>
              <w:t>18.1 Ressources matérielles et logicielles</w:t>
            </w:r>
            <w:r>
              <w:rPr>
                <w:noProof/>
                <w:webHidden/>
              </w:rPr>
              <w:tab/>
              <w:fldChar w:fldCharType="begin"/>
              <w:instrText xml:space="preserve"> PAGEREF _Toc232734071 \h </w:instrText>
              <w:fldChar w:fldCharType="separate"/>
              <w:t>21</w:t>
              <w:fldChar w:fldCharType="end"/>
            </w:r>
          </w:hyperlink>
        </w:p>
        <w:p w:rsidR="003A06E5" w:rsidRDefault="003A06E5">
          <w:pPr>
            <w:pStyle w:val="TM2"/>
            <w:tabs>
              <w:tab w:val="right" w:leader="dot" w:pos="9016"/>
            </w:tabs>
            <w:rPr>
              <w:noProof/>
            </w:rPr>
          </w:pPr>
          <w:hyperlink w:anchor="_Toc232734072" w:history="1">
            <w:r>
              <w:rPr>
                <w:rStyle w:val="Lienhypertexte"/>
                <w:noProof/>
              </w:rPr>
              <w:t xml:space="preserve">18.2 Budget mensuel — </w:t>
            </w:r>
            <w:r>
              <w:rPr>
                <w:rStyle w:val="Lienhypertexte"/>
                <w:i/>
                <w:iCs/>
                <w:noProof/>
              </w:rPr>
              <w:t>hypothèse 50–150 livraisons/jour</w:t>
            </w:r>
            <w:r>
              <w:rPr>
                <w:rStyle w:val="Lienhypertexte"/>
                <w:noProof/>
              </w:rPr>
              <w:t xml:space="preserve"> </w:t>
            </w:r>
            <w:r>
              <w:rPr>
                <w:rStyle w:val="Lienhypertexte"/>
                <w:i/>
                <w:iCs/>
                <w:noProof/>
              </w:rPr>
              <w:t>[Décision]</w:t>
            </w:r>
            <w:r>
              <w:rPr>
                <w:noProof/>
                <w:webHidden/>
              </w:rPr>
              <w:tab/>
              <w:fldChar w:fldCharType="begin"/>
              <w:instrText xml:space="preserve"> PAGEREF _Toc232734072 \h </w:instrText>
              <w:fldChar w:fldCharType="separate"/>
              <w:t>21</w:t>
              <w:fldChar w:fldCharType="end"/>
            </w:r>
          </w:hyperlink>
        </w:p>
        <w:p w:rsidR="003A06E5" w:rsidRDefault="003A06E5">
          <w:pPr>
            <w:pStyle w:val="TM1"/>
            <w:tabs>
              <w:tab w:val="right" w:leader="dot" w:pos="9016"/>
            </w:tabs>
            <w:rPr>
              <w:noProof/>
            </w:rPr>
          </w:pPr>
          <w:hyperlink w:anchor="_Toc232734073" w:history="1">
            <w:r>
              <w:rPr>
                <w:rStyle w:val="Lienhypertexte"/>
                <w:noProof/>
              </w:rPr>
              <w:t>19. Plan de livraison (roadmap)</w:t>
            </w:r>
            <w:r>
              <w:rPr>
                <w:noProof/>
                <w:webHidden/>
              </w:rPr>
              <w:tab/>
              <w:fldChar w:fldCharType="begin"/>
              <w:instrText xml:space="preserve"> PAGEREF _Toc232734073 \h </w:instrText>
              <w:fldChar w:fldCharType="separate"/>
              <w:t>22</w:t>
              <w:fldChar w:fldCharType="end"/>
            </w:r>
          </w:hyperlink>
        </w:p>
        <w:p w:rsidR="003A06E5" w:rsidRDefault="003A06E5">
          <w:pPr>
            <w:pStyle w:val="TM1"/>
            <w:tabs>
              <w:tab w:val="right" w:leader="dot" w:pos="9016"/>
            </w:tabs>
            <w:rPr>
              <w:noProof/>
            </w:rPr>
          </w:pPr>
          <w:hyperlink w:anchor="_Toc232734074" w:history="1">
            <w:r>
              <w:rPr>
                <w:rStyle w:val="Lienhypertexte"/>
                <w:noProof/>
              </w:rPr>
              <w:t>20. Critères d’acceptation (Definition of Done)</w:t>
            </w:r>
            <w:r>
              <w:rPr>
                <w:noProof/>
                <w:webHidden/>
              </w:rPr>
              <w:tab/>
              <w:fldChar w:fldCharType="begin"/>
              <w:instrText xml:space="preserve"> PAGEREF _Toc232734074 \h </w:instrText>
              <w:fldChar w:fldCharType="separate"/>
              <w:t>22</w:t>
              <w:fldChar w:fldCharType="end"/>
            </w:r>
          </w:hyperlink>
        </w:p>
        <w:p w:rsidR="003A06E5" w:rsidRDefault="003A06E5">
          <w:pPr>
            <w:pStyle w:val="TM1"/>
            <w:tabs>
              <w:tab w:val="right" w:leader="dot" w:pos="9016"/>
            </w:tabs>
            <w:rPr>
              <w:noProof/>
            </w:rPr>
          </w:pPr>
          <w:hyperlink w:anchor="_Toc232734075" w:history="1">
            <w:r>
              <w:rPr>
                <w:rStyle w:val="Lienhypertexte"/>
                <w:noProof/>
              </w:rPr>
              <w:t>21. Annexes</w:t>
            </w:r>
            <w:r>
              <w:rPr>
                <w:noProof/>
                <w:webHidden/>
              </w:rPr>
              <w:tab/>
              <w:fldChar w:fldCharType="begin"/>
              <w:instrText xml:space="preserve"> PAGEREF _Toc232734075 \h </w:instrText>
              <w:fldChar w:fldCharType="separate"/>
              <w:t>22</w:t>
              <w:fldChar w:fldCharType="end"/>
            </w:r>
          </w:hyperlink>
        </w:p>
        <w:p w:rsidR="00CE4CC2" w:rsidRDefault="003A06E5">
          <w:r>
            <w:fldChar w:fldCharType="end"/>
          </w:r>
        </w:p>
      </w:sdtContent>
    </w:sdt>
    <w:p w:rsidR="00CE4CC2" w:rsidRDefault="003A06E5">
      <w:r>
        <w:br w:type="page"/>
      </w:r>
    </w:p>
    <w:p w:rsidR="00CE4CC2" w:rsidRDefault="003A06E5">
      <w:pPr>
        <w:pStyle w:val="Titre1"/>
      </w:pPr>
      <w:bookmarkStart w:id="0" w:name="fiche-de-contrôle-du-document"/>
      <w:bookmarkStart w:id="1" w:name="_Toc232734015"/>
      <w:r>
        <w:lastRenderedPageBreak/>
        <w:t>1. Fiche de contrôle du document</w:t>
      </w:r>
      <w:bookmarkEnd w:id="1"/>
    </w:p>
    <w:tbl>
      <w:tblPr>
        <w:tblStyle w:val="Table"/>
        <w:tblW w:w="5000" w:type="pct"/>
        <w:tblLook w:val="0020" w:firstRow="1" w:lastRow="0" w:firstColumn="0" w:lastColumn="0" w:noHBand="0" w:noVBand="0"/>
      </w:tblPr>
      <w:tblGrid>
        <w:gridCol w:w="1360"/>
        <w:gridCol w:w="7882"/>
      </w:tblGrid>
      <w:tr w:rsidR="00CE4CC2" w:rsidTr="00CE4CC2">
        <w:trPr>
          <w:cnfStyle w:val="100000000000" w:firstRow="1" w:lastRow="0" w:firstColumn="0" w:lastColumn="0" w:oddVBand="0" w:evenVBand="0" w:oddHBand="0" w:evenHBand="0" w:firstRowFirstColumn="0" w:firstRowLastColumn="0" w:lastRowFirstColumn="0" w:lastRowLastColumn="0"/>
          <w:tblHeader/>
        </w:trPr>
        <w:tc>
          <w:tcPr>
            <w:tcW w:w="0" w:type="auto"/>
          </w:tcPr>
          <w:p w:rsidR="00CE4CC2" w:rsidRDefault="003A06E5">
            <w:pPr>
              <w:pStyle w:val="Compact"/>
            </w:pPr>
            <w:r>
              <w:t>Champ</w:t>
            </w:r>
          </w:p>
        </w:tc>
        <w:tc>
          <w:tcPr>
            <w:tcW w:w="0" w:type="auto"/>
          </w:tcPr>
          <w:p w:rsidR="00CE4CC2" w:rsidRDefault="003A06E5">
            <w:pPr>
              <w:pStyle w:val="Compact"/>
            </w:pPr>
            <w:r>
              <w:t>Valeur</w:t>
            </w:r>
          </w:p>
        </w:tc>
      </w:tr>
      <w:tr w:rsidR="00CE4CC2">
        <w:tc>
          <w:tcPr>
            <w:tcW w:w="0" w:type="auto"/>
          </w:tcPr>
          <w:p w:rsidR="00CE4CC2" w:rsidRDefault="003A06E5">
            <w:pPr>
              <w:pStyle w:val="Compact"/>
            </w:pPr>
            <w:r>
              <w:t>Référence</w:t>
            </w:r>
          </w:p>
        </w:tc>
        <w:tc>
          <w:tcPr>
            <w:tcW w:w="0" w:type="auto"/>
          </w:tcPr>
          <w:p w:rsidR="00CE4CC2" w:rsidRDefault="003A06E5">
            <w:pPr>
              <w:pStyle w:val="Compact"/>
            </w:pPr>
            <w:r>
              <w:t>ASAP-CCT-2.0</w:t>
            </w:r>
          </w:p>
        </w:tc>
      </w:tr>
      <w:tr w:rsidR="00CE4CC2">
        <w:tc>
          <w:tcPr>
            <w:tcW w:w="0" w:type="auto"/>
          </w:tcPr>
          <w:p w:rsidR="00CE4CC2" w:rsidRDefault="003A06E5">
            <w:pPr>
              <w:pStyle w:val="Compact"/>
            </w:pPr>
            <w:r>
              <w:t>Statut</w:t>
            </w:r>
          </w:p>
        </w:tc>
        <w:tc>
          <w:tcPr>
            <w:tcW w:w="0" w:type="auto"/>
          </w:tcPr>
          <w:p w:rsidR="00CE4CC2" w:rsidRDefault="003A06E5">
            <w:pPr>
              <w:pStyle w:val="Compact"/>
            </w:pPr>
            <w:r>
              <w:t>Version finale de conception</w:t>
            </w:r>
          </w:p>
        </w:tc>
      </w:tr>
      <w:tr w:rsidR="00CE4CC2">
        <w:tc>
          <w:tcPr>
            <w:tcW w:w="0" w:type="auto"/>
          </w:tcPr>
          <w:p w:rsidR="00CE4CC2" w:rsidRDefault="003A06E5">
            <w:pPr>
              <w:pStyle w:val="Compact"/>
            </w:pPr>
            <w:r>
              <w:t>Version</w:t>
            </w:r>
          </w:p>
        </w:tc>
        <w:tc>
          <w:tcPr>
            <w:tcW w:w="0" w:type="auto"/>
          </w:tcPr>
          <w:p w:rsidR="00CE4CC2" w:rsidRDefault="003A06E5">
            <w:pPr>
              <w:pStyle w:val="Compact"/>
            </w:pPr>
            <w:r>
              <w:t>2.0 (refonte) — remplace et annule la v1.2</w:t>
            </w:r>
          </w:p>
        </w:tc>
      </w:tr>
      <w:tr w:rsidR="00CE4CC2">
        <w:tc>
          <w:tcPr>
            <w:tcW w:w="0" w:type="auto"/>
          </w:tcPr>
          <w:p w:rsidR="00CE4CC2" w:rsidRDefault="003A06E5">
            <w:pPr>
              <w:pStyle w:val="Compact"/>
            </w:pPr>
            <w:r>
              <w:t>Date</w:t>
            </w:r>
          </w:p>
        </w:tc>
        <w:tc>
          <w:tcPr>
            <w:tcW w:w="0" w:type="auto"/>
          </w:tcPr>
          <w:p w:rsidR="00CE4CC2" w:rsidRDefault="003A06E5">
            <w:pPr>
              <w:pStyle w:val="Compact"/>
            </w:pPr>
            <w:r>
              <w:t>Juin 2026</w:t>
            </w:r>
          </w:p>
        </w:tc>
      </w:tr>
      <w:tr w:rsidR="00CE4CC2">
        <w:tc>
          <w:tcPr>
            <w:tcW w:w="0" w:type="auto"/>
          </w:tcPr>
          <w:p w:rsidR="00CE4CC2" w:rsidRDefault="003A06E5">
            <w:pPr>
              <w:pStyle w:val="Compact"/>
            </w:pPr>
            <w:r>
              <w:t>Cadre</w:t>
            </w:r>
          </w:p>
        </w:tc>
        <w:tc>
          <w:tcPr>
            <w:tcW w:w="0" w:type="auto"/>
          </w:tcPr>
          <w:p w:rsidR="00CE4CC2" w:rsidRDefault="003A06E5">
            <w:pPr>
              <w:pStyle w:val="Compact"/>
            </w:pPr>
            <w:r>
              <w:t>Projet de fin de formation ISI ING3 — Note de Service N° 2025-003/ISJ/DA/ISI</w:t>
            </w:r>
          </w:p>
        </w:tc>
      </w:tr>
      <w:tr w:rsidR="00CE4CC2">
        <w:tc>
          <w:tcPr>
            <w:tcW w:w="0" w:type="auto"/>
          </w:tcPr>
          <w:p w:rsidR="00CE4CC2" w:rsidRDefault="003A06E5">
            <w:pPr>
              <w:pStyle w:val="Compact"/>
            </w:pPr>
            <w:r>
              <w:t>Public visé</w:t>
            </w:r>
          </w:p>
        </w:tc>
        <w:tc>
          <w:tcPr>
            <w:tcW w:w="0" w:type="auto"/>
          </w:tcPr>
          <w:p w:rsidR="00CE4CC2" w:rsidRDefault="003A06E5">
            <w:pPr>
              <w:pStyle w:val="Compact"/>
            </w:pPr>
            <w:r>
              <w:t>Équipe de développement, encadreurs, jury, parties prenantes métier</w:t>
            </w:r>
          </w:p>
        </w:tc>
      </w:tr>
    </w:tbl>
    <w:p w:rsidR="00CE4CC2" w:rsidRDefault="003A06E5">
      <w:pPr>
        <w:pStyle w:val="Corpsdetexte"/>
      </w:pPr>
      <w:r>
        <w:rPr>
          <w:b/>
          <w:bCs/>
        </w:rPr>
        <w:t>Note de révision.</w:t>
      </w:r>
      <w:r>
        <w:t xml:space="preserve"> Cette version 2.0 reprend l’intégralité du périmètre de la v1.2 et lève les ambiguïtés et incohérences identifiées lors de la revue technique : clarification du statut et de la rémunération des livreurs, périmètre exact de l’encaissement cash/COD, résolution de la tension </w:t>
      </w:r>
      <w:r>
        <w:rPr>
          <w:i/>
          <w:iCs/>
        </w:rPr>
        <w:t>offline-first ↔ confirmation OTP</w:t>
      </w:r>
      <w:r>
        <w:t xml:space="preserve">, alignement du niveau de service sur l’infrastructure réellement provisionnée, budgets services tiers recalculés sur des hypothèses de volume, conformité OHADA pour la conservation des données, machine à états complète, formules de tarification et de scoring canoniques, et ajout d’un modèle de données de référence. Les décisions d’ingénierie sont signalées par la mention </w:t>
      </w:r>
      <w:r>
        <w:rPr>
          <w:b/>
          <w:bCs/>
        </w:rPr>
        <w:t>[Décision]</w:t>
      </w:r>
      <w:r>
        <w:t xml:space="preserve"> et sont opposables à la conception.</w:t>
      </w:r>
    </w:p>
    <w:p w:rsidR="00CE4CC2" w:rsidRDefault="003A06E5">
      <w:r>
        <w:pict>
          <v:rect id="_x0000_i1025" style="width:0;height:1.5pt" o:hralign="center" o:hrstd="t" o:hr="t"/>
        </w:pict>
      </w:r>
    </w:p>
    <w:p w:rsidR="00CE4CC2" w:rsidRDefault="003A06E5">
      <w:pPr>
        <w:pStyle w:val="Titre1"/>
      </w:pPr>
      <w:bookmarkStart w:id="2" w:name="introduction"/>
      <w:bookmarkStart w:id="3" w:name="_Toc232734016"/>
      <w:bookmarkEnd w:id="0"/>
      <w:r>
        <w:t>2. Introduction</w:t>
      </w:r>
      <w:bookmarkEnd w:id="3"/>
    </w:p>
    <w:p w:rsidR="00CE4CC2" w:rsidRDefault="003A06E5">
      <w:pPr>
        <w:pStyle w:val="Titre2"/>
      </w:pPr>
      <w:bookmarkStart w:id="4" w:name="objet"/>
      <w:bookmarkStart w:id="5" w:name="_Toc232734017"/>
      <w:r>
        <w:t>2.1 Objet</w:t>
      </w:r>
      <w:bookmarkEnd w:id="5"/>
    </w:p>
    <w:p w:rsidR="00CE4CC2" w:rsidRDefault="003A06E5">
      <w:pPr>
        <w:pStyle w:val="FirstParagraph"/>
      </w:pPr>
      <w:r>
        <w:t xml:space="preserve">Le présent Cahier des Charges Technique (CCT) définit, de manière complète et non ambiguë, les exigences fonctionnelles, non fonctionnelles, les règles de gestion, l’architecture cible et les contraintes du système </w:t>
      </w:r>
      <w:r>
        <w:rPr>
          <w:b/>
          <w:bCs/>
        </w:rPr>
        <w:t>ASAP</w:t>
      </w:r>
      <w:r>
        <w:t>, afin de permettre une conception (UML, modèle de données, API) et une réalisation fidèles.</w:t>
      </w:r>
    </w:p>
    <w:p w:rsidR="00CE4CC2" w:rsidRDefault="003A06E5">
      <w:pPr>
        <w:pStyle w:val="Titre2"/>
      </w:pPr>
      <w:bookmarkStart w:id="6" w:name="périmètre-du-document"/>
      <w:bookmarkStart w:id="7" w:name="_Toc232734018"/>
      <w:bookmarkEnd w:id="4"/>
      <w:r>
        <w:t>2.2 Périmètre du document</w:t>
      </w:r>
      <w:bookmarkEnd w:id="7"/>
    </w:p>
    <w:p w:rsidR="00CE4CC2" w:rsidRDefault="003A06E5">
      <w:pPr>
        <w:pStyle w:val="FirstParagraph"/>
      </w:pPr>
      <w:r>
        <w:t xml:space="preserve">Le CCT couvre le </w:t>
      </w:r>
      <w:r>
        <w:rPr>
          <w:b/>
          <w:bCs/>
        </w:rPr>
        <w:t>périmètre MVP (Phase 1)</w:t>
      </w:r>
      <w:r>
        <w:t xml:space="preserve"> livrable dans le cadre du projet, ainsi que la </w:t>
      </w:r>
      <w:r>
        <w:rPr>
          <w:b/>
          <w:bCs/>
        </w:rPr>
        <w:t>trajectoire d’évolution (Phases 2 et 3)</w:t>
      </w:r>
      <w:r>
        <w:t xml:space="preserve"> afin que les choix d’architecture du MVP ne ferment pas les portes des extensions. Le périmètre MVP est défini sans équivoque au §5.4 ; tout ce qui n’y figure pas relève de la roadmap (§19).</w:t>
      </w:r>
    </w:p>
    <w:p w:rsidR="00CE4CC2" w:rsidRDefault="003A06E5">
      <w:pPr>
        <w:pStyle w:val="Titre2"/>
      </w:pPr>
      <w:bookmarkStart w:id="8" w:name="documents-de-référence"/>
      <w:bookmarkStart w:id="9" w:name="_Toc232734019"/>
      <w:bookmarkEnd w:id="6"/>
      <w:r>
        <w:t>2.3 Documents de référence</w:t>
      </w:r>
      <w:bookmarkEnd w:id="9"/>
    </w:p>
    <w:p w:rsidR="00CE4CC2" w:rsidRDefault="003A06E5">
      <w:pPr>
        <w:pStyle w:val="FirstParagraph"/>
      </w:pPr>
      <w:r>
        <w:t>Note de Service N° 2025-003/ISJ/DA/ISI ; standards UML 2.x, OpenAPI 3.0, ISO 27005 ; lois camerounaises N°2010/012 et N°2010/021 ; Code du travail camerounais ; Acte uniforme OHADA relatif au droit comptable ; réglementation BEAC/COBAC sur la monnaie électronique.</w:t>
      </w:r>
    </w:p>
    <w:p w:rsidR="00CE4CC2" w:rsidRDefault="003A06E5">
      <w:r>
        <w:pict>
          <v:rect id="_x0000_i1026" style="width:0;height:1.5pt" o:hralign="center" o:hrstd="t" o:hr="t"/>
        </w:pict>
      </w:r>
    </w:p>
    <w:p w:rsidR="00CE4CC2" w:rsidRDefault="003A06E5">
      <w:pPr>
        <w:pStyle w:val="Titre1"/>
      </w:pPr>
      <w:bookmarkStart w:id="10" w:name="liste-des-sigles-et-abréviations"/>
      <w:bookmarkStart w:id="11" w:name="_Toc232734020"/>
      <w:bookmarkEnd w:id="2"/>
      <w:bookmarkEnd w:id="8"/>
      <w:r>
        <w:lastRenderedPageBreak/>
        <w:t>3. Liste des sigles et abréviations</w:t>
      </w:r>
      <w:bookmarkEnd w:id="11"/>
    </w:p>
    <w:tbl>
      <w:tblPr>
        <w:tblStyle w:val="Table"/>
        <w:tblW w:w="5000" w:type="pct"/>
        <w:tblLook w:val="0020" w:firstRow="1" w:lastRow="0" w:firstColumn="0" w:lastColumn="0" w:noHBand="0" w:noVBand="0"/>
      </w:tblPr>
      <w:tblGrid>
        <w:gridCol w:w="1708"/>
        <w:gridCol w:w="7534"/>
      </w:tblGrid>
      <w:tr w:rsidR="00CE4CC2" w:rsidTr="00CE4CC2">
        <w:trPr>
          <w:cnfStyle w:val="100000000000" w:firstRow="1" w:lastRow="0" w:firstColumn="0" w:lastColumn="0" w:oddVBand="0" w:evenVBand="0" w:oddHBand="0" w:evenHBand="0" w:firstRowFirstColumn="0" w:firstRowLastColumn="0" w:lastRowFirstColumn="0" w:lastRowLastColumn="0"/>
          <w:tblHeader/>
        </w:trPr>
        <w:tc>
          <w:tcPr>
            <w:tcW w:w="0" w:type="auto"/>
          </w:tcPr>
          <w:p w:rsidR="00CE4CC2" w:rsidRDefault="003A06E5">
            <w:pPr>
              <w:pStyle w:val="Compact"/>
            </w:pPr>
            <w:r>
              <w:t>Sigle</w:t>
            </w:r>
          </w:p>
        </w:tc>
        <w:tc>
          <w:tcPr>
            <w:tcW w:w="0" w:type="auto"/>
          </w:tcPr>
          <w:p w:rsidR="00CE4CC2" w:rsidRDefault="003A06E5">
            <w:pPr>
              <w:pStyle w:val="Compact"/>
            </w:pPr>
            <w:r>
              <w:t>Signification</w:t>
            </w:r>
          </w:p>
        </w:tc>
      </w:tr>
      <w:tr w:rsidR="00CE4CC2">
        <w:tc>
          <w:tcPr>
            <w:tcW w:w="0" w:type="auto"/>
          </w:tcPr>
          <w:p w:rsidR="00CE4CC2" w:rsidRDefault="003A06E5">
            <w:pPr>
              <w:pStyle w:val="Compact"/>
            </w:pPr>
            <w:r>
              <w:t>2TUP</w:t>
            </w:r>
          </w:p>
        </w:tc>
        <w:tc>
          <w:tcPr>
            <w:tcW w:w="0" w:type="auto"/>
          </w:tcPr>
          <w:p w:rsidR="00CE4CC2" w:rsidRDefault="003A06E5">
            <w:pPr>
              <w:pStyle w:val="Compact"/>
            </w:pPr>
            <w:r>
              <w:t>Two Track Unified Process</w:t>
            </w:r>
          </w:p>
        </w:tc>
      </w:tr>
      <w:tr w:rsidR="00CE4CC2">
        <w:tc>
          <w:tcPr>
            <w:tcW w:w="0" w:type="auto"/>
          </w:tcPr>
          <w:p w:rsidR="00CE4CC2" w:rsidRDefault="003A06E5">
            <w:pPr>
              <w:pStyle w:val="Compact"/>
            </w:pPr>
            <w:r>
              <w:t>AES</w:t>
            </w:r>
          </w:p>
        </w:tc>
        <w:tc>
          <w:tcPr>
            <w:tcW w:w="0" w:type="auto"/>
          </w:tcPr>
          <w:p w:rsidR="00CE4CC2" w:rsidRDefault="003A06E5">
            <w:pPr>
              <w:pStyle w:val="Compact"/>
            </w:pPr>
            <w:r>
              <w:t>Advanced Encryption Standard</w:t>
            </w:r>
          </w:p>
        </w:tc>
      </w:tr>
      <w:tr w:rsidR="00CE4CC2">
        <w:tc>
          <w:tcPr>
            <w:tcW w:w="0" w:type="auto"/>
          </w:tcPr>
          <w:p w:rsidR="00CE4CC2" w:rsidRDefault="003A06E5">
            <w:pPr>
              <w:pStyle w:val="Compact"/>
            </w:pPr>
            <w:r>
              <w:t>API</w:t>
            </w:r>
          </w:p>
        </w:tc>
        <w:tc>
          <w:tcPr>
            <w:tcW w:w="0" w:type="auto"/>
          </w:tcPr>
          <w:p w:rsidR="00CE4CC2" w:rsidRDefault="003A06E5">
            <w:pPr>
              <w:pStyle w:val="Compact"/>
            </w:pPr>
            <w:r>
              <w:t>Application Programming Interface</w:t>
            </w:r>
          </w:p>
        </w:tc>
      </w:tr>
      <w:tr w:rsidR="00CE4CC2">
        <w:tc>
          <w:tcPr>
            <w:tcW w:w="0" w:type="auto"/>
          </w:tcPr>
          <w:p w:rsidR="00CE4CC2" w:rsidRDefault="003A06E5">
            <w:pPr>
              <w:pStyle w:val="Compact"/>
            </w:pPr>
            <w:r>
              <w:t>B2B / B2C</w:t>
            </w:r>
          </w:p>
        </w:tc>
        <w:tc>
          <w:tcPr>
            <w:tcW w:w="0" w:type="auto"/>
          </w:tcPr>
          <w:p w:rsidR="00CE4CC2" w:rsidRDefault="003A06E5">
            <w:pPr>
              <w:pStyle w:val="Compact"/>
            </w:pPr>
            <w:r>
              <w:t>Business to Business / Business to Consumer</w:t>
            </w:r>
          </w:p>
        </w:tc>
      </w:tr>
      <w:tr w:rsidR="00CE4CC2">
        <w:tc>
          <w:tcPr>
            <w:tcW w:w="0" w:type="auto"/>
          </w:tcPr>
          <w:p w:rsidR="00CE4CC2" w:rsidRDefault="003A06E5">
            <w:pPr>
              <w:pStyle w:val="Compact"/>
            </w:pPr>
            <w:r>
              <w:t>BDD</w:t>
            </w:r>
          </w:p>
        </w:tc>
        <w:tc>
          <w:tcPr>
            <w:tcW w:w="0" w:type="auto"/>
          </w:tcPr>
          <w:p w:rsidR="00CE4CC2" w:rsidRDefault="003A06E5">
            <w:pPr>
              <w:pStyle w:val="Compact"/>
            </w:pPr>
            <w:r>
              <w:t>Base de Données</w:t>
            </w:r>
          </w:p>
        </w:tc>
      </w:tr>
      <w:tr w:rsidR="00CE4CC2">
        <w:tc>
          <w:tcPr>
            <w:tcW w:w="0" w:type="auto"/>
          </w:tcPr>
          <w:p w:rsidR="00CE4CC2" w:rsidRDefault="003A06E5">
            <w:pPr>
              <w:pStyle w:val="Compact"/>
            </w:pPr>
            <w:r>
              <w:t>BEAC</w:t>
            </w:r>
          </w:p>
        </w:tc>
        <w:tc>
          <w:tcPr>
            <w:tcW w:w="0" w:type="auto"/>
          </w:tcPr>
          <w:p w:rsidR="00CE4CC2" w:rsidRDefault="003A06E5">
            <w:pPr>
              <w:pStyle w:val="Compact"/>
            </w:pPr>
            <w:r>
              <w:t>Banque des États de l’Afrique Centrale</w:t>
            </w:r>
          </w:p>
        </w:tc>
      </w:tr>
      <w:tr w:rsidR="00CE4CC2">
        <w:tc>
          <w:tcPr>
            <w:tcW w:w="0" w:type="auto"/>
          </w:tcPr>
          <w:p w:rsidR="00CE4CC2" w:rsidRDefault="003A06E5">
            <w:pPr>
              <w:pStyle w:val="Compact"/>
            </w:pPr>
            <w:r>
              <w:t>BF / BNF</w:t>
            </w:r>
          </w:p>
        </w:tc>
        <w:tc>
          <w:tcPr>
            <w:tcW w:w="0" w:type="auto"/>
          </w:tcPr>
          <w:p w:rsidR="00CE4CC2" w:rsidRDefault="003A06E5">
            <w:pPr>
              <w:pStyle w:val="Compact"/>
            </w:pPr>
            <w:r>
              <w:t>Besoin Fonctionnel / Besoin Non Fonctionnel</w:t>
            </w:r>
          </w:p>
        </w:tc>
      </w:tr>
      <w:tr w:rsidR="00CE4CC2">
        <w:tc>
          <w:tcPr>
            <w:tcW w:w="0" w:type="auto"/>
          </w:tcPr>
          <w:p w:rsidR="00CE4CC2" w:rsidRDefault="003A06E5">
            <w:pPr>
              <w:pStyle w:val="Compact"/>
            </w:pPr>
            <w:r>
              <w:t>CCT</w:t>
            </w:r>
          </w:p>
        </w:tc>
        <w:tc>
          <w:tcPr>
            <w:tcW w:w="0" w:type="auto"/>
          </w:tcPr>
          <w:p w:rsidR="00CE4CC2" w:rsidRDefault="003A06E5">
            <w:pPr>
              <w:pStyle w:val="Compact"/>
            </w:pPr>
            <w:r>
              <w:t>Cahier des Charges Technique</w:t>
            </w:r>
          </w:p>
        </w:tc>
      </w:tr>
      <w:tr w:rsidR="00CE4CC2">
        <w:tc>
          <w:tcPr>
            <w:tcW w:w="0" w:type="auto"/>
          </w:tcPr>
          <w:p w:rsidR="00CE4CC2" w:rsidRDefault="003A06E5">
            <w:pPr>
              <w:pStyle w:val="Compact"/>
            </w:pPr>
            <w:r>
              <w:t>CDD / CDI</w:t>
            </w:r>
          </w:p>
        </w:tc>
        <w:tc>
          <w:tcPr>
            <w:tcW w:w="0" w:type="auto"/>
          </w:tcPr>
          <w:p w:rsidR="00CE4CC2" w:rsidRDefault="003A06E5">
            <w:pPr>
              <w:pStyle w:val="Compact"/>
            </w:pPr>
            <w:r>
              <w:t>Contrat à Durée Déterminée / Indéterminée</w:t>
            </w:r>
          </w:p>
        </w:tc>
      </w:tr>
      <w:tr w:rsidR="00CE4CC2">
        <w:tc>
          <w:tcPr>
            <w:tcW w:w="0" w:type="auto"/>
          </w:tcPr>
          <w:p w:rsidR="00CE4CC2" w:rsidRDefault="003A06E5">
            <w:pPr>
              <w:pStyle w:val="Compact"/>
            </w:pPr>
            <w:r>
              <w:t>CI/CD</w:t>
            </w:r>
          </w:p>
        </w:tc>
        <w:tc>
          <w:tcPr>
            <w:tcW w:w="0" w:type="auto"/>
          </w:tcPr>
          <w:p w:rsidR="00CE4CC2" w:rsidRDefault="003A06E5">
            <w:pPr>
              <w:pStyle w:val="Compact"/>
            </w:pPr>
            <w:r>
              <w:t>Continuous Integration / Continuous Deployment</w:t>
            </w:r>
          </w:p>
        </w:tc>
      </w:tr>
      <w:tr w:rsidR="00CE4CC2">
        <w:tc>
          <w:tcPr>
            <w:tcW w:w="0" w:type="auto"/>
          </w:tcPr>
          <w:p w:rsidR="00CE4CC2" w:rsidRDefault="003A06E5">
            <w:pPr>
              <w:pStyle w:val="Compact"/>
            </w:pPr>
            <w:r>
              <w:t>CNPS</w:t>
            </w:r>
          </w:p>
        </w:tc>
        <w:tc>
          <w:tcPr>
            <w:tcW w:w="0" w:type="auto"/>
          </w:tcPr>
          <w:p w:rsidR="00CE4CC2" w:rsidRDefault="003A06E5">
            <w:pPr>
              <w:pStyle w:val="Compact"/>
            </w:pPr>
            <w:r>
              <w:t>Caisse Nationale de Prévoyance Sociale</w:t>
            </w:r>
          </w:p>
        </w:tc>
      </w:tr>
      <w:tr w:rsidR="00CE4CC2">
        <w:tc>
          <w:tcPr>
            <w:tcW w:w="0" w:type="auto"/>
          </w:tcPr>
          <w:p w:rsidR="00CE4CC2" w:rsidRDefault="003A06E5">
            <w:pPr>
              <w:pStyle w:val="Compact"/>
            </w:pPr>
            <w:r>
              <w:t>COBAC</w:t>
            </w:r>
          </w:p>
        </w:tc>
        <w:tc>
          <w:tcPr>
            <w:tcW w:w="0" w:type="auto"/>
          </w:tcPr>
          <w:p w:rsidR="00CE4CC2" w:rsidRDefault="003A06E5">
            <w:pPr>
              <w:pStyle w:val="Compact"/>
            </w:pPr>
            <w:r>
              <w:t>Commission Bancaire de l’Afrique Centrale</w:t>
            </w:r>
          </w:p>
        </w:tc>
      </w:tr>
      <w:tr w:rsidR="00CE4CC2">
        <w:tc>
          <w:tcPr>
            <w:tcW w:w="0" w:type="auto"/>
          </w:tcPr>
          <w:p w:rsidR="00CE4CC2" w:rsidRDefault="003A06E5">
            <w:pPr>
              <w:pStyle w:val="Compact"/>
            </w:pPr>
            <w:r>
              <w:t>COD</w:t>
            </w:r>
          </w:p>
        </w:tc>
        <w:tc>
          <w:tcPr>
            <w:tcW w:w="0" w:type="auto"/>
          </w:tcPr>
          <w:p w:rsidR="00CE4CC2" w:rsidRDefault="003A06E5">
            <w:pPr>
              <w:pStyle w:val="Compact"/>
            </w:pPr>
            <w:r>
              <w:t>Cash On Delivery</w:t>
            </w:r>
          </w:p>
        </w:tc>
      </w:tr>
      <w:tr w:rsidR="00CE4CC2">
        <w:tc>
          <w:tcPr>
            <w:tcW w:w="0" w:type="auto"/>
          </w:tcPr>
          <w:p w:rsidR="00CE4CC2" w:rsidRDefault="003A06E5">
            <w:pPr>
              <w:pStyle w:val="Compact"/>
            </w:pPr>
            <w:r>
              <w:t>CGU</w:t>
            </w:r>
          </w:p>
        </w:tc>
        <w:tc>
          <w:tcPr>
            <w:tcW w:w="0" w:type="auto"/>
          </w:tcPr>
          <w:p w:rsidR="00CE4CC2" w:rsidRDefault="003A06E5">
            <w:pPr>
              <w:pStyle w:val="Compact"/>
            </w:pPr>
            <w:r>
              <w:t>Conditions Générales d’Utilisation</w:t>
            </w:r>
          </w:p>
        </w:tc>
      </w:tr>
      <w:tr w:rsidR="00CE4CC2">
        <w:tc>
          <w:tcPr>
            <w:tcW w:w="0" w:type="auto"/>
          </w:tcPr>
          <w:p w:rsidR="00CE4CC2" w:rsidRDefault="003A06E5">
            <w:pPr>
              <w:pStyle w:val="Compact"/>
            </w:pPr>
            <w:r>
              <w:t>DoD</w:t>
            </w:r>
          </w:p>
        </w:tc>
        <w:tc>
          <w:tcPr>
            <w:tcW w:w="0" w:type="auto"/>
          </w:tcPr>
          <w:p w:rsidR="00CE4CC2" w:rsidRDefault="003A06E5">
            <w:pPr>
              <w:pStyle w:val="Compact"/>
            </w:pPr>
            <w:r>
              <w:t>Definition of Done (critères d’acceptation)</w:t>
            </w:r>
          </w:p>
        </w:tc>
      </w:tr>
      <w:tr w:rsidR="00CE4CC2">
        <w:tc>
          <w:tcPr>
            <w:tcW w:w="0" w:type="auto"/>
          </w:tcPr>
          <w:p w:rsidR="00CE4CC2" w:rsidRDefault="003A06E5">
            <w:pPr>
              <w:pStyle w:val="Compact"/>
            </w:pPr>
            <w:r>
              <w:t>DSS</w:t>
            </w:r>
          </w:p>
        </w:tc>
        <w:tc>
          <w:tcPr>
            <w:tcW w:w="0" w:type="auto"/>
          </w:tcPr>
          <w:p w:rsidR="00CE4CC2" w:rsidRDefault="003A06E5">
            <w:pPr>
              <w:pStyle w:val="Compact"/>
            </w:pPr>
            <w:r>
              <w:t>Diagramme de Séquence Système</w:t>
            </w:r>
          </w:p>
        </w:tc>
      </w:tr>
      <w:tr w:rsidR="00CE4CC2">
        <w:tc>
          <w:tcPr>
            <w:tcW w:w="0" w:type="auto"/>
          </w:tcPr>
          <w:p w:rsidR="00CE4CC2" w:rsidRDefault="003A06E5">
            <w:pPr>
              <w:pStyle w:val="Compact"/>
            </w:pPr>
            <w:r>
              <w:t>ETA</w:t>
            </w:r>
          </w:p>
        </w:tc>
        <w:tc>
          <w:tcPr>
            <w:tcW w:w="0" w:type="auto"/>
          </w:tcPr>
          <w:p w:rsidR="00CE4CC2" w:rsidRDefault="003A06E5">
            <w:pPr>
              <w:pStyle w:val="Compact"/>
            </w:pPr>
            <w:r>
              <w:t>Estimated Time of Arrival</w:t>
            </w:r>
          </w:p>
        </w:tc>
      </w:tr>
      <w:tr w:rsidR="00CE4CC2">
        <w:tc>
          <w:tcPr>
            <w:tcW w:w="0" w:type="auto"/>
          </w:tcPr>
          <w:p w:rsidR="00CE4CC2" w:rsidRDefault="003A06E5">
            <w:pPr>
              <w:pStyle w:val="Compact"/>
            </w:pPr>
            <w:r>
              <w:t>FCM</w:t>
            </w:r>
          </w:p>
        </w:tc>
        <w:tc>
          <w:tcPr>
            <w:tcW w:w="0" w:type="auto"/>
          </w:tcPr>
          <w:p w:rsidR="00CE4CC2" w:rsidRDefault="003A06E5">
            <w:pPr>
              <w:pStyle w:val="Compact"/>
            </w:pPr>
            <w:r>
              <w:t>Firebase Cloud Messaging</w:t>
            </w:r>
          </w:p>
        </w:tc>
      </w:tr>
      <w:tr w:rsidR="00CE4CC2">
        <w:tc>
          <w:tcPr>
            <w:tcW w:w="0" w:type="auto"/>
          </w:tcPr>
          <w:p w:rsidR="00CE4CC2" w:rsidRDefault="003A06E5">
            <w:pPr>
              <w:pStyle w:val="Compact"/>
            </w:pPr>
            <w:r>
              <w:t>GPS</w:t>
            </w:r>
          </w:p>
        </w:tc>
        <w:tc>
          <w:tcPr>
            <w:tcW w:w="0" w:type="auto"/>
          </w:tcPr>
          <w:p w:rsidR="00CE4CC2" w:rsidRDefault="003A06E5">
            <w:pPr>
              <w:pStyle w:val="Compact"/>
            </w:pPr>
            <w:r>
              <w:t>Global Positioning System</w:t>
            </w:r>
          </w:p>
        </w:tc>
      </w:tr>
      <w:tr w:rsidR="00CE4CC2">
        <w:tc>
          <w:tcPr>
            <w:tcW w:w="0" w:type="auto"/>
          </w:tcPr>
          <w:p w:rsidR="00CE4CC2" w:rsidRDefault="003A06E5">
            <w:pPr>
              <w:pStyle w:val="Compact"/>
            </w:pPr>
            <w:r>
              <w:t>HA</w:t>
            </w:r>
          </w:p>
        </w:tc>
        <w:tc>
          <w:tcPr>
            <w:tcW w:w="0" w:type="auto"/>
          </w:tcPr>
          <w:p w:rsidR="00CE4CC2" w:rsidRDefault="003A06E5">
            <w:pPr>
              <w:pStyle w:val="Compact"/>
            </w:pPr>
            <w:r>
              <w:t>Haute Disponibilité</w:t>
            </w:r>
          </w:p>
        </w:tc>
      </w:tr>
      <w:tr w:rsidR="00CE4CC2">
        <w:tc>
          <w:tcPr>
            <w:tcW w:w="0" w:type="auto"/>
          </w:tcPr>
          <w:p w:rsidR="00CE4CC2" w:rsidRDefault="003A06E5">
            <w:pPr>
              <w:pStyle w:val="Compact"/>
            </w:pPr>
            <w:r>
              <w:t>HTTPS / TLS</w:t>
            </w:r>
          </w:p>
        </w:tc>
        <w:tc>
          <w:tcPr>
            <w:tcW w:w="0" w:type="auto"/>
          </w:tcPr>
          <w:p w:rsidR="00CE4CC2" w:rsidRDefault="003A06E5">
            <w:pPr>
              <w:pStyle w:val="Compact"/>
            </w:pPr>
            <w:r>
              <w:t>HyperText Transfer Protocol Secure / Transport Layer Security</w:t>
            </w:r>
          </w:p>
        </w:tc>
      </w:tr>
      <w:tr w:rsidR="00CE4CC2">
        <w:tc>
          <w:tcPr>
            <w:tcW w:w="0" w:type="auto"/>
          </w:tcPr>
          <w:p w:rsidR="00CE4CC2" w:rsidRDefault="003A06E5">
            <w:pPr>
              <w:pStyle w:val="Compact"/>
            </w:pPr>
            <w:r>
              <w:t>IA</w:t>
            </w:r>
          </w:p>
        </w:tc>
        <w:tc>
          <w:tcPr>
            <w:tcW w:w="0" w:type="auto"/>
          </w:tcPr>
          <w:p w:rsidR="00CE4CC2" w:rsidRDefault="003A06E5">
            <w:pPr>
              <w:pStyle w:val="Compact"/>
            </w:pPr>
            <w:r>
              <w:t>Intelligence Artificielle</w:t>
            </w:r>
          </w:p>
        </w:tc>
      </w:tr>
      <w:tr w:rsidR="00CE4CC2">
        <w:tc>
          <w:tcPr>
            <w:tcW w:w="0" w:type="auto"/>
          </w:tcPr>
          <w:p w:rsidR="00CE4CC2" w:rsidRDefault="003A06E5">
            <w:pPr>
              <w:pStyle w:val="Compact"/>
            </w:pPr>
            <w:r>
              <w:t>JWT</w:t>
            </w:r>
          </w:p>
        </w:tc>
        <w:tc>
          <w:tcPr>
            <w:tcW w:w="0" w:type="auto"/>
          </w:tcPr>
          <w:p w:rsidR="00CE4CC2" w:rsidRDefault="003A06E5">
            <w:pPr>
              <w:pStyle w:val="Compact"/>
            </w:pPr>
            <w:r>
              <w:t>JSON Web Token</w:t>
            </w:r>
          </w:p>
        </w:tc>
      </w:tr>
      <w:tr w:rsidR="00CE4CC2">
        <w:tc>
          <w:tcPr>
            <w:tcW w:w="0" w:type="auto"/>
          </w:tcPr>
          <w:p w:rsidR="00CE4CC2" w:rsidRDefault="003A06E5">
            <w:pPr>
              <w:pStyle w:val="Compact"/>
            </w:pPr>
            <w:r>
              <w:t>KPI</w:t>
            </w:r>
          </w:p>
        </w:tc>
        <w:tc>
          <w:tcPr>
            <w:tcW w:w="0" w:type="auto"/>
          </w:tcPr>
          <w:p w:rsidR="00CE4CC2" w:rsidRDefault="003A06E5">
            <w:pPr>
              <w:pStyle w:val="Compact"/>
            </w:pPr>
            <w:r>
              <w:t>Key Performance Indicator</w:t>
            </w:r>
          </w:p>
        </w:tc>
      </w:tr>
      <w:tr w:rsidR="00CE4CC2">
        <w:tc>
          <w:tcPr>
            <w:tcW w:w="0" w:type="auto"/>
          </w:tcPr>
          <w:p w:rsidR="00CE4CC2" w:rsidRDefault="003A06E5">
            <w:pPr>
              <w:pStyle w:val="Compact"/>
            </w:pPr>
            <w:r>
              <w:t>KYC</w:t>
            </w:r>
          </w:p>
        </w:tc>
        <w:tc>
          <w:tcPr>
            <w:tcW w:w="0" w:type="auto"/>
          </w:tcPr>
          <w:p w:rsidR="00CE4CC2" w:rsidRDefault="003A06E5">
            <w:pPr>
              <w:pStyle w:val="Compact"/>
            </w:pPr>
            <w:r>
              <w:t>Know Your Customer</w:t>
            </w:r>
          </w:p>
        </w:tc>
      </w:tr>
      <w:tr w:rsidR="00CE4CC2">
        <w:tc>
          <w:tcPr>
            <w:tcW w:w="0" w:type="auto"/>
          </w:tcPr>
          <w:p w:rsidR="00CE4CC2" w:rsidRDefault="003A06E5">
            <w:pPr>
              <w:pStyle w:val="Compact"/>
            </w:pPr>
            <w:r>
              <w:t>MITM</w:t>
            </w:r>
          </w:p>
        </w:tc>
        <w:tc>
          <w:tcPr>
            <w:tcW w:w="0" w:type="auto"/>
          </w:tcPr>
          <w:p w:rsidR="00CE4CC2" w:rsidRDefault="003A06E5">
            <w:pPr>
              <w:pStyle w:val="Compact"/>
            </w:pPr>
            <w:r>
              <w:t>Man In The Middle</w:t>
            </w:r>
          </w:p>
        </w:tc>
      </w:tr>
      <w:tr w:rsidR="00CE4CC2">
        <w:tc>
          <w:tcPr>
            <w:tcW w:w="0" w:type="auto"/>
          </w:tcPr>
          <w:p w:rsidR="00CE4CC2" w:rsidRDefault="003A06E5">
            <w:pPr>
              <w:pStyle w:val="Compact"/>
            </w:pPr>
            <w:r>
              <w:t>MoMo</w:t>
            </w:r>
          </w:p>
        </w:tc>
        <w:tc>
          <w:tcPr>
            <w:tcW w:w="0" w:type="auto"/>
          </w:tcPr>
          <w:p w:rsidR="00CE4CC2" w:rsidRDefault="003A06E5">
            <w:pPr>
              <w:pStyle w:val="Compact"/>
            </w:pPr>
            <w:r>
              <w:t>Mobile Money (MTN)</w:t>
            </w:r>
          </w:p>
        </w:tc>
      </w:tr>
      <w:tr w:rsidR="00CE4CC2">
        <w:tc>
          <w:tcPr>
            <w:tcW w:w="0" w:type="auto"/>
          </w:tcPr>
          <w:p w:rsidR="00CE4CC2" w:rsidRDefault="003A06E5">
            <w:pPr>
              <w:pStyle w:val="Compact"/>
            </w:pPr>
            <w:r>
              <w:t>MVP</w:t>
            </w:r>
          </w:p>
        </w:tc>
        <w:tc>
          <w:tcPr>
            <w:tcW w:w="0" w:type="auto"/>
          </w:tcPr>
          <w:p w:rsidR="00CE4CC2" w:rsidRDefault="003A06E5">
            <w:pPr>
              <w:pStyle w:val="Compact"/>
            </w:pPr>
            <w:r>
              <w:t>Minimum Viable Product</w:t>
            </w:r>
          </w:p>
        </w:tc>
      </w:tr>
      <w:tr w:rsidR="00CE4CC2">
        <w:tc>
          <w:tcPr>
            <w:tcW w:w="0" w:type="auto"/>
          </w:tcPr>
          <w:p w:rsidR="00CE4CC2" w:rsidRDefault="003A06E5">
            <w:pPr>
              <w:pStyle w:val="Compact"/>
            </w:pPr>
            <w:r>
              <w:t>OHADA</w:t>
            </w:r>
          </w:p>
        </w:tc>
        <w:tc>
          <w:tcPr>
            <w:tcW w:w="0" w:type="auto"/>
          </w:tcPr>
          <w:p w:rsidR="00CE4CC2" w:rsidRDefault="003A06E5">
            <w:pPr>
              <w:pStyle w:val="Compact"/>
            </w:pPr>
            <w:r>
              <w:t>Organisation pour l’Harmonisation en Afrique du Droit des Affaires</w:t>
            </w:r>
          </w:p>
        </w:tc>
      </w:tr>
      <w:tr w:rsidR="00CE4CC2">
        <w:tc>
          <w:tcPr>
            <w:tcW w:w="0" w:type="auto"/>
          </w:tcPr>
          <w:p w:rsidR="00CE4CC2" w:rsidRDefault="003A06E5">
            <w:pPr>
              <w:pStyle w:val="Compact"/>
            </w:pPr>
            <w:r>
              <w:t>OR-Tools</w:t>
            </w:r>
          </w:p>
        </w:tc>
        <w:tc>
          <w:tcPr>
            <w:tcW w:w="0" w:type="auto"/>
          </w:tcPr>
          <w:p w:rsidR="00CE4CC2" w:rsidRDefault="003A06E5">
            <w:pPr>
              <w:pStyle w:val="Compact"/>
            </w:pPr>
            <w:r>
              <w:t>Operations Research Tools (Google)</w:t>
            </w:r>
          </w:p>
        </w:tc>
      </w:tr>
      <w:tr w:rsidR="00CE4CC2">
        <w:tc>
          <w:tcPr>
            <w:tcW w:w="0" w:type="auto"/>
          </w:tcPr>
          <w:p w:rsidR="00CE4CC2" w:rsidRDefault="003A06E5">
            <w:pPr>
              <w:pStyle w:val="Compact"/>
            </w:pPr>
            <w:r>
              <w:t>OTP</w:t>
            </w:r>
          </w:p>
        </w:tc>
        <w:tc>
          <w:tcPr>
            <w:tcW w:w="0" w:type="auto"/>
          </w:tcPr>
          <w:p w:rsidR="00CE4CC2" w:rsidRDefault="003A06E5">
            <w:pPr>
              <w:pStyle w:val="Compact"/>
            </w:pPr>
            <w:r>
              <w:t>One Time Password</w:t>
            </w:r>
          </w:p>
        </w:tc>
      </w:tr>
      <w:tr w:rsidR="00CE4CC2">
        <w:tc>
          <w:tcPr>
            <w:tcW w:w="0" w:type="auto"/>
          </w:tcPr>
          <w:p w:rsidR="00CE4CC2" w:rsidRDefault="003A06E5">
            <w:pPr>
              <w:pStyle w:val="Compact"/>
            </w:pPr>
            <w:r>
              <w:t>PII</w:t>
            </w:r>
          </w:p>
        </w:tc>
        <w:tc>
          <w:tcPr>
            <w:tcW w:w="0" w:type="auto"/>
          </w:tcPr>
          <w:p w:rsidR="00CE4CC2" w:rsidRDefault="003A06E5">
            <w:pPr>
              <w:pStyle w:val="Compact"/>
            </w:pPr>
            <w:r>
              <w:t>Personally Identifiable Information</w:t>
            </w:r>
          </w:p>
        </w:tc>
      </w:tr>
      <w:tr w:rsidR="00CE4CC2">
        <w:tc>
          <w:tcPr>
            <w:tcW w:w="0" w:type="auto"/>
          </w:tcPr>
          <w:p w:rsidR="00CE4CC2" w:rsidRDefault="003A06E5">
            <w:pPr>
              <w:pStyle w:val="Compact"/>
            </w:pPr>
            <w:r>
              <w:t>PostGIS</w:t>
            </w:r>
          </w:p>
        </w:tc>
        <w:tc>
          <w:tcPr>
            <w:tcW w:w="0" w:type="auto"/>
          </w:tcPr>
          <w:p w:rsidR="00CE4CC2" w:rsidRDefault="003A06E5">
            <w:pPr>
              <w:pStyle w:val="Compact"/>
            </w:pPr>
            <w:r>
              <w:t>Extension géospatiale de PostgreSQL</w:t>
            </w:r>
          </w:p>
        </w:tc>
      </w:tr>
      <w:tr w:rsidR="00CE4CC2">
        <w:tc>
          <w:tcPr>
            <w:tcW w:w="0" w:type="auto"/>
          </w:tcPr>
          <w:p w:rsidR="00CE4CC2" w:rsidRDefault="003A06E5">
            <w:pPr>
              <w:pStyle w:val="Compact"/>
            </w:pPr>
            <w:r>
              <w:t>PWA</w:t>
            </w:r>
          </w:p>
        </w:tc>
        <w:tc>
          <w:tcPr>
            <w:tcW w:w="0" w:type="auto"/>
          </w:tcPr>
          <w:p w:rsidR="00CE4CC2" w:rsidRDefault="003A06E5">
            <w:pPr>
              <w:pStyle w:val="Compact"/>
            </w:pPr>
            <w:r>
              <w:t>Progressive Web App</w:t>
            </w:r>
          </w:p>
        </w:tc>
      </w:tr>
      <w:tr w:rsidR="00CE4CC2">
        <w:tc>
          <w:tcPr>
            <w:tcW w:w="0" w:type="auto"/>
          </w:tcPr>
          <w:p w:rsidR="00CE4CC2" w:rsidRDefault="003A06E5">
            <w:pPr>
              <w:pStyle w:val="Compact"/>
            </w:pPr>
            <w:r>
              <w:t>QR</w:t>
            </w:r>
          </w:p>
        </w:tc>
        <w:tc>
          <w:tcPr>
            <w:tcW w:w="0" w:type="auto"/>
          </w:tcPr>
          <w:p w:rsidR="00CE4CC2" w:rsidRDefault="003A06E5">
            <w:pPr>
              <w:pStyle w:val="Compact"/>
            </w:pPr>
            <w:r>
              <w:t>Quick Response code</w:t>
            </w:r>
          </w:p>
        </w:tc>
      </w:tr>
      <w:tr w:rsidR="00CE4CC2">
        <w:tc>
          <w:tcPr>
            <w:tcW w:w="0" w:type="auto"/>
          </w:tcPr>
          <w:p w:rsidR="00CE4CC2" w:rsidRDefault="003A06E5">
            <w:pPr>
              <w:pStyle w:val="Compact"/>
            </w:pPr>
            <w:r>
              <w:t>RCCM</w:t>
            </w:r>
          </w:p>
        </w:tc>
        <w:tc>
          <w:tcPr>
            <w:tcW w:w="0" w:type="auto"/>
          </w:tcPr>
          <w:p w:rsidR="00CE4CC2" w:rsidRDefault="003A06E5">
            <w:pPr>
              <w:pStyle w:val="Compact"/>
            </w:pPr>
            <w:r>
              <w:t>Registre du Commerce et du Crédit Mobilier</w:t>
            </w:r>
          </w:p>
        </w:tc>
      </w:tr>
      <w:tr w:rsidR="00CE4CC2">
        <w:tc>
          <w:tcPr>
            <w:tcW w:w="0" w:type="auto"/>
          </w:tcPr>
          <w:p w:rsidR="00CE4CC2" w:rsidRDefault="003A06E5">
            <w:pPr>
              <w:pStyle w:val="Compact"/>
            </w:pPr>
            <w:r>
              <w:t>REST</w:t>
            </w:r>
          </w:p>
        </w:tc>
        <w:tc>
          <w:tcPr>
            <w:tcW w:w="0" w:type="auto"/>
          </w:tcPr>
          <w:p w:rsidR="00CE4CC2" w:rsidRDefault="003A06E5">
            <w:pPr>
              <w:pStyle w:val="Compact"/>
            </w:pPr>
            <w:r>
              <w:t>Representational State Transfer</w:t>
            </w:r>
          </w:p>
        </w:tc>
      </w:tr>
      <w:tr w:rsidR="00CE4CC2">
        <w:tc>
          <w:tcPr>
            <w:tcW w:w="0" w:type="auto"/>
          </w:tcPr>
          <w:p w:rsidR="00CE4CC2" w:rsidRDefault="003A06E5">
            <w:pPr>
              <w:pStyle w:val="Compact"/>
            </w:pPr>
            <w:r>
              <w:t>RTO / RPO</w:t>
            </w:r>
          </w:p>
        </w:tc>
        <w:tc>
          <w:tcPr>
            <w:tcW w:w="0" w:type="auto"/>
          </w:tcPr>
          <w:p w:rsidR="00CE4CC2" w:rsidRDefault="003A06E5">
            <w:pPr>
              <w:pStyle w:val="Compact"/>
            </w:pPr>
            <w:r>
              <w:t>Recovery Time / Point Objective</w:t>
            </w:r>
          </w:p>
        </w:tc>
      </w:tr>
      <w:tr w:rsidR="00CE4CC2">
        <w:tc>
          <w:tcPr>
            <w:tcW w:w="0" w:type="auto"/>
          </w:tcPr>
          <w:p w:rsidR="00CE4CC2" w:rsidRDefault="003A06E5">
            <w:pPr>
              <w:pStyle w:val="Compact"/>
            </w:pPr>
            <w:r>
              <w:lastRenderedPageBreak/>
              <w:t>SLA</w:t>
            </w:r>
          </w:p>
        </w:tc>
        <w:tc>
          <w:tcPr>
            <w:tcW w:w="0" w:type="auto"/>
          </w:tcPr>
          <w:p w:rsidR="00CE4CC2" w:rsidRDefault="003A06E5">
            <w:pPr>
              <w:pStyle w:val="Compact"/>
            </w:pPr>
            <w:r>
              <w:t>Service Level Agreement</w:t>
            </w:r>
          </w:p>
        </w:tc>
      </w:tr>
      <w:tr w:rsidR="00CE4CC2">
        <w:tc>
          <w:tcPr>
            <w:tcW w:w="0" w:type="auto"/>
          </w:tcPr>
          <w:p w:rsidR="00CE4CC2" w:rsidRDefault="003A06E5">
            <w:pPr>
              <w:pStyle w:val="Compact"/>
            </w:pPr>
            <w:r>
              <w:t>SMIG</w:t>
            </w:r>
          </w:p>
        </w:tc>
        <w:tc>
          <w:tcPr>
            <w:tcW w:w="0" w:type="auto"/>
          </w:tcPr>
          <w:p w:rsidR="00CE4CC2" w:rsidRDefault="003A06E5">
            <w:pPr>
              <w:pStyle w:val="Compact"/>
            </w:pPr>
            <w:r>
              <w:t>Salaire Minimum Interprofessionnel Garanti</w:t>
            </w:r>
          </w:p>
        </w:tc>
      </w:tr>
      <w:tr w:rsidR="00CE4CC2">
        <w:tc>
          <w:tcPr>
            <w:tcW w:w="0" w:type="auto"/>
          </w:tcPr>
          <w:p w:rsidR="00CE4CC2" w:rsidRDefault="003A06E5">
            <w:pPr>
              <w:pStyle w:val="Compact"/>
            </w:pPr>
            <w:r>
              <w:t>SMS</w:t>
            </w:r>
          </w:p>
        </w:tc>
        <w:tc>
          <w:tcPr>
            <w:tcW w:w="0" w:type="auto"/>
          </w:tcPr>
          <w:p w:rsidR="00CE4CC2" w:rsidRDefault="003A06E5">
            <w:pPr>
              <w:pStyle w:val="Compact"/>
            </w:pPr>
            <w:r>
              <w:t>Short Message Service</w:t>
            </w:r>
          </w:p>
        </w:tc>
      </w:tr>
      <w:tr w:rsidR="00CE4CC2">
        <w:tc>
          <w:tcPr>
            <w:tcW w:w="0" w:type="auto"/>
          </w:tcPr>
          <w:p w:rsidR="00CE4CC2" w:rsidRDefault="003A06E5">
            <w:pPr>
              <w:pStyle w:val="Compact"/>
            </w:pPr>
            <w:r>
              <w:t>SQL / SGBD</w:t>
            </w:r>
          </w:p>
        </w:tc>
        <w:tc>
          <w:tcPr>
            <w:tcW w:w="0" w:type="auto"/>
          </w:tcPr>
          <w:p w:rsidR="00CE4CC2" w:rsidRDefault="003A06E5">
            <w:pPr>
              <w:pStyle w:val="Compact"/>
            </w:pPr>
            <w:r>
              <w:t>Structured Query Language / Système de Gestion de BDD</w:t>
            </w:r>
          </w:p>
        </w:tc>
      </w:tr>
      <w:tr w:rsidR="00CE4CC2">
        <w:tc>
          <w:tcPr>
            <w:tcW w:w="0" w:type="auto"/>
          </w:tcPr>
          <w:p w:rsidR="00CE4CC2" w:rsidRDefault="003A06E5">
            <w:pPr>
              <w:pStyle w:val="Compact"/>
            </w:pPr>
            <w:r>
              <w:t>UML</w:t>
            </w:r>
          </w:p>
        </w:tc>
        <w:tc>
          <w:tcPr>
            <w:tcW w:w="0" w:type="auto"/>
          </w:tcPr>
          <w:p w:rsidR="00CE4CC2" w:rsidRDefault="003A06E5">
            <w:pPr>
              <w:pStyle w:val="Compact"/>
            </w:pPr>
            <w:r>
              <w:t>Unified Modeling Language</w:t>
            </w:r>
          </w:p>
        </w:tc>
      </w:tr>
      <w:tr w:rsidR="00CE4CC2">
        <w:tc>
          <w:tcPr>
            <w:tcW w:w="0" w:type="auto"/>
          </w:tcPr>
          <w:p w:rsidR="00CE4CC2" w:rsidRDefault="003A06E5">
            <w:pPr>
              <w:pStyle w:val="Compact"/>
            </w:pPr>
            <w:r>
              <w:t>UTC</w:t>
            </w:r>
          </w:p>
        </w:tc>
        <w:tc>
          <w:tcPr>
            <w:tcW w:w="0" w:type="auto"/>
          </w:tcPr>
          <w:p w:rsidR="00CE4CC2" w:rsidRDefault="003A06E5">
            <w:pPr>
              <w:pStyle w:val="Compact"/>
            </w:pPr>
            <w:r>
              <w:t>Coordinated Universal Time</w:t>
            </w:r>
          </w:p>
        </w:tc>
      </w:tr>
      <w:tr w:rsidR="00CE4CC2">
        <w:tc>
          <w:tcPr>
            <w:tcW w:w="0" w:type="auto"/>
          </w:tcPr>
          <w:p w:rsidR="00CE4CC2" w:rsidRDefault="003A06E5">
            <w:pPr>
              <w:pStyle w:val="Compact"/>
            </w:pPr>
            <w:r>
              <w:t>VRP</w:t>
            </w:r>
          </w:p>
        </w:tc>
        <w:tc>
          <w:tcPr>
            <w:tcW w:w="0" w:type="auto"/>
          </w:tcPr>
          <w:p w:rsidR="00CE4CC2" w:rsidRDefault="003A06E5">
            <w:pPr>
              <w:pStyle w:val="Compact"/>
            </w:pPr>
            <w:r>
              <w:t>Vehicle Routing Problem</w:t>
            </w:r>
          </w:p>
        </w:tc>
      </w:tr>
      <w:tr w:rsidR="00CE4CC2">
        <w:tc>
          <w:tcPr>
            <w:tcW w:w="0" w:type="auto"/>
          </w:tcPr>
          <w:p w:rsidR="00CE4CC2" w:rsidRDefault="003A06E5">
            <w:pPr>
              <w:pStyle w:val="Compact"/>
            </w:pPr>
            <w:r>
              <w:t>WAF</w:t>
            </w:r>
          </w:p>
        </w:tc>
        <w:tc>
          <w:tcPr>
            <w:tcW w:w="0" w:type="auto"/>
          </w:tcPr>
          <w:p w:rsidR="00CE4CC2" w:rsidRDefault="003A06E5">
            <w:pPr>
              <w:pStyle w:val="Compact"/>
            </w:pPr>
            <w:r>
              <w:t>Web Application Firewall</w:t>
            </w:r>
          </w:p>
        </w:tc>
      </w:tr>
      <w:tr w:rsidR="00CE4CC2">
        <w:tc>
          <w:tcPr>
            <w:tcW w:w="0" w:type="auto"/>
          </w:tcPr>
          <w:p w:rsidR="00CE4CC2" w:rsidRDefault="003A06E5">
            <w:pPr>
              <w:pStyle w:val="Compact"/>
            </w:pPr>
            <w:r>
              <w:t>XAF</w:t>
            </w:r>
          </w:p>
        </w:tc>
        <w:tc>
          <w:tcPr>
            <w:tcW w:w="0" w:type="auto"/>
          </w:tcPr>
          <w:p w:rsidR="00CE4CC2" w:rsidRDefault="003A06E5">
            <w:pPr>
              <w:pStyle w:val="Compact"/>
            </w:pPr>
            <w:r>
              <w:t>Franc CFA d’Afrique Centrale</w:t>
            </w:r>
          </w:p>
        </w:tc>
      </w:tr>
      <w:tr w:rsidR="00CE4CC2">
        <w:tc>
          <w:tcPr>
            <w:tcW w:w="0" w:type="auto"/>
          </w:tcPr>
          <w:p w:rsidR="00CE4CC2" w:rsidRDefault="003A06E5">
            <w:pPr>
              <w:pStyle w:val="Compact"/>
            </w:pPr>
            <w:r>
              <w:t>XSS / CSRF</w:t>
            </w:r>
          </w:p>
        </w:tc>
        <w:tc>
          <w:tcPr>
            <w:tcW w:w="0" w:type="auto"/>
          </w:tcPr>
          <w:p w:rsidR="00CE4CC2" w:rsidRDefault="003A06E5">
            <w:pPr>
              <w:pStyle w:val="Compact"/>
            </w:pPr>
            <w:r>
              <w:t>Cross-Site Scripting / Cross-Site Request Forgery</w:t>
            </w:r>
          </w:p>
        </w:tc>
      </w:tr>
    </w:tbl>
    <w:p w:rsidR="00CE4CC2" w:rsidRDefault="003A06E5">
      <w:r>
        <w:pict>
          <v:rect id="_x0000_i1027" style="width:0;height:1.5pt" o:hralign="center" o:hrstd="t" o:hr="t"/>
        </w:pict>
      </w:r>
    </w:p>
    <w:p w:rsidR="00CE4CC2" w:rsidRDefault="003A06E5">
      <w:pPr>
        <w:pStyle w:val="Titre1"/>
      </w:pPr>
      <w:bookmarkStart w:id="12" w:name="glossaire-métier"/>
      <w:bookmarkStart w:id="13" w:name="_Toc232734021"/>
      <w:bookmarkEnd w:id="10"/>
      <w:r>
        <w:t>4. Glossaire métier</w:t>
      </w:r>
      <w:bookmarkEnd w:id="13"/>
    </w:p>
    <w:tbl>
      <w:tblPr>
        <w:tblStyle w:val="Table"/>
        <w:tblW w:w="5000" w:type="pct"/>
        <w:tblLook w:val="0020" w:firstRow="1" w:lastRow="0" w:firstColumn="0" w:lastColumn="0" w:noHBand="0" w:noVBand="0"/>
      </w:tblPr>
      <w:tblGrid>
        <w:gridCol w:w="1819"/>
        <w:gridCol w:w="7423"/>
      </w:tblGrid>
      <w:tr w:rsidR="00CE4CC2" w:rsidTr="00CE4CC2">
        <w:trPr>
          <w:cnfStyle w:val="100000000000" w:firstRow="1" w:lastRow="0" w:firstColumn="0" w:lastColumn="0" w:oddVBand="0" w:evenVBand="0" w:oddHBand="0" w:evenHBand="0" w:firstRowFirstColumn="0" w:firstRowLastColumn="0" w:lastRowFirstColumn="0" w:lastRowLastColumn="0"/>
          <w:tblHeader/>
        </w:trPr>
        <w:tc>
          <w:tcPr>
            <w:tcW w:w="0" w:type="auto"/>
          </w:tcPr>
          <w:p w:rsidR="00CE4CC2" w:rsidRDefault="003A06E5">
            <w:pPr>
              <w:pStyle w:val="Compact"/>
            </w:pPr>
            <w:r>
              <w:t>Terme</w:t>
            </w:r>
          </w:p>
        </w:tc>
        <w:tc>
          <w:tcPr>
            <w:tcW w:w="0" w:type="auto"/>
          </w:tcPr>
          <w:p w:rsidR="00CE4CC2" w:rsidRDefault="003A06E5">
            <w:pPr>
              <w:pStyle w:val="Compact"/>
            </w:pPr>
            <w:r>
              <w:t>Définition</w:t>
            </w:r>
          </w:p>
        </w:tc>
      </w:tr>
      <w:tr w:rsidR="00CE4CC2">
        <w:tc>
          <w:tcPr>
            <w:tcW w:w="0" w:type="auto"/>
          </w:tcPr>
          <w:p w:rsidR="00CE4CC2" w:rsidRDefault="003A06E5">
            <w:pPr>
              <w:pStyle w:val="Compact"/>
            </w:pPr>
            <w:r>
              <w:t>Agent IA</w:t>
            </w:r>
          </w:p>
        </w:tc>
        <w:tc>
          <w:tcPr>
            <w:tcW w:w="0" w:type="auto"/>
          </w:tcPr>
          <w:p w:rsidR="00CE4CC2" w:rsidRDefault="003A06E5">
            <w:pPr>
              <w:pStyle w:val="Compact"/>
            </w:pPr>
            <w:r>
              <w:t>Microservice d’intelligence : attribution (VRP), ETA, scoring livreur, détection d’anomalies GPS, tarification, clustering ramassage.</w:t>
            </w:r>
          </w:p>
        </w:tc>
      </w:tr>
      <w:tr w:rsidR="00CE4CC2">
        <w:tc>
          <w:tcPr>
            <w:tcW w:w="0" w:type="auto"/>
          </w:tcPr>
          <w:p w:rsidR="00CE4CC2" w:rsidRDefault="003A06E5">
            <w:pPr>
              <w:pStyle w:val="Compact"/>
            </w:pPr>
            <w:r>
              <w:t>Carnet d’adresses</w:t>
            </w:r>
          </w:p>
        </w:tc>
        <w:tc>
          <w:tcPr>
            <w:tcW w:w="0" w:type="auto"/>
          </w:tcPr>
          <w:p w:rsidR="00CE4CC2" w:rsidRDefault="003A06E5">
            <w:pPr>
              <w:pStyle w:val="Compact"/>
            </w:pPr>
            <w:r>
              <w:t>Lieux enregistrés par l’utilisateur (libellé, repères, pin GPS, photo du bâtiment) pour commander en deux gestes.</w:t>
            </w:r>
          </w:p>
        </w:tc>
      </w:tr>
      <w:tr w:rsidR="00CE4CC2">
        <w:tc>
          <w:tcPr>
            <w:tcW w:w="0" w:type="auto"/>
          </w:tcPr>
          <w:p w:rsidR="00CE4CC2" w:rsidRDefault="003A06E5">
            <w:pPr>
              <w:pStyle w:val="Compact"/>
            </w:pPr>
            <w:r>
              <w:t>COD</w:t>
            </w:r>
          </w:p>
        </w:tc>
        <w:tc>
          <w:tcPr>
            <w:tcW w:w="0" w:type="auto"/>
          </w:tcPr>
          <w:p w:rsidR="00CE4CC2" w:rsidRDefault="003A06E5">
            <w:pPr>
              <w:pStyle w:val="Compact"/>
            </w:pPr>
            <w:r>
              <w:t xml:space="preserve">Cash On Delivery. En MVP, désigne </w:t>
            </w:r>
            <w:r>
              <w:rPr>
                <w:b/>
                <w:bCs/>
              </w:rPr>
              <w:t>exclusivement le paiement en espèces des frais de livraison</w:t>
            </w:r>
            <w:r>
              <w:t xml:space="preserve"> par le receveur. L’encaissement de la valeur marchande pour le compte d’un vendeur relève de la Phase 2 (module Encaissement &amp; Reversement).</w:t>
            </w:r>
          </w:p>
        </w:tc>
      </w:tr>
      <w:tr w:rsidR="00CE4CC2">
        <w:tc>
          <w:tcPr>
            <w:tcW w:w="0" w:type="auto"/>
          </w:tcPr>
          <w:p w:rsidR="00CE4CC2" w:rsidRDefault="003A06E5">
            <w:pPr>
              <w:pStyle w:val="Compact"/>
            </w:pPr>
            <w:r>
              <w:t>Commande inversée</w:t>
            </w:r>
          </w:p>
        </w:tc>
        <w:tc>
          <w:tcPr>
            <w:tcW w:w="0" w:type="auto"/>
          </w:tcPr>
          <w:p w:rsidR="00CE4CC2" w:rsidRDefault="003A06E5">
            <w:pPr>
              <w:pStyle w:val="Compact"/>
            </w:pPr>
            <w:r>
              <w:t>Le livreur récupère un colis chez un tiers pour le ramener au client ou en hub.</w:t>
            </w:r>
          </w:p>
        </w:tc>
      </w:tr>
      <w:tr w:rsidR="00CE4CC2">
        <w:tc>
          <w:tcPr>
            <w:tcW w:w="0" w:type="auto"/>
          </w:tcPr>
          <w:p w:rsidR="00CE4CC2" w:rsidRDefault="003A06E5">
            <w:pPr>
              <w:pStyle w:val="Compact"/>
            </w:pPr>
            <w:r>
              <w:t>Géo-clôture (geofence)</w:t>
            </w:r>
          </w:p>
        </w:tc>
        <w:tc>
          <w:tcPr>
            <w:tcW w:w="0" w:type="auto"/>
          </w:tcPr>
          <w:p w:rsidR="00CE4CC2" w:rsidRDefault="003A06E5">
            <w:pPr>
              <w:pStyle w:val="Compact"/>
            </w:pPr>
            <w:r>
              <w:t>Zone circulaire (rayon paramétrable, défaut 150 m) autour d’un point ; son franchissement déclenche des règles serveur (ex. chrono d’attente).</w:t>
            </w:r>
          </w:p>
        </w:tc>
      </w:tr>
      <w:tr w:rsidR="00CE4CC2">
        <w:tc>
          <w:tcPr>
            <w:tcW w:w="0" w:type="auto"/>
          </w:tcPr>
          <w:p w:rsidR="00CE4CC2" w:rsidRDefault="003A06E5">
            <w:pPr>
              <w:pStyle w:val="Compact"/>
            </w:pPr>
            <w:r>
              <w:t>Jeton de livraison signé</w:t>
            </w:r>
          </w:p>
        </w:tc>
        <w:tc>
          <w:tcPr>
            <w:tcW w:w="0" w:type="auto"/>
          </w:tcPr>
          <w:p w:rsidR="00CE4CC2" w:rsidRDefault="003A06E5">
            <w:pPr>
              <w:pStyle w:val="Compact"/>
            </w:pPr>
            <w:r>
              <w:t xml:space="preserve">Code (PIN + QR) cryptographiquement signé par le serveur, émis à l’affectation ; permet la </w:t>
            </w:r>
            <w:r>
              <w:rPr>
                <w:b/>
                <w:bCs/>
              </w:rPr>
              <w:t>confirmation hors-ligne</w:t>
            </w:r>
            <w:r>
              <w:t xml:space="preserve"> par vérification de signature locale.</w:t>
            </w:r>
          </w:p>
        </w:tc>
      </w:tr>
      <w:tr w:rsidR="00CE4CC2">
        <w:tc>
          <w:tcPr>
            <w:tcW w:w="0" w:type="auto"/>
          </w:tcPr>
          <w:p w:rsidR="00CE4CC2" w:rsidRDefault="003A06E5">
            <w:pPr>
              <w:pStyle w:val="Compact"/>
            </w:pPr>
            <w:r>
              <w:t>Lot de ramassage</w:t>
            </w:r>
          </w:p>
        </w:tc>
        <w:tc>
          <w:tcPr>
            <w:tcW w:w="0" w:type="auto"/>
          </w:tcPr>
          <w:p w:rsidR="00CE4CC2" w:rsidRDefault="003A06E5">
            <w:pPr>
              <w:pStyle w:val="Compact"/>
            </w:pPr>
            <w:r>
              <w:t>Ensemble des commandes d’une structure pour un jour de ramassage hebdomadaire fixe.</w:t>
            </w:r>
          </w:p>
        </w:tc>
      </w:tr>
      <w:tr w:rsidR="00CE4CC2">
        <w:tc>
          <w:tcPr>
            <w:tcW w:w="0" w:type="auto"/>
          </w:tcPr>
          <w:p w:rsidR="00CE4CC2" w:rsidRDefault="003A06E5">
            <w:pPr>
              <w:pStyle w:val="Compact"/>
            </w:pPr>
            <w:r>
              <w:t>Palier tarifaire</w:t>
            </w:r>
          </w:p>
        </w:tc>
        <w:tc>
          <w:tcPr>
            <w:tcW w:w="0" w:type="auto"/>
          </w:tcPr>
          <w:p w:rsidR="00CE4CC2" w:rsidRDefault="003A06E5">
            <w:pPr>
              <w:pStyle w:val="Compact"/>
            </w:pPr>
            <w:r>
              <w:t>Niveau de réduction automatique selon le volume du mois précédent : Standard, Business (−10 %), Premium (−20 %).</w:t>
            </w:r>
          </w:p>
        </w:tc>
      </w:tr>
      <w:tr w:rsidR="00CE4CC2">
        <w:tc>
          <w:tcPr>
            <w:tcW w:w="0" w:type="auto"/>
          </w:tcPr>
          <w:p w:rsidR="00CE4CC2" w:rsidRDefault="003A06E5">
            <w:pPr>
              <w:pStyle w:val="Compact"/>
            </w:pPr>
            <w:r>
              <w:t>Pénalité / Dette</w:t>
            </w:r>
          </w:p>
        </w:tc>
        <w:tc>
          <w:tcPr>
            <w:tcW w:w="0" w:type="auto"/>
          </w:tcPr>
          <w:p w:rsidR="00CE4CC2" w:rsidRDefault="003A06E5">
            <w:pPr>
              <w:pStyle w:val="Compact"/>
            </w:pPr>
            <w:r>
              <w:t xml:space="preserve">Frais imputés à un acteur fautif, enregistrés comme dette ; </w:t>
            </w:r>
            <w:r>
              <w:rPr>
                <w:b/>
                <w:bCs/>
              </w:rPr>
              <w:t>bloquants</w:t>
            </w:r>
            <w:r>
              <w:t xml:space="preserve"> : aucune nouvelle commande tant que la dette n’est pas réglée.</w:t>
            </w:r>
          </w:p>
        </w:tc>
      </w:tr>
      <w:tr w:rsidR="00CE4CC2">
        <w:tc>
          <w:tcPr>
            <w:tcW w:w="0" w:type="auto"/>
          </w:tcPr>
          <w:p w:rsidR="00CE4CC2" w:rsidRDefault="003A06E5">
            <w:pPr>
              <w:pStyle w:val="Compact"/>
            </w:pPr>
            <w:r>
              <w:t>Prime de performance</w:t>
            </w:r>
          </w:p>
        </w:tc>
        <w:tc>
          <w:tcPr>
            <w:tcW w:w="0" w:type="auto"/>
          </w:tcPr>
          <w:p w:rsidR="00CE4CC2" w:rsidRDefault="003A06E5">
            <w:pPr>
              <w:pStyle w:val="Compact"/>
            </w:pPr>
            <w:r>
              <w:t>Part variable de la rémunération du livreur salarié, indexée sur la valeur produite et le score qualité, versée hebdomadairement par MoMo.</w:t>
            </w:r>
          </w:p>
        </w:tc>
      </w:tr>
      <w:tr w:rsidR="00CE4CC2">
        <w:tc>
          <w:tcPr>
            <w:tcW w:w="0" w:type="auto"/>
          </w:tcPr>
          <w:p w:rsidR="00CE4CC2" w:rsidRDefault="003A06E5">
            <w:pPr>
              <w:pStyle w:val="Compact"/>
            </w:pPr>
            <w:r>
              <w:t xml:space="preserve">Receveur </w:t>
              <w:lastRenderedPageBreak/>
              <w:t>(Receiver)</w:t>
            </w:r>
          </w:p>
        </w:tc>
        <w:tc>
          <w:tcPr>
            <w:tcW w:w="0" w:type="auto"/>
          </w:tcPr>
          <w:p w:rsidR="00CE4CC2" w:rsidRDefault="003A06E5">
            <w:pPr>
              <w:pStyle w:val="Compact"/>
            </w:pPr>
            <w:r>
              <w:lastRenderedPageBreak/>
              <w:t xml:space="preserve">Destinataire d’un colis. </w:t>
            </w:r>
            <w:r>
              <w:rPr>
                <w:rStyle w:val="VerbatimChar"/>
              </w:rPr>
              <w:t>hasApp=true</w:t>
            </w:r>
            <w:r>
              <w:t xml:space="preserve"> → notification push ; </w:t>
            </w:r>
            <w:r>
              <w:rPr>
                <w:rStyle w:val="VerbatimChar"/>
              </w:rPr>
              <w:lastRenderedPageBreak/>
              <w:t>hasApp=false</w:t>
            </w:r>
            <w:r>
              <w:t xml:space="preserve"> → flux SMS + jeton signé / page de suivi web.</w:t>
            </w:r>
          </w:p>
        </w:tc>
      </w:tr>
      <w:tr w:rsidR="00CE4CC2">
        <w:tc>
          <w:tcPr>
            <w:tcW w:w="0" w:type="auto"/>
          </w:tcPr>
          <w:p w:rsidR="00CE4CC2" w:rsidRDefault="003A06E5">
            <w:pPr>
              <w:pStyle w:val="Compact"/>
            </w:pPr>
            <w:r>
              <w:lastRenderedPageBreak/>
              <w:t>Score composite</w:t>
            </w:r>
          </w:p>
        </w:tc>
        <w:tc>
          <w:tcPr>
            <w:tcW w:w="0" w:type="auto"/>
          </w:tcPr>
          <w:p w:rsidR="00CE4CC2" w:rsidRDefault="003A06E5">
            <w:pPr>
              <w:pStyle w:val="Compact"/>
            </w:pPr>
            <w:r>
              <w:t>Indicateur 0–100 d’aptitude à l’attribution (voir formule §9.2).</w:t>
            </w:r>
          </w:p>
        </w:tc>
      </w:tr>
      <w:tr w:rsidR="00CE4CC2">
        <w:tc>
          <w:tcPr>
            <w:tcW w:w="0" w:type="auto"/>
          </w:tcPr>
          <w:p w:rsidR="00CE4CC2" w:rsidRDefault="003A06E5">
            <w:pPr>
              <w:pStyle w:val="Compact"/>
            </w:pPr>
            <w:r>
              <w:t>Soft delete</w:t>
            </w:r>
          </w:p>
        </w:tc>
        <w:tc>
          <w:tcPr>
            <w:tcW w:w="0" w:type="auto"/>
          </w:tcPr>
          <w:p w:rsidR="00CE4CC2" w:rsidRDefault="003A06E5">
            <w:pPr>
              <w:pStyle w:val="Compact"/>
            </w:pPr>
            <w:r>
              <w:t xml:space="preserve">Suppression logique (champ </w:t>
            </w:r>
            <w:r>
              <w:rPr>
                <w:rStyle w:val="VerbatimChar"/>
              </w:rPr>
              <w:t>deletedAt</w:t>
            </w:r>
            <w:r>
              <w:t>) ; combinée à l’anonymisation des PII pour respecter le droit à l’effacement tout en conservant les enregistrements légalement obligatoires.</w:t>
            </w:r>
          </w:p>
        </w:tc>
      </w:tr>
      <w:tr w:rsidR="00CE4CC2">
        <w:tc>
          <w:tcPr>
            <w:tcW w:w="0" w:type="auto"/>
          </w:tcPr>
          <w:p w:rsidR="00CE4CC2" w:rsidRDefault="003A06E5">
            <w:pPr>
              <w:pStyle w:val="Compact"/>
            </w:pPr>
            <w:r>
              <w:t>Super admin / Co-admin</w:t>
            </w:r>
          </w:p>
        </w:tc>
        <w:tc>
          <w:tcPr>
            <w:tcW w:w="0" w:type="auto"/>
          </w:tcPr>
          <w:p w:rsidR="00CE4CC2" w:rsidRDefault="003A06E5">
            <w:pPr>
              <w:pStyle w:val="Compact"/>
            </w:pPr>
            <w:r>
              <w:t>Porteur du projet (droits maximaux) / administrateurs opérationnels (droits restreints, sans accès finances consolidées, modèle économique, création d’admins, logs sécurité).</w:t>
            </w:r>
          </w:p>
        </w:tc>
      </w:tr>
      <w:tr w:rsidR="00CE4CC2">
        <w:tc>
          <w:tcPr>
            <w:tcW w:w="0" w:type="auto"/>
          </w:tcPr>
          <w:p w:rsidR="00CE4CC2" w:rsidRDefault="003A06E5">
            <w:pPr>
              <w:pStyle w:val="Compact"/>
            </w:pPr>
            <w:r>
              <w:t>Tournée optimisée</w:t>
            </w:r>
          </w:p>
        </w:tc>
        <w:tc>
          <w:tcPr>
            <w:tcW w:w="0" w:type="auto"/>
          </w:tcPr>
          <w:p w:rsidR="00CE4CC2" w:rsidRDefault="003A06E5">
            <w:pPr>
              <w:pStyle w:val="Compact"/>
            </w:pPr>
            <w:r>
              <w:t>Lot de 1 à 3 livraisons affectées à un livreur, ordonnancées par l’Agent IA (OR-Tools / VRP).</w:t>
            </w:r>
          </w:p>
        </w:tc>
      </w:tr>
      <w:tr w:rsidR="00CE4CC2">
        <w:tc>
          <w:tcPr>
            <w:tcW w:w="0" w:type="auto"/>
          </w:tcPr>
          <w:p w:rsidR="00CE4CC2" w:rsidRDefault="003A06E5">
            <w:pPr>
              <w:pStyle w:val="Compact"/>
            </w:pPr>
            <w:r>
              <w:t>Triple traçabilité</w:t>
            </w:r>
          </w:p>
        </w:tc>
        <w:tc>
          <w:tcPr>
            <w:tcW w:w="0" w:type="auto"/>
          </w:tcPr>
          <w:p w:rsidR="00CE4CC2" w:rsidRDefault="003A06E5">
            <w:pPr>
              <w:pStyle w:val="Compact"/>
            </w:pPr>
            <w:r>
              <w:t>Sécurisation de l’encaissement espèces : photo des billets + montant déclaré + validation par jeton/OTP.</w:t>
            </w:r>
          </w:p>
        </w:tc>
      </w:tr>
    </w:tbl>
    <w:p w:rsidR="00CE4CC2" w:rsidRDefault="003A06E5">
      <w:r>
        <w:pict>
          <v:rect id="_x0000_i1028" style="width:0;height:1.5pt" o:hralign="center" o:hrstd="t" o:hr="t"/>
        </w:pict>
      </w:r>
    </w:p>
    <w:p w:rsidR="00CE4CC2" w:rsidRDefault="003A06E5">
      <w:pPr>
        <w:pStyle w:val="Titre1"/>
      </w:pPr>
      <w:bookmarkStart w:id="14" w:name="présentation-générale-du-projet"/>
      <w:bookmarkStart w:id="15" w:name="_Toc232734022"/>
      <w:bookmarkEnd w:id="12"/>
      <w:r>
        <w:t>5. Présentation générale du projet</w:t>
      </w:r>
      <w:bookmarkEnd w:id="15"/>
    </w:p>
    <w:p w:rsidR="00CE4CC2" w:rsidRDefault="003A06E5">
      <w:pPr>
        <w:pStyle w:val="Titre2"/>
      </w:pPr>
      <w:bookmarkStart w:id="16" w:name="vision-et-positionnement"/>
      <w:bookmarkStart w:id="17" w:name="_Toc232734023"/>
      <w:r>
        <w:t>5.1 Vision et positionnement</w:t>
      </w:r>
      <w:bookmarkEnd w:id="17"/>
    </w:p>
    <w:p w:rsidR="00CE4CC2" w:rsidRDefault="003A06E5">
      <w:pPr>
        <w:pStyle w:val="FirstParagraph"/>
      </w:pPr>
      <w:r>
        <w:t xml:space="preserve">ASAP est une </w:t>
      </w:r>
      <w:r>
        <w:rPr>
          <w:b/>
          <w:bCs/>
        </w:rPr>
        <w:t>plateforme de livraison on-demand opérée comme un opérateur logistique structuré</w:t>
      </w:r>
      <w:r>
        <w:t xml:space="preserve"> à Yaoundé. Elle met en relation des clients (particuliers et entreprises), des </w:t>
      </w:r>
      <w:r>
        <w:rPr>
          <w:b/>
          <w:bCs/>
        </w:rPr>
        <w:t>livreurs</w:t>
      </w:r>
      <w:r>
        <w:t xml:space="preserve">, et des </w:t>
      </w:r>
      <w:r>
        <w:rPr>
          <w:b/>
          <w:bCs/>
        </w:rPr>
        <w:t>points partenaires</w:t>
      </w:r>
      <w:r>
        <w:t xml:space="preserve"> de retrait, avec une couche d’</w:t>
      </w:r>
      <w:r>
        <w:rPr>
          <w:b/>
          <w:bCs/>
        </w:rPr>
        <w:t>optimisation par IA</w:t>
      </w:r>
      <w:r>
        <w:t xml:space="preserve"> (attribution, tournées, ETA) et une conception </w:t>
      </w:r>
      <w:r>
        <w:rPr>
          <w:b/>
          <w:bCs/>
        </w:rPr>
        <w:t>résiliente aux coupures réseau et électriques</w:t>
      </w:r>
      <w:r>
        <w:t>.</w:t>
      </w:r>
    </w:p>
    <w:p w:rsidR="00CE4CC2" w:rsidRDefault="003A06E5">
      <w:pPr>
        <w:pStyle w:val="Titre2"/>
      </w:pPr>
      <w:bookmarkStart w:id="18" w:name="acteurs-et-rôles"/>
      <w:bookmarkStart w:id="19" w:name="_Toc232734024"/>
      <w:bookmarkEnd w:id="16"/>
      <w:r>
        <w:t>5.2 Acteurs et rôles</w:t>
      </w:r>
      <w:bookmarkEnd w:id="19"/>
    </w:p>
    <w:tbl>
      <w:tblPr>
        <w:tblStyle w:val="Table"/>
        <w:tblW w:w="5000" w:type="pct"/>
        <w:tblLook w:val="0020" w:firstRow="1" w:lastRow="0" w:firstColumn="0" w:lastColumn="0" w:noHBand="0" w:noVBand="0"/>
      </w:tblPr>
      <w:tblGrid>
        <w:gridCol w:w="2162"/>
        <w:gridCol w:w="4837"/>
        <w:gridCol w:w="2243"/>
      </w:tblGrid>
      <w:tr w:rsidR="00CE4CC2" w:rsidTr="00CE4CC2">
        <w:trPr>
          <w:cnfStyle w:val="100000000000" w:firstRow="1" w:lastRow="0" w:firstColumn="0" w:lastColumn="0" w:oddVBand="0" w:evenVBand="0" w:oddHBand="0" w:evenHBand="0" w:firstRowFirstColumn="0" w:firstRowLastColumn="0" w:lastRowFirstColumn="0" w:lastRowLastColumn="0"/>
          <w:tblHeader/>
        </w:trPr>
        <w:tc>
          <w:tcPr>
            <w:tcW w:w="0" w:type="auto"/>
          </w:tcPr>
          <w:p w:rsidR="00CE4CC2" w:rsidRDefault="003A06E5">
            <w:pPr>
              <w:pStyle w:val="Compact"/>
            </w:pPr>
            <w:r>
              <w:t>Acteur</w:t>
            </w:r>
          </w:p>
        </w:tc>
        <w:tc>
          <w:tcPr>
            <w:tcW w:w="0" w:type="auto"/>
          </w:tcPr>
          <w:p w:rsidR="00CE4CC2" w:rsidRDefault="003A06E5">
            <w:pPr>
              <w:pStyle w:val="Compact"/>
            </w:pPr>
            <w:r>
              <w:t>Description</w:t>
            </w:r>
          </w:p>
        </w:tc>
        <w:tc>
          <w:tcPr>
            <w:tcW w:w="0" w:type="auto"/>
          </w:tcPr>
          <w:p w:rsidR="00CE4CC2" w:rsidRDefault="003A06E5">
            <w:pPr>
              <w:pStyle w:val="Compact"/>
            </w:pPr>
            <w:r>
              <w:t>Mode d’accès</w:t>
            </w:r>
          </w:p>
        </w:tc>
      </w:tr>
      <w:tr w:rsidR="00CE4CC2">
        <w:tc>
          <w:tcPr>
            <w:tcW w:w="0" w:type="auto"/>
          </w:tcPr>
          <w:p w:rsidR="00CE4CC2" w:rsidRDefault="003A06E5">
            <w:pPr>
              <w:pStyle w:val="Compact"/>
            </w:pPr>
            <w:r>
              <w:t>Client particulier</w:t>
            </w:r>
          </w:p>
        </w:tc>
        <w:tc>
          <w:tcPr>
            <w:tcW w:w="0" w:type="auto"/>
          </w:tcPr>
          <w:p w:rsidR="00CE4CC2" w:rsidRDefault="003A06E5">
            <w:pPr>
              <w:pStyle w:val="Compact"/>
            </w:pPr>
            <w:r>
              <w:t>Commande, suit, paie, évalue.</w:t>
            </w:r>
          </w:p>
        </w:tc>
        <w:tc>
          <w:tcPr>
            <w:tcW w:w="0" w:type="auto"/>
          </w:tcPr>
          <w:p w:rsidR="00CE4CC2" w:rsidRDefault="003A06E5">
            <w:pPr>
              <w:pStyle w:val="Compact"/>
            </w:pPr>
            <w:r>
              <w:t>App mobile Flutter</w:t>
            </w:r>
          </w:p>
        </w:tc>
      </w:tr>
      <w:tr w:rsidR="00CE4CC2">
        <w:tc>
          <w:tcPr>
            <w:tcW w:w="0" w:type="auto"/>
          </w:tcPr>
          <w:p w:rsidR="00CE4CC2" w:rsidRDefault="003A06E5">
            <w:pPr>
              <w:pStyle w:val="Compact"/>
            </w:pPr>
            <w:r>
              <w:t>Client entreprise (B2B)</w:t>
            </w:r>
          </w:p>
        </w:tc>
        <w:tc>
          <w:tcPr>
            <w:tcW w:w="0" w:type="auto"/>
          </w:tcPr>
          <w:p w:rsidR="00CE4CC2" w:rsidRDefault="003A06E5">
            <w:pPr>
              <w:pStyle w:val="Compact"/>
            </w:pPr>
            <w:r>
              <w:t>Compte RCCM, sous-comptes employés, ramassage, facturation consolidée.</w:t>
            </w:r>
          </w:p>
        </w:tc>
        <w:tc>
          <w:tcPr>
            <w:tcW w:w="0" w:type="auto"/>
          </w:tcPr>
          <w:p w:rsidR="00CE4CC2" w:rsidRDefault="003A06E5">
            <w:pPr>
              <w:pStyle w:val="Compact"/>
            </w:pPr>
            <w:r>
              <w:t>App mobile + portail web</w:t>
            </w:r>
          </w:p>
        </w:tc>
      </w:tr>
      <w:tr w:rsidR="00CE4CC2">
        <w:tc>
          <w:tcPr>
            <w:tcW w:w="0" w:type="auto"/>
          </w:tcPr>
          <w:p w:rsidR="00CE4CC2" w:rsidRDefault="003A06E5">
            <w:pPr>
              <w:pStyle w:val="Compact"/>
            </w:pPr>
            <w:r>
              <w:t>Livreur</w:t>
            </w:r>
          </w:p>
        </w:tc>
        <w:tc>
          <w:tcPr>
            <w:tcW w:w="0" w:type="auto"/>
          </w:tcPr>
          <w:p w:rsidR="00CE4CC2" w:rsidRDefault="003A06E5" w:rsidP="003A06E5">
            <w:pPr>
              <w:pStyle w:val="Compact"/>
            </w:pPr>
            <w:r>
              <w:t>Coursier employé (contrat) ; reçoit et exécute les tournées.</w:t>
            </w:r>
          </w:p>
        </w:tc>
        <w:tc>
          <w:tcPr>
            <w:tcW w:w="0" w:type="auto"/>
          </w:tcPr>
          <w:p w:rsidR="00CE4CC2" w:rsidRDefault="003A06E5">
            <w:pPr>
              <w:pStyle w:val="Compact"/>
            </w:pPr>
            <w:r>
              <w:t>App mobile Flutter</w:t>
            </w:r>
          </w:p>
        </w:tc>
      </w:tr>
      <w:tr w:rsidR="00CE4CC2">
        <w:tc>
          <w:tcPr>
            <w:tcW w:w="0" w:type="auto"/>
          </w:tcPr>
          <w:p w:rsidR="00CE4CC2" w:rsidRDefault="003A06E5">
            <w:pPr>
              <w:pStyle w:val="Compact"/>
            </w:pPr>
            <w:r>
              <w:t>Receveur</w:t>
            </w:r>
          </w:p>
        </w:tc>
        <w:tc>
          <w:tcPr>
            <w:tcW w:w="0" w:type="auto"/>
          </w:tcPr>
          <w:p w:rsidR="00CE4CC2" w:rsidRDefault="003A06E5">
            <w:pPr>
              <w:pStyle w:val="Compact"/>
            </w:pPr>
            <w:r>
              <w:t>Destinataire ; avec ou sans application.</w:t>
            </w:r>
          </w:p>
        </w:tc>
        <w:tc>
          <w:tcPr>
            <w:tcW w:w="0" w:type="auto"/>
          </w:tcPr>
          <w:p w:rsidR="00CE4CC2" w:rsidRDefault="003A06E5">
            <w:pPr>
              <w:pStyle w:val="Compact"/>
            </w:pPr>
            <w:r>
              <w:t>Push / SMS + PWA de suivi</w:t>
            </w:r>
          </w:p>
        </w:tc>
      </w:tr>
      <w:tr w:rsidR="00CE4CC2">
        <w:tc>
          <w:tcPr>
            <w:tcW w:w="0" w:type="auto"/>
          </w:tcPr>
          <w:p w:rsidR="00CE4CC2" w:rsidRDefault="003A06E5">
            <w:pPr>
              <w:pStyle w:val="Compact"/>
            </w:pPr>
            <w:r>
              <w:t>Partenaire (point de retrait)</w:t>
            </w:r>
          </w:p>
        </w:tc>
        <w:tc>
          <w:tcPr>
            <w:tcW w:w="0" w:type="auto"/>
          </w:tcPr>
          <w:p w:rsidR="00CE4CC2" w:rsidRDefault="003A06E5">
            <w:pPr>
              <w:pStyle w:val="Compact"/>
            </w:pPr>
            <w:r>
              <w:t>Commerce hébergeant des colis ; scan QR + vérification d’identité.</w:t>
            </w:r>
          </w:p>
        </w:tc>
        <w:tc>
          <w:tcPr>
            <w:tcW w:w="0" w:type="auto"/>
          </w:tcPr>
          <w:p w:rsidR="00CE4CC2" w:rsidRDefault="003A06E5">
            <w:pPr>
              <w:pStyle w:val="Compact"/>
            </w:pPr>
            <w:r>
              <w:t>PWA simplifiée</w:t>
            </w:r>
          </w:p>
        </w:tc>
      </w:tr>
      <w:tr w:rsidR="00CE4CC2">
        <w:tc>
          <w:tcPr>
            <w:tcW w:w="0" w:type="auto"/>
          </w:tcPr>
          <w:p w:rsidR="00CE4CC2" w:rsidRDefault="003A06E5">
            <w:pPr>
              <w:pStyle w:val="Compact"/>
            </w:pPr>
            <w:r>
              <w:t>Co-admin (×2)</w:t>
            </w:r>
          </w:p>
        </w:tc>
        <w:tc>
          <w:tcPr>
            <w:tcW w:w="0" w:type="auto"/>
          </w:tcPr>
          <w:p w:rsidR="00CE4CC2" w:rsidRDefault="003A06E5">
            <w:pPr>
              <w:pStyle w:val="Compact"/>
            </w:pPr>
            <w:r>
              <w:t>Exploitation : support, litiges, KYC, partenaires, B2B.</w:t>
            </w:r>
          </w:p>
        </w:tc>
        <w:tc>
          <w:tcPr>
            <w:tcW w:w="0" w:type="auto"/>
          </w:tcPr>
          <w:p w:rsidR="00CE4CC2" w:rsidRDefault="003A06E5">
            <w:pPr>
              <w:pStyle w:val="Compact"/>
            </w:pPr>
            <w:r>
              <w:t>Dashboard web Next.js</w:t>
            </w:r>
          </w:p>
        </w:tc>
      </w:tr>
      <w:tr w:rsidR="00CE4CC2">
        <w:tc>
          <w:tcPr>
            <w:tcW w:w="0" w:type="auto"/>
          </w:tcPr>
          <w:p w:rsidR="00CE4CC2" w:rsidRDefault="003A06E5">
            <w:pPr>
              <w:pStyle w:val="Compact"/>
            </w:pPr>
            <w:r>
              <w:t>Super admin</w:t>
            </w:r>
          </w:p>
        </w:tc>
        <w:tc>
          <w:tcPr>
            <w:tcW w:w="0" w:type="auto"/>
          </w:tcPr>
          <w:p w:rsidR="00CE4CC2" w:rsidRDefault="003A06E5">
            <w:pPr>
              <w:pStyle w:val="Compact"/>
            </w:pPr>
            <w:r>
              <w:t>Porteur de projet : finances, modèle économique, paramétrage IA, sécurité.</w:t>
            </w:r>
          </w:p>
        </w:tc>
        <w:tc>
          <w:tcPr>
            <w:tcW w:w="0" w:type="auto"/>
          </w:tcPr>
          <w:p w:rsidR="00CE4CC2" w:rsidRDefault="003A06E5">
            <w:pPr>
              <w:pStyle w:val="Compact"/>
            </w:pPr>
            <w:r>
              <w:t>Dashboard web réservé</w:t>
            </w:r>
          </w:p>
        </w:tc>
      </w:tr>
    </w:tbl>
    <w:p w:rsidR="00CE4CC2" w:rsidRDefault="003A06E5">
      <w:pPr>
        <w:pStyle w:val="Titre2"/>
      </w:pPr>
      <w:bookmarkStart w:id="20" w:name="types-dopérations"/>
      <w:bookmarkStart w:id="21" w:name="_Toc232734025"/>
      <w:bookmarkEnd w:id="18"/>
      <w:r>
        <w:t>5.3 Types d’opérations</w:t>
      </w:r>
      <w:bookmarkEnd w:id="21"/>
    </w:p>
    <w:tbl>
      <w:tblPr>
        <w:tblStyle w:val="Table"/>
        <w:tblW w:w="5000" w:type="pct"/>
        <w:tblLook w:val="0020" w:firstRow="1" w:lastRow="0" w:firstColumn="0" w:lastColumn="0" w:noHBand="0" w:noVBand="0"/>
      </w:tblPr>
      <w:tblGrid>
        <w:gridCol w:w="350"/>
        <w:gridCol w:w="4278"/>
        <w:gridCol w:w="3304"/>
        <w:gridCol w:w="1310"/>
      </w:tblGrid>
      <w:tr w:rsidR="00CE4CC2" w:rsidTr="00CE4CC2">
        <w:trPr>
          <w:cnfStyle w:val="100000000000" w:firstRow="1" w:lastRow="0" w:firstColumn="0" w:lastColumn="0" w:oddVBand="0" w:evenVBand="0" w:oddHBand="0" w:evenHBand="0" w:firstRowFirstColumn="0" w:firstRowLastColumn="0" w:lastRowFirstColumn="0" w:lastRowLastColumn="0"/>
          <w:tblHeader/>
        </w:trPr>
        <w:tc>
          <w:tcPr>
            <w:tcW w:w="0" w:type="auto"/>
          </w:tcPr>
          <w:p w:rsidR="00CE4CC2" w:rsidRDefault="003A06E5">
            <w:pPr>
              <w:pStyle w:val="Compact"/>
            </w:pPr>
            <w:r>
              <w:t>#</w:t>
            </w:r>
          </w:p>
        </w:tc>
        <w:tc>
          <w:tcPr>
            <w:tcW w:w="0" w:type="auto"/>
          </w:tcPr>
          <w:p w:rsidR="00CE4CC2" w:rsidRDefault="003A06E5">
            <w:pPr>
              <w:pStyle w:val="Compact"/>
            </w:pPr>
            <w:r>
              <w:t>Opération</w:t>
            </w:r>
          </w:p>
        </w:tc>
        <w:tc>
          <w:tcPr>
            <w:tcW w:w="0" w:type="auto"/>
          </w:tcPr>
          <w:p w:rsidR="00CE4CC2" w:rsidRDefault="003A06E5">
            <w:pPr>
              <w:pStyle w:val="Compact"/>
            </w:pPr>
            <w:r>
              <w:t>Tarif de base</w:t>
            </w:r>
          </w:p>
        </w:tc>
        <w:tc>
          <w:tcPr>
            <w:tcW w:w="0" w:type="auto"/>
          </w:tcPr>
          <w:p w:rsidR="00CE4CC2" w:rsidRDefault="003A06E5">
            <w:pPr>
              <w:pStyle w:val="Compact"/>
            </w:pPr>
            <w:r>
              <w:t>Comptes</w:t>
            </w:r>
          </w:p>
        </w:tc>
      </w:tr>
      <w:tr w:rsidR="00CE4CC2">
        <w:tc>
          <w:tcPr>
            <w:tcW w:w="0" w:type="auto"/>
          </w:tcPr>
          <w:p w:rsidR="00CE4CC2" w:rsidRDefault="003A06E5">
            <w:pPr>
              <w:pStyle w:val="Compact"/>
            </w:pPr>
            <w:r>
              <w:t>1</w:t>
            </w:r>
          </w:p>
        </w:tc>
        <w:tc>
          <w:tcPr>
            <w:tcW w:w="0" w:type="auto"/>
          </w:tcPr>
          <w:p w:rsidR="00CE4CC2" w:rsidRDefault="003A06E5">
            <w:pPr>
              <w:pStyle w:val="Compact"/>
            </w:pPr>
            <w:r>
              <w:t>Livraison standard</w:t>
            </w:r>
          </w:p>
        </w:tc>
        <w:tc>
          <w:tcPr>
            <w:tcW w:w="0" w:type="auto"/>
          </w:tcPr>
          <w:p w:rsidR="00CE4CC2" w:rsidRDefault="003A06E5">
            <w:pPr>
              <w:pStyle w:val="Compact"/>
            </w:pPr>
            <w:r>
              <w:t>500 + 150/km + 100/kg</w:t>
            </w:r>
          </w:p>
        </w:tc>
        <w:tc>
          <w:tcPr>
            <w:tcW w:w="0" w:type="auto"/>
          </w:tcPr>
          <w:p w:rsidR="00CE4CC2" w:rsidRDefault="003A06E5">
            <w:pPr>
              <w:pStyle w:val="Compact"/>
            </w:pPr>
            <w:r>
              <w:t>Tous</w:t>
            </w:r>
          </w:p>
        </w:tc>
      </w:tr>
      <w:tr w:rsidR="00CE4CC2">
        <w:tc>
          <w:tcPr>
            <w:tcW w:w="0" w:type="auto"/>
          </w:tcPr>
          <w:p w:rsidR="00CE4CC2" w:rsidRDefault="003A06E5">
            <w:pPr>
              <w:pStyle w:val="Compact"/>
            </w:pPr>
            <w:r>
              <w:lastRenderedPageBreak/>
              <w:t>2</w:t>
            </w:r>
          </w:p>
        </w:tc>
        <w:tc>
          <w:tcPr>
            <w:tcW w:w="0" w:type="auto"/>
          </w:tcPr>
          <w:p w:rsidR="00CE4CC2" w:rsidRDefault="003A06E5">
            <w:pPr>
              <w:pStyle w:val="Compact"/>
            </w:pPr>
            <w:r>
              <w:t>Livraison urgente (&lt; 1 h, dispatch prioritaire)</w:t>
            </w:r>
          </w:p>
        </w:tc>
        <w:tc>
          <w:tcPr>
            <w:tcW w:w="0" w:type="auto"/>
          </w:tcPr>
          <w:p w:rsidR="00CE4CC2" w:rsidRDefault="003A06E5">
            <w:pPr>
              <w:pStyle w:val="Compact"/>
            </w:pPr>
            <w:r>
              <w:t>+ 1000 XAF</w:t>
            </w:r>
          </w:p>
        </w:tc>
        <w:tc>
          <w:tcPr>
            <w:tcW w:w="0" w:type="auto"/>
          </w:tcPr>
          <w:p w:rsidR="00CE4CC2" w:rsidRDefault="003A06E5">
            <w:pPr>
              <w:pStyle w:val="Compact"/>
            </w:pPr>
            <w:r>
              <w:t>Tous</w:t>
            </w:r>
          </w:p>
        </w:tc>
      </w:tr>
      <w:tr w:rsidR="00CE4CC2">
        <w:tc>
          <w:tcPr>
            <w:tcW w:w="0" w:type="auto"/>
          </w:tcPr>
          <w:p w:rsidR="00CE4CC2" w:rsidRDefault="003A06E5">
            <w:pPr>
              <w:pStyle w:val="Compact"/>
            </w:pPr>
            <w:r>
              <w:t>3</w:t>
            </w:r>
          </w:p>
        </w:tc>
        <w:tc>
          <w:tcPr>
            <w:tcW w:w="0" w:type="auto"/>
          </w:tcPr>
          <w:p w:rsidR="00CE4CC2" w:rsidRDefault="003A06E5">
            <w:pPr>
              <w:pStyle w:val="Compact"/>
            </w:pPr>
            <w:r>
              <w:t>Livraison programmée (J+1 → J+7)</w:t>
            </w:r>
          </w:p>
        </w:tc>
        <w:tc>
          <w:tcPr>
            <w:tcW w:w="0" w:type="auto"/>
          </w:tcPr>
          <w:p w:rsidR="00CE4CC2" w:rsidRDefault="003A06E5">
            <w:pPr>
              <w:pStyle w:val="Compact"/>
            </w:pPr>
            <w:r>
              <w:t>− 200 XAF</w:t>
            </w:r>
          </w:p>
        </w:tc>
        <w:tc>
          <w:tcPr>
            <w:tcW w:w="0" w:type="auto"/>
          </w:tcPr>
          <w:p w:rsidR="00CE4CC2" w:rsidRDefault="003A06E5">
            <w:pPr>
              <w:pStyle w:val="Compact"/>
            </w:pPr>
            <w:r>
              <w:t>Tous</w:t>
            </w:r>
          </w:p>
        </w:tc>
      </w:tr>
      <w:tr w:rsidR="00CE4CC2">
        <w:tc>
          <w:tcPr>
            <w:tcW w:w="0" w:type="auto"/>
          </w:tcPr>
          <w:p w:rsidR="00CE4CC2" w:rsidRDefault="003A06E5">
            <w:pPr>
              <w:pStyle w:val="Compact"/>
            </w:pPr>
            <w:r>
              <w:t>4</w:t>
            </w:r>
          </w:p>
        </w:tc>
        <w:tc>
          <w:tcPr>
            <w:tcW w:w="0" w:type="auto"/>
          </w:tcPr>
          <w:p w:rsidR="00CE4CC2" w:rsidRDefault="003A06E5">
            <w:pPr>
              <w:pStyle w:val="Compact"/>
            </w:pPr>
            <w:r>
              <w:t>Commande inversée (récup. chez un tiers, 3 sous-cas)</w:t>
            </w:r>
          </w:p>
        </w:tc>
        <w:tc>
          <w:tcPr>
            <w:tcW w:w="0" w:type="auto"/>
          </w:tcPr>
          <w:p w:rsidR="00CE4CC2" w:rsidRDefault="003A06E5">
            <w:pPr>
              <w:pStyle w:val="Compact"/>
            </w:pPr>
            <w:r>
              <w:t>Standard sur distance totale des tronçons</w:t>
            </w:r>
          </w:p>
        </w:tc>
        <w:tc>
          <w:tcPr>
            <w:tcW w:w="0" w:type="auto"/>
          </w:tcPr>
          <w:p w:rsidR="00CE4CC2" w:rsidRDefault="003A06E5">
            <w:pPr>
              <w:pStyle w:val="Compact"/>
            </w:pPr>
            <w:r>
              <w:t>Tous</w:t>
            </w:r>
          </w:p>
        </w:tc>
      </w:tr>
      <w:tr w:rsidR="00CE4CC2">
        <w:tc>
          <w:tcPr>
            <w:tcW w:w="0" w:type="auto"/>
          </w:tcPr>
          <w:p w:rsidR="00CE4CC2" w:rsidRDefault="003A06E5">
            <w:pPr>
              <w:pStyle w:val="Compact"/>
            </w:pPr>
            <w:r>
              <w:t>5</w:t>
            </w:r>
          </w:p>
        </w:tc>
        <w:tc>
          <w:tcPr>
            <w:tcW w:w="0" w:type="auto"/>
          </w:tcPr>
          <w:p w:rsidR="00CE4CC2" w:rsidRDefault="003A06E5">
            <w:pPr>
              <w:pStyle w:val="Compact"/>
            </w:pPr>
            <w:r>
              <w:t>Expédition inter-villes (collecte + dépôt agence + notif)</w:t>
            </w:r>
          </w:p>
        </w:tc>
        <w:tc>
          <w:tcPr>
            <w:tcW w:w="0" w:type="auto"/>
          </w:tcPr>
          <w:p w:rsidR="00CE4CC2" w:rsidRDefault="003A06E5">
            <w:pPr>
              <w:pStyle w:val="Compact"/>
            </w:pPr>
            <w:r>
              <w:t>+ 500 XAF fixe + frais d’expédition</w:t>
            </w:r>
          </w:p>
        </w:tc>
        <w:tc>
          <w:tcPr>
            <w:tcW w:w="0" w:type="auto"/>
          </w:tcPr>
          <w:p w:rsidR="00CE4CC2" w:rsidRDefault="003A06E5">
            <w:pPr>
              <w:pStyle w:val="Compact"/>
            </w:pPr>
            <w:r>
              <w:t>Tous</w:t>
            </w:r>
          </w:p>
        </w:tc>
      </w:tr>
      <w:tr w:rsidR="00CE4CC2">
        <w:tc>
          <w:tcPr>
            <w:tcW w:w="0" w:type="auto"/>
          </w:tcPr>
          <w:p w:rsidR="00CE4CC2" w:rsidRDefault="003A06E5">
            <w:pPr>
              <w:pStyle w:val="Compact"/>
            </w:pPr>
            <w:r>
              <w:t>6</w:t>
            </w:r>
          </w:p>
        </w:tc>
        <w:tc>
          <w:tcPr>
            <w:tcW w:w="0" w:type="auto"/>
          </w:tcPr>
          <w:p w:rsidR="00CE4CC2" w:rsidRDefault="003A06E5">
            <w:pPr>
              <w:pStyle w:val="Compact"/>
            </w:pPr>
            <w:r>
              <w:t>Dépôt point partenaire (retrait ≤ 72 h)</w:t>
            </w:r>
          </w:p>
        </w:tc>
        <w:tc>
          <w:tcPr>
            <w:tcW w:w="0" w:type="auto"/>
          </w:tcPr>
          <w:p w:rsidR="00CE4CC2" w:rsidRDefault="003A06E5">
            <w:pPr>
              <w:pStyle w:val="Compact"/>
            </w:pPr>
            <w:r>
              <w:t>Standard</w:t>
            </w:r>
          </w:p>
        </w:tc>
        <w:tc>
          <w:tcPr>
            <w:tcW w:w="0" w:type="auto"/>
          </w:tcPr>
          <w:p w:rsidR="00CE4CC2" w:rsidRDefault="003A06E5">
            <w:pPr>
              <w:pStyle w:val="Compact"/>
            </w:pPr>
            <w:r>
              <w:t>Tous</w:t>
            </w:r>
          </w:p>
        </w:tc>
      </w:tr>
      <w:tr w:rsidR="00CE4CC2">
        <w:tc>
          <w:tcPr>
            <w:tcW w:w="0" w:type="auto"/>
          </w:tcPr>
          <w:p w:rsidR="00CE4CC2" w:rsidRDefault="003A06E5">
            <w:pPr>
              <w:pStyle w:val="Compact"/>
            </w:pPr>
            <w:r>
              <w:t>7</w:t>
            </w:r>
          </w:p>
        </w:tc>
        <w:tc>
          <w:tcPr>
            <w:tcW w:w="0" w:type="auto"/>
          </w:tcPr>
          <w:p w:rsidR="00CE4CC2" w:rsidRDefault="003A06E5">
            <w:pPr>
              <w:pStyle w:val="Compact"/>
            </w:pPr>
            <w:r>
              <w:t>Ramassage hebdomadaire (lot CSV/Excel, tournées IA)</w:t>
            </w:r>
          </w:p>
        </w:tc>
        <w:tc>
          <w:tcPr>
            <w:tcW w:w="0" w:type="auto"/>
          </w:tcPr>
          <w:p w:rsidR="00CE4CC2" w:rsidRDefault="003A06E5">
            <w:pPr>
              <w:pStyle w:val="Compact"/>
            </w:pPr>
            <w:r>
              <w:t>− 15 %</w:t>
            </w:r>
          </w:p>
        </w:tc>
        <w:tc>
          <w:tcPr>
            <w:tcW w:w="0" w:type="auto"/>
          </w:tcPr>
          <w:p w:rsidR="00CE4CC2" w:rsidRDefault="003A06E5">
            <w:pPr>
              <w:pStyle w:val="Compact"/>
            </w:pPr>
            <w:r>
              <w:t>Entreprise</w:t>
            </w:r>
          </w:p>
        </w:tc>
      </w:tr>
    </w:tbl>
    <w:p w:rsidR="00CE4CC2" w:rsidRDefault="003A06E5">
      <w:pPr>
        <w:pStyle w:val="Titre2"/>
      </w:pPr>
      <w:bookmarkStart w:id="22" w:name="périmètre-mvp-phase-1-décision"/>
      <w:bookmarkStart w:id="23" w:name="_Toc232734026"/>
      <w:bookmarkEnd w:id="20"/>
      <w:r>
        <w:t xml:space="preserve">5.4 Périmètre MVP (Phase 1) — </w:t>
      </w:r>
      <w:r>
        <w:rPr>
          <w:i/>
          <w:iCs/>
        </w:rPr>
        <w:t>[Décision]</w:t>
      </w:r>
      <w:bookmarkEnd w:id="23"/>
    </w:p>
    <w:p w:rsidR="00CE4CC2" w:rsidRDefault="003A06E5">
      <w:pPr>
        <w:pStyle w:val="FirstParagraph"/>
      </w:pPr>
      <w:r>
        <w:rPr>
          <w:b/>
          <w:bCs/>
        </w:rPr>
        <w:t>Inclus :</w:t>
      </w:r>
      <w:r>
        <w:t xml:space="preserve"> les 7 opérations ci-dessus avec, pour l’expédition inter-villes, </w:t>
      </w:r>
      <w:r>
        <w:rPr>
          <w:b/>
          <w:bCs/>
        </w:rPr>
        <w:t>collecte + dépôt en agence de transport + notification du receveur uniquement</w:t>
      </w:r>
      <w:r>
        <w:t xml:space="preserve"> (la livraison locale en ville de destination est exclue du MVP) ; inscription/auth OTP + 2FA ; KYC livreurs ; attribution IA et tournées jusqu’à 3 stops ; suivi GPS conditionnel et ETA ; confirmation par </w:t>
      </w:r>
      <w:r>
        <w:rPr>
          <w:b/>
          <w:bCs/>
        </w:rPr>
        <w:t>jeton signé (PIN/QR) avec repli OTP-SMS</w:t>
      </w:r>
      <w:r>
        <w:t xml:space="preserve">, fonctionnant </w:t>
      </w:r>
      <w:r>
        <w:rPr>
          <w:b/>
          <w:bCs/>
        </w:rPr>
        <w:t>hors-ligne</w:t>
      </w:r>
      <w:r>
        <w:t xml:space="preserve"> ; paiements Mobile Money + espèces (frais de livraison) à triple traçabilité ; chat masqué ; notifications multicanaux ; points partenaires ; gestion du retrait 72 h ; historiques ; </w:t>
      </w:r>
      <w:r>
        <w:rPr>
          <w:b/>
          <w:bCs/>
        </w:rPr>
        <w:t>notation bidirectionnelle</w:t>
      </w:r>
      <w:r>
        <w:t xml:space="preserve"> ; dashboards co-admin et super admin ; litiges ; pénalités bloquantes ; rémunération (prime hebdomadaire) ; tarification dynamique ; B2B (sous-comptes, plafonds, facturation consolidée, paliers) ; </w:t>
      </w:r>
      <w:r>
        <w:rPr>
          <w:b/>
          <w:bCs/>
        </w:rPr>
        <w:t>carnet d’adresses</w:t>
      </w:r>
      <w:r>
        <w:t xml:space="preserve"> ; </w:t>
      </w:r>
      <w:r>
        <w:rPr>
          <w:b/>
          <w:bCs/>
        </w:rPr>
        <w:t>devis détaillé avant commande</w:t>
      </w:r>
      <w:r>
        <w:t xml:space="preserve"> ; </w:t>
      </w:r>
      <w:r>
        <w:rPr>
          <w:b/>
          <w:bCs/>
        </w:rPr>
        <w:t>reçu de livraison numérique</w:t>
      </w:r>
      <w:r>
        <w:t xml:space="preserve"> ; </w:t>
      </w:r>
      <w:r>
        <w:rPr>
          <w:b/>
          <w:bCs/>
        </w:rPr>
        <w:t>PWA de suivi receveur</w:t>
      </w:r>
      <w:r>
        <w:t xml:space="preserve"> ; </w:t>
      </w:r>
      <w:r>
        <w:rPr>
          <w:b/>
          <w:bCs/>
        </w:rPr>
        <w:t>pourboire optionnel</w:t>
      </w:r>
      <w:r>
        <w:t>.</w:t>
      </w:r>
    </w:p>
    <w:p w:rsidR="00CE4CC2" w:rsidRDefault="003A06E5">
      <w:pPr>
        <w:pStyle w:val="Corpsdetexte"/>
      </w:pPr>
      <w:r>
        <w:rPr>
          <w:b/>
          <w:bCs/>
        </w:rPr>
        <w:t>Exclus du MVP (roadmap §19) :</w:t>
      </w:r>
      <w:r>
        <w:t xml:space="preserve"> encaissement de la valeur marchande pour compte de tiers (vrai COD e-commerce) ; livraison inter-villes jusqu’au receveur en ville de destination ; programme de fidélité ; mutualisation « livraison de quartier » ; assurance colis ; mode USSD ; haute disponibilité multi-instances ; expansion multi-villes.</w:t>
      </w:r>
    </w:p>
    <w:p w:rsidR="00CE4CC2" w:rsidRDefault="003A06E5">
      <w:r>
        <w:pict>
          <v:rect id="_x0000_i1029" style="width:0;height:1.5pt" o:hralign="center" o:hrstd="t" o:hr="t"/>
        </w:pict>
      </w:r>
    </w:p>
    <w:p xmlns:a="http://schemas.openxmlformats.org/drawingml/2006/main" xmlns:pic="http://schemas.openxmlformats.org/drawingml/2006/picture">
      <w:pPr>
        <w:jc w:val="center"/>
        <w:spacing w:before="160" w:after="40"/>
      </w:pPr>
      <w:r>
        <w:drawing>
          <wp:inline distT="0" distB="0" distL="0" distR="0">
            <wp:extent cx="4333046" cy="7680960"/>
            <wp:effectExtent l="0" t="0" r="0" b="0"/>
            <wp:docPr id="1001" name="cct_usecase.png"/>
            <wp:cNvGraphicFramePr>
              <a:graphicFrameLocks noChangeAspect="1"/>
            </wp:cNvGraphicFramePr>
            <a:graphic>
              <a:graphicData uri="http://schemas.openxmlformats.org/drawingml/2006/picture">
                <pic:pic>
                  <pic:nvPicPr>
                    <pic:cNvPr id="1001" name="cct_usecase.png"/>
                    <pic:cNvPicPr/>
                  </pic:nvPicPr>
                  <pic:blipFill>
                    <a:blip r:embed="rId11"/>
                    <a:stretch>
                      <a:fillRect/>
                    </a:stretch>
                  </pic:blipFill>
                  <pic:spPr>
                    <a:xfrm>
                      <a:off x="0" y="0"/>
                      <a:ext cx="4333046" cy="7680960"/>
                    </a:xfrm>
                    <a:prstGeom prst="rect">
                      <a:avLst/>
                    </a:prstGeom>
                  </pic:spPr>
                </pic:pic>
              </a:graphicData>
            </a:graphic>
          </wp:inline>
        </w:drawing>
      </w:r>
    </w:p>
    <w:p>
      <w:pPr>
        <w:jc w:val="center"/>
        <w:spacing w:before="0" w:after="200"/>
      </w:pPr>
      <w:r>
        <w:rPr>
          <w:i/>
          <w:sz w:val="18"/>
          <w:szCs w:val="18"/>
          <w:color w:val="555555"/>
        </w:rPr>
        <w:t xml:space="preserve">Figure 1 — Diagramme de cas d’utilisation de la plateforme ASAP</w:t>
      </w:r>
    </w:p>
    <w:p w:rsidR="00CE4CC2" w:rsidRDefault="003A06E5">
      <w:pPr>
        <w:pStyle w:val="Titre1"/>
      </w:pPr>
      <w:bookmarkStart w:id="24" w:name="contexte"/>
      <w:bookmarkStart w:id="25" w:name="_Toc232734027"/>
      <w:bookmarkEnd w:id="14"/>
      <w:bookmarkEnd w:id="22"/>
      <w:r>
        <w:t>6. Contexte</w:t>
      </w:r>
      <w:bookmarkEnd w:id="25"/>
    </w:p>
    <w:p w:rsidR="00CE4CC2" w:rsidRDefault="003A06E5">
      <w:pPr>
        <w:pStyle w:val="Titre2"/>
      </w:pPr>
      <w:bookmarkStart w:id="26" w:name="contexte-opérationnel-camerounais"/>
      <w:bookmarkStart w:id="27" w:name="_Toc232734028"/>
      <w:r>
        <w:t>6.1 Contexte opérationnel camerounais</w:t>
      </w:r>
      <w:bookmarkEnd w:id="27"/>
    </w:p>
    <w:p w:rsidR="00CE4CC2" w:rsidRDefault="003A06E5">
      <w:pPr>
        <w:pStyle w:val="FirstParagraph"/>
      </w:pPr>
      <w:r>
        <w:t xml:space="preserve">Forte pénétration du Mobile Money (Orange Money, MTN MoMo) ; connectivité variable et coupures fréquentes (réseau, ENEO) ; </w:t>
      </w:r>
      <w:r>
        <w:rPr>
          <w:b/>
          <w:bCs/>
        </w:rPr>
        <w:t>absence d’adressage normalisé</w:t>
      </w:r>
      <w:r>
        <w:t xml:space="preserve"> imposant un système de repères ; usage massif de WhatsApp pour le commerce informel ; dynamisme des PME et boutiques en ligne. Ces réalités justifient les choix structurants : </w:t>
      </w:r>
      <w:r>
        <w:rPr>
          <w:b/>
          <w:bCs/>
        </w:rPr>
        <w:t>offline-first</w:t>
      </w:r>
      <w:r>
        <w:t>, repères obligatoires, carnet d’adresses, multicanal de notification, et repli espèces sur les paiements.</w:t>
      </w:r>
    </w:p>
    <w:p w:rsidR="00CE4CC2" w:rsidRDefault="003A06E5">
      <w:pPr>
        <w:pStyle w:val="Titre2"/>
      </w:pPr>
      <w:bookmarkStart w:id="28" w:name="contexte-académique"/>
      <w:bookmarkStart w:id="29" w:name="_Toc232734029"/>
      <w:bookmarkEnd w:id="26"/>
      <w:r>
        <w:lastRenderedPageBreak/>
        <w:t>6.2 Contexte académique</w:t>
      </w:r>
      <w:bookmarkEnd w:id="29"/>
    </w:p>
    <w:p w:rsidR="00CE4CC2" w:rsidRDefault="003A06E5">
      <w:pPr>
        <w:pStyle w:val="FirstParagraph"/>
      </w:pPr>
      <w:r>
        <w:t>Projet de fin de formation ISI à l’Institut Universitaire Saint Jean (Yaoundé), conformément à la Note de Service N° 2025-003/ISJ/DA/ISI.</w:t>
      </w:r>
    </w:p>
    <w:p w:rsidR="00CE4CC2" w:rsidRDefault="003A06E5">
      <w:pPr>
        <w:pStyle w:val="Titre2"/>
      </w:pPr>
      <w:bookmarkStart w:id="30" w:name="X73e681eae7291257ff893036b2196629c8ebdd2"/>
      <w:bookmarkStart w:id="31" w:name="_Toc232734030"/>
      <w:bookmarkEnd w:id="28"/>
      <w:r>
        <w:t xml:space="preserve">6.3 Hypothèses et contraintes de dimensionnement — </w:t>
      </w:r>
      <w:r>
        <w:rPr>
          <w:i/>
          <w:iCs/>
        </w:rPr>
        <w:t>[Décision]</w:t>
      </w:r>
      <w:bookmarkEnd w:id="31"/>
    </w:p>
    <w:p w:rsidR="00CE4CC2" w:rsidRDefault="003A06E5">
      <w:pPr>
        <w:pStyle w:val="FirstParagraph"/>
      </w:pPr>
      <w:r>
        <w:t xml:space="preserve">Les budgets et niveaux de service du présent CCT reposent sur une </w:t>
      </w:r>
      <w:r>
        <w:rPr>
          <w:b/>
          <w:bCs/>
        </w:rPr>
        <w:t>hypothèse de volume MVP de 50 à 150 livraisons/jour</w:t>
      </w:r>
      <w:r>
        <w:t xml:space="preserve"> sur Yaoundé. Cette hypothèse est explicite afin de rendre les coûts variables (cartographie, SMS, Mobile Money) traçables et révisables. Le plan d’affaires (livrable distinct) affinera les volumes ; les paramètres économiques du système sont </w:t>
      </w:r>
      <w:r>
        <w:rPr>
          <w:b/>
          <w:bCs/>
        </w:rPr>
        <w:t>configurables par le super admin</w:t>
      </w:r>
      <w:r>
        <w:t xml:space="preserve"> pour absorber ces révisions sans modification de code.</w:t>
      </w:r>
    </w:p>
    <w:p w:rsidR="00CE4CC2" w:rsidRDefault="003A06E5">
      <w:r>
        <w:pict>
          <v:rect id="_x0000_i1030" style="width:0;height:1.5pt" o:hralign="center" o:hrstd="t" o:hr="t"/>
        </w:pict>
      </w:r>
    </w:p>
    <w:p w:rsidR="00CE4CC2" w:rsidRDefault="003A06E5">
      <w:pPr>
        <w:pStyle w:val="Titre1"/>
      </w:pPr>
      <w:bookmarkStart w:id="32" w:name="exigences-fonctionnelles"/>
      <w:bookmarkStart w:id="33" w:name="_Toc232734031"/>
      <w:bookmarkEnd w:id="24"/>
      <w:bookmarkEnd w:id="30"/>
      <w:r>
        <w:t>7. Exigences fonctionnelles</w:t>
      </w:r>
      <w:bookmarkEnd w:id="33"/>
    </w:p>
    <w:p w:rsidR="00CE4CC2" w:rsidRDefault="003A06E5">
      <w:pPr>
        <w:pStyle w:val="FirstParagraph"/>
      </w:pPr>
      <w:r>
        <w:t xml:space="preserve">Priorités : </w:t>
      </w:r>
      <w:r>
        <w:rPr>
          <w:b/>
          <w:bCs/>
        </w:rPr>
        <w:t>M</w:t>
      </w:r>
      <w:r>
        <w:t xml:space="preserve"> (Must, MVP) · </w:t>
      </w:r>
      <w:r>
        <w:rPr>
          <w:b/>
          <w:bCs/>
        </w:rPr>
        <w:t>S</w:t>
      </w:r>
      <w:r>
        <w:t xml:space="preserve"> (Should) · </w:t>
      </w:r>
      <w:r>
        <w:rPr>
          <w:b/>
          <w:bCs/>
        </w:rPr>
        <w:t>C</w:t>
      </w:r>
      <w:r>
        <w:t xml:space="preserve"> (Could / roadmap). Sauf mention, toutes les exigences ci-dessous sont </w:t>
      </w:r>
      <w:r>
        <w:rPr>
          <w:b/>
          <w:bCs/>
        </w:rPr>
        <w:t>M</w:t>
      </w:r>
      <w:r>
        <w:t>.</w:t>
      </w:r>
    </w:p>
    <w:p w:rsidR="00CE4CC2" w:rsidRDefault="003A06E5">
      <w:pPr>
        <w:pStyle w:val="Titre2"/>
      </w:pPr>
      <w:bookmarkStart w:id="34" w:name="comptes-identité-et-sécurité-daccès"/>
      <w:bookmarkStart w:id="35" w:name="_Toc232734032"/>
      <w:r>
        <w:t>7.1 Comptes, identité et sécurité d’accès</w:t>
      </w:r>
      <w:bookmarkEnd w:id="35"/>
    </w:p>
    <w:tbl>
      <w:tblPr>
        <w:tblStyle w:val="Table"/>
        <w:tblW w:w="5000" w:type="pct"/>
        <w:tblLook w:val="0020" w:firstRow="1" w:lastRow="0" w:firstColumn="0" w:lastColumn="0" w:noHBand="0" w:noVBand="0"/>
      </w:tblPr>
      <w:tblGrid>
        <w:gridCol w:w="790"/>
        <w:gridCol w:w="2232"/>
        <w:gridCol w:w="6220"/>
      </w:tblGrid>
      <w:tr w:rsidR="00CE4CC2" w:rsidTr="00CE4CC2">
        <w:trPr>
          <w:cnfStyle w:val="100000000000" w:firstRow="1" w:lastRow="0" w:firstColumn="0" w:lastColumn="0" w:oddVBand="0" w:evenVBand="0" w:oddHBand="0" w:evenHBand="0" w:firstRowFirstColumn="0" w:firstRowLastColumn="0" w:lastRowFirstColumn="0" w:lastRowLastColumn="0"/>
          <w:tblHeader/>
        </w:trPr>
        <w:tc>
          <w:tcPr>
            <w:tcW w:w="0" w:type="auto"/>
          </w:tcPr>
          <w:p w:rsidR="00CE4CC2" w:rsidRDefault="003A06E5">
            <w:pPr>
              <w:pStyle w:val="Compact"/>
            </w:pPr>
            <w:r>
              <w:t>Réf.</w:t>
            </w:r>
          </w:p>
        </w:tc>
        <w:tc>
          <w:tcPr>
            <w:tcW w:w="0" w:type="auto"/>
          </w:tcPr>
          <w:p w:rsidR="00CE4CC2" w:rsidRDefault="003A06E5">
            <w:pPr>
              <w:pStyle w:val="Compact"/>
            </w:pPr>
            <w:r>
              <w:t>Exigence</w:t>
            </w:r>
          </w:p>
        </w:tc>
        <w:tc>
          <w:tcPr>
            <w:tcW w:w="0" w:type="auto"/>
          </w:tcPr>
          <w:p w:rsidR="00CE4CC2" w:rsidRDefault="003A06E5">
            <w:pPr>
              <w:pStyle w:val="Compact"/>
            </w:pPr>
            <w:r>
              <w:t>Description</w:t>
            </w:r>
          </w:p>
        </w:tc>
      </w:tr>
      <w:tr w:rsidR="00CE4CC2">
        <w:tc>
          <w:tcPr>
            <w:tcW w:w="0" w:type="auto"/>
          </w:tcPr>
          <w:p w:rsidR="00CE4CC2" w:rsidRDefault="003A06E5">
            <w:pPr>
              <w:pStyle w:val="Compact"/>
            </w:pPr>
            <w:r>
              <w:t>BF01</w:t>
            </w:r>
          </w:p>
        </w:tc>
        <w:tc>
          <w:tcPr>
            <w:tcW w:w="0" w:type="auto"/>
          </w:tcPr>
          <w:p w:rsidR="00CE4CC2" w:rsidRDefault="003A06E5">
            <w:pPr>
              <w:pStyle w:val="Compact"/>
            </w:pPr>
            <w:r>
              <w:t>Inscription &amp; authentification</w:t>
            </w:r>
          </w:p>
        </w:tc>
        <w:tc>
          <w:tcPr>
            <w:tcW w:w="0" w:type="auto"/>
          </w:tcPr>
          <w:p w:rsidR="00CE4CC2" w:rsidRDefault="003A06E5">
            <w:pPr>
              <w:pStyle w:val="Compact"/>
            </w:pPr>
            <w:r>
              <w:t>Inscription et connexion par OTP ou mot de passe ; gestion de session par JWT ; 2FA obligatoire pour les rôles administrateurs. Valable pour tous les rôles.</w:t>
            </w:r>
          </w:p>
        </w:tc>
      </w:tr>
      <w:tr w:rsidR="00CE4CC2">
        <w:tc>
          <w:tcPr>
            <w:tcW w:w="0" w:type="auto"/>
          </w:tcPr>
          <w:p w:rsidR="00CE4CC2" w:rsidRDefault="003A06E5">
            <w:pPr>
              <w:pStyle w:val="Compact"/>
            </w:pPr>
            <w:r>
              <w:t>BF02</w:t>
            </w:r>
          </w:p>
        </w:tc>
        <w:tc>
          <w:tcPr>
            <w:tcW w:w="0" w:type="auto"/>
          </w:tcPr>
          <w:p w:rsidR="00CE4CC2" w:rsidRDefault="003A06E5">
            <w:pPr>
              <w:pStyle w:val="Compact"/>
            </w:pPr>
            <w:r>
              <w:t>Gestion des profils</w:t>
            </w:r>
          </w:p>
        </w:tc>
        <w:tc>
          <w:tcPr>
            <w:tcW w:w="0" w:type="auto"/>
          </w:tcPr>
          <w:p w:rsidR="00CE4CC2" w:rsidRDefault="003A06E5">
            <w:pPr>
              <w:pStyle w:val="Compact"/>
            </w:pPr>
            <w:r>
              <w:t>Consultation, modification, suppression (soft delete + anonymisation) des profils.</w:t>
            </w:r>
          </w:p>
        </w:tc>
      </w:tr>
      <w:tr w:rsidR="00CE4CC2">
        <w:tc>
          <w:tcPr>
            <w:tcW w:w="0" w:type="auto"/>
          </w:tcPr>
          <w:p w:rsidR="00CE4CC2" w:rsidRDefault="003A06E5">
            <w:pPr>
              <w:pStyle w:val="Compact"/>
            </w:pPr>
            <w:r>
              <w:t>BF03</w:t>
            </w:r>
          </w:p>
        </w:tc>
        <w:tc>
          <w:tcPr>
            <w:tcW w:w="0" w:type="auto"/>
          </w:tcPr>
          <w:p w:rsidR="00CE4CC2" w:rsidRDefault="003A06E5">
            <w:pPr>
              <w:pStyle w:val="Compact"/>
            </w:pPr>
            <w:r>
              <w:t>Vérification KYC livreurs</w:t>
            </w:r>
          </w:p>
        </w:tc>
        <w:tc>
          <w:tcPr>
            <w:tcW w:w="0" w:type="auto"/>
          </w:tcPr>
          <w:p w:rsidR="00CE4CC2" w:rsidRDefault="003A06E5">
            <w:pPr>
              <w:pStyle w:val="Compact"/>
            </w:pPr>
            <w:r>
              <w:t>Téléversement pièce d’identité (scan antivirus) + signature électronique du contrat de travail + validation manuelle par Co-admin avant activation.</w:t>
            </w:r>
          </w:p>
        </w:tc>
      </w:tr>
      <w:tr w:rsidR="00CE4CC2">
        <w:tc>
          <w:tcPr>
            <w:tcW w:w="0" w:type="auto"/>
          </w:tcPr>
          <w:p w:rsidR="00CE4CC2" w:rsidRDefault="003A06E5">
            <w:pPr>
              <w:pStyle w:val="Compact"/>
            </w:pPr>
            <w:r>
              <w:t>BF04</w:t>
            </w:r>
          </w:p>
        </w:tc>
        <w:tc>
          <w:tcPr>
            <w:tcW w:w="0" w:type="auto"/>
          </w:tcPr>
          <w:p w:rsidR="00CE4CC2" w:rsidRDefault="003A06E5">
            <w:pPr>
              <w:pStyle w:val="Compact"/>
            </w:pPr>
            <w:r>
              <w:t>Carnet d’adresses</w:t>
            </w:r>
          </w:p>
        </w:tc>
        <w:tc>
          <w:tcPr>
            <w:tcW w:w="0" w:type="auto"/>
          </w:tcPr>
          <w:p w:rsidR="00CE4CC2" w:rsidRDefault="003A06E5">
            <w:pPr>
              <w:pStyle w:val="Compact"/>
            </w:pPr>
            <w:r>
              <w:t>Enregistrement de lieux (libellé, repères obligatoires, pin GPS, photo facultative du bâtiment) réutilisables à la commande.</w:t>
            </w:r>
          </w:p>
        </w:tc>
      </w:tr>
    </w:tbl>
    <w:p w:rsidR="00CE4CC2" w:rsidRDefault="003A06E5">
      <w:pPr>
        <w:pStyle w:val="Titre2"/>
      </w:pPr>
      <w:bookmarkStart w:id="36" w:name="commande-et-opérations-de-livraison"/>
      <w:bookmarkStart w:id="37" w:name="_Toc232734033"/>
      <w:bookmarkEnd w:id="34"/>
      <w:r>
        <w:t>7.2 Commande et opérations de livraison</w:t>
      </w:r>
      <w:bookmarkEnd w:id="37"/>
    </w:p>
    <w:tbl>
      <w:tblPr>
        <w:tblStyle w:val="Table"/>
        <w:tblW w:w="5000" w:type="pct"/>
        <w:tblLook w:val="0020" w:firstRow="1" w:lastRow="0" w:firstColumn="0" w:lastColumn="0" w:noHBand="0" w:noVBand="0"/>
      </w:tblPr>
      <w:tblGrid>
        <w:gridCol w:w="790"/>
        <w:gridCol w:w="2069"/>
        <w:gridCol w:w="6383"/>
      </w:tblGrid>
      <w:tr w:rsidR="00CE4CC2" w:rsidTr="00CE4CC2">
        <w:trPr>
          <w:cnfStyle w:val="100000000000" w:firstRow="1" w:lastRow="0" w:firstColumn="0" w:lastColumn="0" w:oddVBand="0" w:evenVBand="0" w:oddHBand="0" w:evenHBand="0" w:firstRowFirstColumn="0" w:firstRowLastColumn="0" w:lastRowFirstColumn="0" w:lastRowLastColumn="0"/>
          <w:tblHeader/>
        </w:trPr>
        <w:tc>
          <w:tcPr>
            <w:tcW w:w="0" w:type="auto"/>
          </w:tcPr>
          <w:p w:rsidR="00CE4CC2" w:rsidRDefault="003A06E5">
            <w:pPr>
              <w:pStyle w:val="Compact"/>
            </w:pPr>
            <w:r>
              <w:t>Réf.</w:t>
            </w:r>
          </w:p>
        </w:tc>
        <w:tc>
          <w:tcPr>
            <w:tcW w:w="0" w:type="auto"/>
          </w:tcPr>
          <w:p w:rsidR="00CE4CC2" w:rsidRDefault="003A06E5">
            <w:pPr>
              <w:pStyle w:val="Compact"/>
            </w:pPr>
            <w:r>
              <w:t>Exigence</w:t>
            </w:r>
          </w:p>
        </w:tc>
        <w:tc>
          <w:tcPr>
            <w:tcW w:w="0" w:type="auto"/>
          </w:tcPr>
          <w:p w:rsidR="00CE4CC2" w:rsidRDefault="003A06E5">
            <w:pPr>
              <w:pStyle w:val="Compact"/>
            </w:pPr>
            <w:r>
              <w:t>Description</w:t>
            </w:r>
          </w:p>
        </w:tc>
      </w:tr>
      <w:tr w:rsidR="00CE4CC2">
        <w:tc>
          <w:tcPr>
            <w:tcW w:w="0" w:type="auto"/>
          </w:tcPr>
          <w:p w:rsidR="00CE4CC2" w:rsidRDefault="003A06E5">
            <w:pPr>
              <w:pStyle w:val="Compact"/>
            </w:pPr>
            <w:r>
              <w:t>BF05</w:t>
            </w:r>
          </w:p>
        </w:tc>
        <w:tc>
          <w:tcPr>
            <w:tcW w:w="0" w:type="auto"/>
          </w:tcPr>
          <w:p w:rsidR="00CE4CC2" w:rsidRDefault="003A06E5">
            <w:pPr>
              <w:pStyle w:val="Compact"/>
            </w:pPr>
            <w:r>
              <w:t>Devis instantané</w:t>
            </w:r>
          </w:p>
        </w:tc>
        <w:tc>
          <w:tcPr>
            <w:tcW w:w="0" w:type="auto"/>
          </w:tcPr>
          <w:p w:rsidR="00CE4CC2" w:rsidRDefault="003A06E5">
            <w:pPr>
              <w:pStyle w:val="Compact"/>
            </w:pPr>
            <w:r>
              <w:t xml:space="preserve">Affichage de la décomposition complète du prix (base, distance, poids, suppléments, réductions, plancher) </w:t>
            </w:r>
            <w:r>
              <w:rPr>
                <w:b/>
                <w:bCs/>
              </w:rPr>
              <w:t>avant</w:t>
            </w:r>
            <w:r>
              <w:t xml:space="preserve"> confirmation, avec choix du mode de paiement.</w:t>
            </w:r>
          </w:p>
        </w:tc>
      </w:tr>
      <w:tr w:rsidR="00CE4CC2">
        <w:tc>
          <w:tcPr>
            <w:tcW w:w="0" w:type="auto"/>
          </w:tcPr>
          <w:p w:rsidR="00CE4CC2" w:rsidRDefault="003A06E5">
            <w:pPr>
              <w:pStyle w:val="Compact"/>
            </w:pPr>
            <w:r>
              <w:t>BF06</w:t>
            </w:r>
          </w:p>
        </w:tc>
        <w:tc>
          <w:tcPr>
            <w:tcW w:w="0" w:type="auto"/>
          </w:tcPr>
          <w:p w:rsidR="00CE4CC2" w:rsidRDefault="003A06E5">
            <w:pPr>
              <w:pStyle w:val="Compact"/>
            </w:pPr>
            <w:r>
              <w:t>Livraison standard et urgente</w:t>
            </w:r>
          </w:p>
        </w:tc>
        <w:tc>
          <w:tcPr>
            <w:tcW w:w="0" w:type="auto"/>
          </w:tcPr>
          <w:p w:rsidR="00CE4CC2" w:rsidRDefault="003A06E5">
            <w:pPr>
              <w:pStyle w:val="Compact"/>
            </w:pPr>
            <w:r>
              <w:t>Commande avec adresses + repères obligatoires, description du colis, infos receveur, choix Standard ou Urgente (+1000 XAF, dispatch prioritaire, cible &lt; 1 h).</w:t>
            </w:r>
          </w:p>
        </w:tc>
      </w:tr>
      <w:tr w:rsidR="00CE4CC2">
        <w:tc>
          <w:tcPr>
            <w:tcW w:w="0" w:type="auto"/>
          </w:tcPr>
          <w:p w:rsidR="00CE4CC2" w:rsidRDefault="003A06E5">
            <w:pPr>
              <w:pStyle w:val="Compact"/>
            </w:pPr>
            <w:r>
              <w:t>BF07</w:t>
            </w:r>
          </w:p>
        </w:tc>
        <w:tc>
          <w:tcPr>
            <w:tcW w:w="0" w:type="auto"/>
          </w:tcPr>
          <w:p w:rsidR="00CE4CC2" w:rsidRDefault="003A06E5">
            <w:pPr>
              <w:pStyle w:val="Compact"/>
            </w:pPr>
            <w:r>
              <w:t>Livraison programmée</w:t>
            </w:r>
          </w:p>
        </w:tc>
        <w:tc>
          <w:tcPr>
            <w:tcW w:w="0" w:type="auto"/>
          </w:tcPr>
          <w:p w:rsidR="00CE4CC2" w:rsidRDefault="003A06E5">
            <w:pPr>
              <w:pStyle w:val="Compact"/>
            </w:pPr>
            <w:r>
              <w:t>Choix date (J+1 → J+7) et créneau (matin 8h-12h, après-midi 12h-17h, soir 17h-20h). Attribution à J0 − 1 h. Réduction −200 XAF. Annulation gratuite si &gt; 2 h avant le créneau, sinon 500 XAF. Replanification self-service dans les bornes J+1→J+7.</w:t>
            </w:r>
          </w:p>
        </w:tc>
      </w:tr>
      <w:tr w:rsidR="00CE4CC2">
        <w:tc>
          <w:tcPr>
            <w:tcW w:w="0" w:type="auto"/>
          </w:tcPr>
          <w:p w:rsidR="00CE4CC2" w:rsidRDefault="003A06E5">
            <w:pPr>
              <w:pStyle w:val="Compact"/>
            </w:pPr>
            <w:r>
              <w:lastRenderedPageBreak/>
              <w:t>BF08</w:t>
            </w:r>
          </w:p>
        </w:tc>
        <w:tc>
          <w:tcPr>
            <w:tcW w:w="0" w:type="auto"/>
          </w:tcPr>
          <w:p w:rsidR="00CE4CC2" w:rsidRDefault="003A06E5">
            <w:pPr>
              <w:pStyle w:val="Compact"/>
            </w:pPr>
            <w:r>
              <w:t>Commande inversée (3 sous-cas)</w:t>
            </w:r>
          </w:p>
        </w:tc>
        <w:tc>
          <w:tcPr>
            <w:tcW w:w="0" w:type="auto"/>
          </w:tcPr>
          <w:p w:rsidR="00CE4CC2" w:rsidRDefault="003A06E5">
            <w:pPr>
              <w:pStyle w:val="Compact"/>
            </w:pPr>
            <w:r>
              <w:t>(A) chez un particulier : validation par jeton/OTP du tiers ; (B) chez un commerce : photo du reçu ; (C) avec dépôt en hub partenaire. Photo du colis obligatoire à la prise en charge.</w:t>
            </w:r>
          </w:p>
        </w:tc>
      </w:tr>
      <w:tr w:rsidR="00CE4CC2">
        <w:tc>
          <w:tcPr>
            <w:tcW w:w="0" w:type="auto"/>
          </w:tcPr>
          <w:p w:rsidR="00CE4CC2" w:rsidRDefault="003A06E5">
            <w:pPr>
              <w:pStyle w:val="Compact"/>
            </w:pPr>
            <w:r>
              <w:t>BF09</w:t>
            </w:r>
          </w:p>
        </w:tc>
        <w:tc>
          <w:tcPr>
            <w:tcW w:w="0" w:type="auto"/>
          </w:tcPr>
          <w:p w:rsidR="00CE4CC2" w:rsidRDefault="003A06E5">
            <w:pPr>
              <w:pStyle w:val="Compact"/>
            </w:pPr>
            <w:r>
              <w:t>Expédition inter-villes (MVP)</w:t>
            </w:r>
          </w:p>
        </w:tc>
        <w:tc>
          <w:tcPr>
            <w:tcW w:w="0" w:type="auto"/>
          </w:tcPr>
          <w:p w:rsidR="00CE4CC2" w:rsidRDefault="003A06E5">
            <w:pPr>
              <w:pStyle w:val="Compact"/>
            </w:pPr>
            <w:r>
              <w:t>Collecte, dépôt en agence de transport, photo du reçu obligatoire, SMS au receveur avec ETA. La jambe destination est hors MVP (roadmap).</w:t>
            </w:r>
          </w:p>
        </w:tc>
      </w:tr>
      <w:tr w:rsidR="00CE4CC2">
        <w:tc>
          <w:tcPr>
            <w:tcW w:w="0" w:type="auto"/>
          </w:tcPr>
          <w:p w:rsidR="00CE4CC2" w:rsidRDefault="003A06E5">
            <w:pPr>
              <w:pStyle w:val="Compact"/>
            </w:pPr>
            <w:r>
              <w:t>BF10</w:t>
            </w:r>
          </w:p>
        </w:tc>
        <w:tc>
          <w:tcPr>
            <w:tcW w:w="0" w:type="auto"/>
          </w:tcPr>
          <w:p w:rsidR="00CE4CC2" w:rsidRDefault="003A06E5">
            <w:pPr>
              <w:pStyle w:val="Compact"/>
            </w:pPr>
            <w:r>
              <w:t>Dépôt point partenaire</w:t>
            </w:r>
          </w:p>
        </w:tc>
        <w:tc>
          <w:tcPr>
            <w:tcW w:w="0" w:type="auto"/>
          </w:tcPr>
          <w:p w:rsidR="00CE4CC2" w:rsidRDefault="003A06E5">
            <w:pPr>
              <w:pStyle w:val="Compact"/>
            </w:pPr>
            <w:r>
              <w:t>Dépôt chez un commerce partenaire (scan QR entrée), retrait sous 72 h (scan QR sortie + vérification d’identité). Commission 150 XAF/colis.</w:t>
            </w:r>
          </w:p>
        </w:tc>
      </w:tr>
      <w:tr w:rsidR="00CE4CC2">
        <w:tc>
          <w:tcPr>
            <w:tcW w:w="0" w:type="auto"/>
          </w:tcPr>
          <w:p w:rsidR="00CE4CC2" w:rsidRDefault="003A06E5">
            <w:pPr>
              <w:pStyle w:val="Compact"/>
            </w:pPr>
            <w:r>
              <w:t>BF11</w:t>
            </w:r>
          </w:p>
        </w:tc>
        <w:tc>
          <w:tcPr>
            <w:tcW w:w="0" w:type="auto"/>
          </w:tcPr>
          <w:p w:rsidR="00CE4CC2" w:rsidRDefault="003A06E5">
            <w:pPr>
              <w:pStyle w:val="Compact"/>
            </w:pPr>
            <w:r>
              <w:t>Ramassage hebdomadaire</w:t>
            </w:r>
          </w:p>
        </w:tc>
        <w:tc>
          <w:tcPr>
            <w:tcW w:w="0" w:type="auto"/>
          </w:tcPr>
          <w:p w:rsidR="00CE4CC2" w:rsidRDefault="003A06E5">
            <w:pPr>
              <w:pStyle w:val="Compact"/>
            </w:pPr>
            <w:r>
              <w:t>Structure configure jour et heure fixes ; téléverse un fichier CSV/Excel (validation automatique + antivirus) ; lot verrouillé à minuit la veille ; job IA à 02h ; pickup unique chez la structure ; lot confirmé en retard reporté à la semaine suivante avec option de bascule manuelle en commandes individuelles.</w:t>
            </w:r>
          </w:p>
        </w:tc>
      </w:tr>
    </w:tbl>
    <w:p w:rsidR="00CE4CC2" w:rsidRDefault="003A06E5">
      <w:pPr>
        <w:pStyle w:val="Titre2"/>
      </w:pPr>
      <w:bookmarkStart w:id="38" w:name="affectation-suivi-et-confirmation"/>
      <w:bookmarkStart w:id="39" w:name="_Toc232734034"/>
      <w:bookmarkEnd w:id="36"/>
      <w:r>
        <w:t>7.3 Affectation, suivi et confirmation</w:t>
      </w:r>
      <w:bookmarkEnd w:id="39"/>
    </w:p>
    <w:tbl>
      <w:tblPr>
        <w:tblStyle w:val="Table"/>
        <w:tblW w:w="5000" w:type="pct"/>
        <w:tblLook w:val="0020" w:firstRow="1" w:lastRow="0" w:firstColumn="0" w:lastColumn="0" w:noHBand="0" w:noVBand="0"/>
      </w:tblPr>
      <w:tblGrid>
        <w:gridCol w:w="790"/>
        <w:gridCol w:w="2093"/>
        <w:gridCol w:w="6359"/>
      </w:tblGrid>
      <w:tr w:rsidR="00CE4CC2" w:rsidTr="00CE4CC2">
        <w:trPr>
          <w:cnfStyle w:val="100000000000" w:firstRow="1" w:lastRow="0" w:firstColumn="0" w:lastColumn="0" w:oddVBand="0" w:evenVBand="0" w:oddHBand="0" w:evenHBand="0" w:firstRowFirstColumn="0" w:firstRowLastColumn="0" w:lastRowFirstColumn="0" w:lastRowLastColumn="0"/>
          <w:tblHeader/>
        </w:trPr>
        <w:tc>
          <w:tcPr>
            <w:tcW w:w="0" w:type="auto"/>
          </w:tcPr>
          <w:p w:rsidR="00CE4CC2" w:rsidRDefault="003A06E5">
            <w:pPr>
              <w:pStyle w:val="Compact"/>
            </w:pPr>
            <w:r>
              <w:t>Réf.</w:t>
            </w:r>
          </w:p>
        </w:tc>
        <w:tc>
          <w:tcPr>
            <w:tcW w:w="0" w:type="auto"/>
          </w:tcPr>
          <w:p w:rsidR="00CE4CC2" w:rsidRDefault="003A06E5">
            <w:pPr>
              <w:pStyle w:val="Compact"/>
            </w:pPr>
            <w:r>
              <w:t>Exigence</w:t>
            </w:r>
          </w:p>
        </w:tc>
        <w:tc>
          <w:tcPr>
            <w:tcW w:w="0" w:type="auto"/>
          </w:tcPr>
          <w:p w:rsidR="00CE4CC2" w:rsidRDefault="003A06E5">
            <w:pPr>
              <w:pStyle w:val="Compact"/>
            </w:pPr>
            <w:r>
              <w:t>Description</w:t>
            </w:r>
          </w:p>
        </w:tc>
      </w:tr>
      <w:tr w:rsidR="00CE4CC2">
        <w:tc>
          <w:tcPr>
            <w:tcW w:w="0" w:type="auto"/>
          </w:tcPr>
          <w:p w:rsidR="00CE4CC2" w:rsidRDefault="003A06E5">
            <w:pPr>
              <w:pStyle w:val="Compact"/>
            </w:pPr>
            <w:r>
              <w:t>BF12</w:t>
            </w:r>
          </w:p>
        </w:tc>
        <w:tc>
          <w:tcPr>
            <w:tcW w:w="0" w:type="auto"/>
          </w:tcPr>
          <w:p w:rsidR="00CE4CC2" w:rsidRDefault="003A06E5">
            <w:pPr>
              <w:pStyle w:val="Compact"/>
            </w:pPr>
            <w:r>
              <w:t>Attribution IA multi-missions</w:t>
            </w:r>
          </w:p>
        </w:tc>
        <w:tc>
          <w:tcPr>
            <w:tcW w:w="0" w:type="auto"/>
          </w:tcPr>
          <w:p w:rsidR="00CE4CC2" w:rsidRDefault="003A06E5">
            <w:pPr>
              <w:pStyle w:val="Compact"/>
            </w:pPr>
            <w:r>
              <w:t>OR-Tools / VRP ; tournées de 1 à 3 livraisons ; score composite (§9.2) ; programmée : J0 − 1 h ; ramassage : planification nocturne. Affichage ETA par stop + gain estimé avant acceptation.</w:t>
            </w:r>
          </w:p>
        </w:tc>
      </w:tr>
      <w:tr w:rsidR="00CE4CC2">
        <w:tc>
          <w:tcPr>
            <w:tcW w:w="0" w:type="auto"/>
          </w:tcPr>
          <w:p w:rsidR="00CE4CC2" w:rsidRDefault="003A06E5">
            <w:pPr>
              <w:pStyle w:val="Compact"/>
            </w:pPr>
            <w:r>
              <w:t>BF13</w:t>
            </w:r>
          </w:p>
        </w:tc>
        <w:tc>
          <w:tcPr>
            <w:tcW w:w="0" w:type="auto"/>
          </w:tcPr>
          <w:p w:rsidR="00CE4CC2" w:rsidRDefault="003A06E5">
            <w:pPr>
              <w:pStyle w:val="Compact"/>
            </w:pPr>
            <w:r>
              <w:t>Acceptation / refus de mission</w:t>
            </w:r>
          </w:p>
        </w:tc>
        <w:tc>
          <w:tcPr>
            <w:tcW w:w="0" w:type="auto"/>
          </w:tcPr>
          <w:p w:rsidR="00CE4CC2" w:rsidRDefault="003A06E5">
            <w:pPr>
              <w:pStyle w:val="Compact"/>
            </w:pPr>
            <w:r>
              <w:t>Le livreur accepte ou refuse en 60 s ; cascade au candidat suivant en cas de refus ou de timeout. Le taux d’acceptation alimente le score.</w:t>
            </w:r>
          </w:p>
        </w:tc>
      </w:tr>
      <w:tr w:rsidR="00CE4CC2">
        <w:tc>
          <w:tcPr>
            <w:tcW w:w="0" w:type="auto"/>
          </w:tcPr>
          <w:p w:rsidR="00CE4CC2" w:rsidRDefault="003A06E5">
            <w:pPr>
              <w:pStyle w:val="Compact"/>
            </w:pPr>
            <w:r>
              <w:t>BF14</w:t>
            </w:r>
          </w:p>
        </w:tc>
        <w:tc>
          <w:tcPr>
            <w:tcW w:w="0" w:type="auto"/>
          </w:tcPr>
          <w:p w:rsidR="00CE4CC2" w:rsidRDefault="003A06E5">
            <w:pPr>
              <w:pStyle w:val="Compact"/>
            </w:pPr>
            <w:r>
              <w:t>Suivi GPS temps réel conditionnel</w:t>
            </w:r>
          </w:p>
        </w:tc>
        <w:tc>
          <w:tcPr>
            <w:tcW w:w="0" w:type="auto"/>
          </w:tcPr>
          <w:p w:rsidR="00CE4CC2" w:rsidRDefault="003A06E5">
            <w:pPr>
              <w:pStyle w:val="Compact"/>
            </w:pPr>
            <w:r>
              <w:t xml:space="preserve">WebSocket ; GPS actif </w:t>
            </w:r>
            <w:r>
              <w:rPr>
                <w:b/>
                <w:bCs/>
              </w:rPr>
              <w:t>uniquement</w:t>
            </w:r>
            <w:r>
              <w:t xml:space="preserve"> lorsqu’une mission est assignée ; désactivation automatique à la clôture (vie privée). ETA en fourchette via le fournisseur cartographique (§12).</w:t>
            </w:r>
          </w:p>
        </w:tc>
      </w:tr>
      <w:tr w:rsidR="00CE4CC2">
        <w:tc>
          <w:tcPr>
            <w:tcW w:w="0" w:type="auto"/>
          </w:tcPr>
          <w:p w:rsidR="00CE4CC2" w:rsidRDefault="003A06E5">
            <w:pPr>
              <w:pStyle w:val="Compact"/>
            </w:pPr>
            <w:r>
              <w:t>BF15</w:t>
            </w:r>
          </w:p>
        </w:tc>
        <w:tc>
          <w:tcPr>
            <w:tcW w:w="0" w:type="auto"/>
          </w:tcPr>
          <w:p w:rsidR="00CE4CC2" w:rsidRDefault="003A06E5">
            <w:pPr>
              <w:pStyle w:val="Compact"/>
            </w:pPr>
            <w:r>
              <w:t>Gestion des statuts</w:t>
            </w:r>
          </w:p>
        </w:tc>
        <w:tc>
          <w:tcPr>
            <w:tcW w:w="0" w:type="auto"/>
          </w:tcPr>
          <w:p w:rsidR="00CE4CC2" w:rsidRDefault="003A06E5">
            <w:pPr>
              <w:pStyle w:val="Compact"/>
            </w:pPr>
            <w:r>
              <w:t>Le cycle de vie d’une livraison suit la machine à états du §10, faisant foi.</w:t>
            </w:r>
          </w:p>
        </w:tc>
      </w:tr>
      <w:tr w:rsidR="00CE4CC2">
        <w:tc>
          <w:tcPr>
            <w:tcW w:w="0" w:type="auto"/>
          </w:tcPr>
          <w:p w:rsidR="00CE4CC2" w:rsidRDefault="003A06E5">
            <w:pPr>
              <w:pStyle w:val="Compact"/>
            </w:pPr>
            <w:r>
              <w:t>BF16</w:t>
            </w:r>
          </w:p>
        </w:tc>
        <w:tc>
          <w:tcPr>
            <w:tcW w:w="0" w:type="auto"/>
          </w:tcPr>
          <w:p w:rsidR="00CE4CC2" w:rsidRDefault="003A06E5">
            <w:pPr>
              <w:pStyle w:val="Compact"/>
            </w:pPr>
            <w:r>
              <w:t>Confirmation de livraison</w:t>
            </w:r>
          </w:p>
        </w:tc>
        <w:tc>
          <w:tcPr>
            <w:tcW w:w="0" w:type="auto"/>
          </w:tcPr>
          <w:p w:rsidR="00CE4CC2" w:rsidRDefault="003A06E5">
            <w:pPr>
              <w:pStyle w:val="Compact"/>
            </w:pPr>
            <w:r>
              <w:rPr>
                <w:b/>
                <w:bCs/>
              </w:rPr>
              <w:t>Jeton de livraison signé (PIN + QR)</w:t>
            </w:r>
            <w:r>
              <w:t xml:space="preserve"> présenté par le receveur et vérifié </w:t>
            </w:r>
            <w:r>
              <w:rPr>
                <w:b/>
                <w:bCs/>
              </w:rPr>
              <w:t>localement</w:t>
            </w:r>
            <w:r>
              <w:t xml:space="preserve"> (compatible hors-ligne) + photo obligatoire. Repli : OTP-SMS lorsque le receveur n’a pas l’app et que la connectivité est disponible. Détection automatique </w:t>
            </w:r>
            <w:r>
              <w:rPr>
                <w:rStyle w:val="VerbatimChar"/>
              </w:rPr>
              <w:t>hasApp</w:t>
            </w:r>
            <w:r>
              <w:t>.</w:t>
            </w:r>
          </w:p>
        </w:tc>
      </w:tr>
      <w:tr w:rsidR="00CE4CC2">
        <w:tc>
          <w:tcPr>
            <w:tcW w:w="0" w:type="auto"/>
          </w:tcPr>
          <w:p w:rsidR="00CE4CC2" w:rsidRDefault="003A06E5">
            <w:pPr>
              <w:pStyle w:val="Compact"/>
            </w:pPr>
            <w:r>
              <w:t>BF17</w:t>
            </w:r>
          </w:p>
        </w:tc>
        <w:tc>
          <w:tcPr>
            <w:tcW w:w="0" w:type="auto"/>
          </w:tcPr>
          <w:p w:rsidR="00CE4CC2" w:rsidRDefault="003A06E5">
            <w:pPr>
              <w:pStyle w:val="Compact"/>
            </w:pPr>
            <w:r>
              <w:t>Réassignation automatique</w:t>
            </w:r>
          </w:p>
        </w:tc>
        <w:tc>
          <w:tcPr>
            <w:tcW w:w="0" w:type="auto"/>
          </w:tcPr>
          <w:p w:rsidR="00CE4CC2" w:rsidRDefault="003A06E5">
            <w:pPr>
              <w:pStyle w:val="Compact"/>
            </w:pPr>
            <w:r>
              <w:t>GPS inactif &gt; 15 min (après alerte à 5 min) → réassignation IA + pénalité de score (§9.3).</w:t>
            </w:r>
          </w:p>
        </w:tc>
      </w:tr>
      <w:tr w:rsidR="00CE4CC2">
        <w:tc>
          <w:tcPr>
            <w:tcW w:w="0" w:type="auto"/>
          </w:tcPr>
          <w:p w:rsidR="00CE4CC2" w:rsidRDefault="003A06E5">
            <w:pPr>
              <w:pStyle w:val="Compact"/>
            </w:pPr>
            <w:r>
              <w:t>BF18</w:t>
            </w:r>
          </w:p>
        </w:tc>
        <w:tc>
          <w:tcPr>
            <w:tcW w:w="0" w:type="auto"/>
          </w:tcPr>
          <w:p w:rsidR="00CE4CC2" w:rsidRDefault="003A06E5">
            <w:pPr>
              <w:pStyle w:val="Compact"/>
            </w:pPr>
            <w:r>
              <w:t>Gestion de la tentative échouée</w:t>
            </w:r>
          </w:p>
        </w:tc>
        <w:tc>
          <w:tcPr>
            <w:tcW w:w="0" w:type="auto"/>
          </w:tcPr>
          <w:p w:rsidR="00CE4CC2" w:rsidRDefault="003A06E5">
            <w:pPr>
              <w:pStyle w:val="Compact"/>
            </w:pPr>
            <w:r>
              <w:t xml:space="preserve">Receveur absent → statut </w:t>
            </w:r>
            <w:r>
              <w:rPr>
                <w:rStyle w:val="VerbatimChar"/>
              </w:rPr>
              <w:t>TENTATIVE_ECHOUEE</w:t>
            </w:r>
            <w:r>
              <w:t xml:space="preserve"> ; le commanditaire est notifié et choisit : nouvelle tentative (frais de re-dépôt 500 XAF), dépôt partenaire, ou retour. Maximum 2 tentatives avant retour/abandon.</w:t>
            </w:r>
          </w:p>
        </w:tc>
      </w:tr>
      <w:tr w:rsidR="00CE4CC2">
        <w:tc>
          <w:tcPr>
            <w:tcW w:w="0" w:type="auto"/>
          </w:tcPr>
          <w:p w:rsidR="00CE4CC2" w:rsidRDefault="003A06E5">
            <w:pPr>
              <w:pStyle w:val="Compact"/>
            </w:pPr>
            <w:r>
              <w:t>BF19</w:t>
            </w:r>
          </w:p>
        </w:tc>
        <w:tc>
          <w:tcPr>
            <w:tcW w:w="0" w:type="auto"/>
          </w:tcPr>
          <w:p w:rsidR="00CE4CC2" w:rsidRDefault="003A06E5">
            <w:pPr>
              <w:pStyle w:val="Compact"/>
            </w:pPr>
            <w:r>
              <w:t>Gestion du retrait 72 h</w:t>
            </w:r>
          </w:p>
        </w:tc>
        <w:tc>
          <w:tcPr>
            <w:tcW w:w="0" w:type="auto"/>
          </w:tcPr>
          <w:p w:rsidR="00CE4CC2" w:rsidRDefault="003A06E5">
            <w:pPr>
              <w:pStyle w:val="Compact"/>
            </w:pPr>
            <w:r>
              <w:t>Relances SMS J+1, J+2, J+3 ; prolongation payante 200 XAF/jour (max 2 jours) ; à expiration : retour au client ou abandon avec photo de preuve archivée.</w:t>
            </w:r>
          </w:p>
        </w:tc>
      </w:tr>
    </w:tbl>
    <w:p w:rsidR="00CE4CC2" w:rsidRDefault="003A06E5">
      <w:pPr>
        <w:pStyle w:val="Titre2"/>
      </w:pPr>
      <w:bookmarkStart w:id="40" w:name="paiement-et-facturation"/>
      <w:bookmarkStart w:id="41" w:name="_Toc232734035"/>
      <w:bookmarkEnd w:id="38"/>
      <w:r>
        <w:lastRenderedPageBreak/>
        <w:t>7.4 Paiement et facturation</w:t>
      </w:r>
      <w:bookmarkEnd w:id="41"/>
    </w:p>
    <w:tbl>
      <w:tblPr>
        <w:tblStyle w:val="Table"/>
        <w:tblW w:w="5000" w:type="pct"/>
        <w:tblLook w:val="0020" w:firstRow="1" w:lastRow="0" w:firstColumn="0" w:lastColumn="0" w:noHBand="0" w:noVBand="0"/>
      </w:tblPr>
      <w:tblGrid>
        <w:gridCol w:w="790"/>
        <w:gridCol w:w="2046"/>
        <w:gridCol w:w="6406"/>
      </w:tblGrid>
      <w:tr w:rsidR="00CE4CC2" w:rsidTr="00CE4CC2">
        <w:trPr>
          <w:cnfStyle w:val="100000000000" w:firstRow="1" w:lastRow="0" w:firstColumn="0" w:lastColumn="0" w:oddVBand="0" w:evenVBand="0" w:oddHBand="0" w:evenHBand="0" w:firstRowFirstColumn="0" w:firstRowLastColumn="0" w:lastRowFirstColumn="0" w:lastRowLastColumn="0"/>
          <w:tblHeader/>
        </w:trPr>
        <w:tc>
          <w:tcPr>
            <w:tcW w:w="0" w:type="auto"/>
          </w:tcPr>
          <w:p w:rsidR="00CE4CC2" w:rsidRDefault="003A06E5">
            <w:pPr>
              <w:pStyle w:val="Compact"/>
            </w:pPr>
            <w:r>
              <w:t>Réf.</w:t>
            </w:r>
          </w:p>
        </w:tc>
        <w:tc>
          <w:tcPr>
            <w:tcW w:w="0" w:type="auto"/>
          </w:tcPr>
          <w:p w:rsidR="00CE4CC2" w:rsidRDefault="003A06E5">
            <w:pPr>
              <w:pStyle w:val="Compact"/>
            </w:pPr>
            <w:r>
              <w:t>Exigence</w:t>
            </w:r>
          </w:p>
        </w:tc>
        <w:tc>
          <w:tcPr>
            <w:tcW w:w="0" w:type="auto"/>
          </w:tcPr>
          <w:p w:rsidR="00CE4CC2" w:rsidRDefault="003A06E5">
            <w:pPr>
              <w:pStyle w:val="Compact"/>
            </w:pPr>
            <w:r>
              <w:t>Description</w:t>
            </w:r>
          </w:p>
        </w:tc>
      </w:tr>
      <w:tr w:rsidR="00CE4CC2">
        <w:tc>
          <w:tcPr>
            <w:tcW w:w="0" w:type="auto"/>
          </w:tcPr>
          <w:p w:rsidR="00CE4CC2" w:rsidRDefault="003A06E5">
            <w:pPr>
              <w:pStyle w:val="Compact"/>
            </w:pPr>
            <w:r>
              <w:t>BF20</w:t>
            </w:r>
          </w:p>
        </w:tc>
        <w:tc>
          <w:tcPr>
            <w:tcW w:w="0" w:type="auto"/>
          </w:tcPr>
          <w:p w:rsidR="00CE4CC2" w:rsidRDefault="003A06E5">
            <w:pPr>
              <w:pStyle w:val="Compact"/>
            </w:pPr>
            <w:r>
              <w:t>Paiement Mobile Money</w:t>
            </w:r>
          </w:p>
        </w:tc>
        <w:tc>
          <w:tcPr>
            <w:tcW w:w="0" w:type="auto"/>
          </w:tcPr>
          <w:p w:rsidR="00CE4CC2" w:rsidRDefault="003A06E5">
            <w:pPr>
              <w:pStyle w:val="Compact"/>
            </w:pPr>
            <w:r>
              <w:t>Orange Money + MTN MoMo ; repli automatique vers espèces si l’API est indisponible (retry toutes les 5 min).</w:t>
            </w:r>
          </w:p>
        </w:tc>
      </w:tr>
      <w:tr w:rsidR="00CE4CC2">
        <w:tc>
          <w:tcPr>
            <w:tcW w:w="0" w:type="auto"/>
          </w:tcPr>
          <w:p w:rsidR="00CE4CC2" w:rsidRDefault="003A06E5">
            <w:pPr>
              <w:pStyle w:val="Compact"/>
            </w:pPr>
            <w:r>
              <w:t>BF21</w:t>
            </w:r>
          </w:p>
        </w:tc>
        <w:tc>
          <w:tcPr>
            <w:tcW w:w="0" w:type="auto"/>
          </w:tcPr>
          <w:p w:rsidR="00CE4CC2" w:rsidRDefault="003A06E5">
            <w:pPr>
              <w:pStyle w:val="Compact"/>
            </w:pPr>
            <w:r>
              <w:t>Paiement espèces à triple traçabilité</w:t>
            </w:r>
          </w:p>
        </w:tc>
        <w:tc>
          <w:tcPr>
            <w:tcW w:w="0" w:type="auto"/>
          </w:tcPr>
          <w:p w:rsidR="00CE4CC2" w:rsidRDefault="003A06E5">
            <w:pPr>
              <w:pStyle w:val="Compact"/>
            </w:pPr>
            <w:r>
              <w:t>Mode A (prépaiement au pickup, client remet) et Mode B (COD = frais de livraison réglés par le receveur). Photo des billets + montant déclaré + validation jeton/OTP. Blocage si discordance de montant.</w:t>
            </w:r>
          </w:p>
        </w:tc>
      </w:tr>
      <w:tr w:rsidR="00CE4CC2">
        <w:tc>
          <w:tcPr>
            <w:tcW w:w="0" w:type="auto"/>
          </w:tcPr>
          <w:p w:rsidR="00CE4CC2" w:rsidRDefault="003A06E5">
            <w:pPr>
              <w:pStyle w:val="Compact"/>
            </w:pPr>
            <w:r>
              <w:t>BF22</w:t>
            </w:r>
          </w:p>
        </w:tc>
        <w:tc>
          <w:tcPr>
            <w:tcW w:w="0" w:type="auto"/>
          </w:tcPr>
          <w:p w:rsidR="00CE4CC2" w:rsidRDefault="003A06E5">
            <w:pPr>
              <w:pStyle w:val="Compact"/>
            </w:pPr>
            <w:r>
              <w:t>Pourboire optionnel</w:t>
            </w:r>
          </w:p>
        </w:tc>
        <w:tc>
          <w:tcPr>
            <w:tcW w:w="0" w:type="auto"/>
          </w:tcPr>
          <w:p w:rsidR="00CE4CC2" w:rsidRDefault="003A06E5">
            <w:pPr>
              <w:pStyle w:val="Compact"/>
            </w:pPr>
            <w:r>
              <w:t>Pourboire facultatif au livreur (MoMo ou espèces) après livraison ; reversé intégralement au livreur.</w:t>
            </w:r>
          </w:p>
        </w:tc>
      </w:tr>
      <w:tr w:rsidR="00CE4CC2">
        <w:tc>
          <w:tcPr>
            <w:tcW w:w="0" w:type="auto"/>
          </w:tcPr>
          <w:p w:rsidR="00CE4CC2" w:rsidRDefault="003A06E5">
            <w:pPr>
              <w:pStyle w:val="Compact"/>
            </w:pPr>
            <w:r>
              <w:t>BF23</w:t>
            </w:r>
          </w:p>
        </w:tc>
        <w:tc>
          <w:tcPr>
            <w:tcW w:w="0" w:type="auto"/>
          </w:tcPr>
          <w:p w:rsidR="00CE4CC2" w:rsidRDefault="003A06E5">
            <w:pPr>
              <w:pStyle w:val="Compact"/>
            </w:pPr>
            <w:r>
              <w:t>Facturation B2B consolidée</w:t>
            </w:r>
          </w:p>
        </w:tc>
        <w:tc>
          <w:tcPr>
            <w:tcW w:w="0" w:type="auto"/>
          </w:tcPr>
          <w:p w:rsidR="00CE4CC2" w:rsidRDefault="003A06E5">
            <w:pPr>
              <w:pStyle w:val="Compact"/>
            </w:pPr>
            <w:r>
              <w:t>Facture mensuelle groupée par entreprise ; échéance net 15 j (Business) / net 30 j (Premium) ; gestion d’impayé spécifique B2B (§11.4).</w:t>
            </w:r>
          </w:p>
        </w:tc>
      </w:tr>
      <w:tr w:rsidR="00CE4CC2">
        <w:tc>
          <w:tcPr>
            <w:tcW w:w="0" w:type="auto"/>
          </w:tcPr>
          <w:p w:rsidR="00CE4CC2" w:rsidRDefault="003A06E5">
            <w:pPr>
              <w:pStyle w:val="Compact"/>
            </w:pPr>
            <w:r>
              <w:t>BF24</w:t>
            </w:r>
          </w:p>
        </w:tc>
        <w:tc>
          <w:tcPr>
            <w:tcW w:w="0" w:type="auto"/>
          </w:tcPr>
          <w:p w:rsidR="00CE4CC2" w:rsidRDefault="003A06E5">
            <w:pPr>
              <w:pStyle w:val="Compact"/>
            </w:pPr>
            <w:r>
              <w:t>Tarification dynamique</w:t>
            </w:r>
          </w:p>
        </w:tc>
        <w:tc>
          <w:tcPr>
            <w:tcW w:w="0" w:type="auto"/>
          </w:tcPr>
          <w:p w:rsidR="00CE4CC2" w:rsidRDefault="003A06E5">
            <w:pPr>
              <w:pStyle w:val="Compact"/>
            </w:pPr>
            <w:r>
              <w:t>Application de la formule canonique §9.1 (base, distance, poids, suppléments, réductions, plancher 1000 XAF, arrondi 50 XAF).</w:t>
            </w:r>
          </w:p>
        </w:tc>
      </w:tr>
    </w:tbl>
    <w:p w:rsidR="00CE4CC2" w:rsidRDefault="003A06E5">
      <w:pPr>
        <w:pStyle w:val="Titre2"/>
      </w:pPr>
      <w:bookmarkStart w:id="42" w:name="communication-évaluation-historique"/>
      <w:bookmarkStart w:id="43" w:name="_Toc232734036"/>
      <w:bookmarkEnd w:id="40"/>
      <w:r>
        <w:t>7.5 Communication, évaluation, historique</w:t>
      </w:r>
      <w:bookmarkEnd w:id="43"/>
    </w:p>
    <w:tbl>
      <w:tblPr>
        <w:tblStyle w:val="Table"/>
        <w:tblW w:w="5000" w:type="pct"/>
        <w:tblLook w:val="0020" w:firstRow="1" w:lastRow="0" w:firstColumn="0" w:lastColumn="0" w:noHBand="0" w:noVBand="0"/>
      </w:tblPr>
      <w:tblGrid>
        <w:gridCol w:w="790"/>
        <w:gridCol w:w="2128"/>
        <w:gridCol w:w="6324"/>
      </w:tblGrid>
      <w:tr w:rsidR="00CE4CC2" w:rsidTr="00CE4CC2">
        <w:trPr>
          <w:cnfStyle w:val="100000000000" w:firstRow="1" w:lastRow="0" w:firstColumn="0" w:lastColumn="0" w:oddVBand="0" w:evenVBand="0" w:oddHBand="0" w:evenHBand="0" w:firstRowFirstColumn="0" w:firstRowLastColumn="0" w:lastRowFirstColumn="0" w:lastRowLastColumn="0"/>
          <w:tblHeader/>
        </w:trPr>
        <w:tc>
          <w:tcPr>
            <w:tcW w:w="0" w:type="auto"/>
          </w:tcPr>
          <w:p w:rsidR="00CE4CC2" w:rsidRDefault="003A06E5">
            <w:pPr>
              <w:pStyle w:val="Compact"/>
            </w:pPr>
            <w:r>
              <w:t>Réf.</w:t>
            </w:r>
          </w:p>
        </w:tc>
        <w:tc>
          <w:tcPr>
            <w:tcW w:w="0" w:type="auto"/>
          </w:tcPr>
          <w:p w:rsidR="00CE4CC2" w:rsidRDefault="003A06E5">
            <w:pPr>
              <w:pStyle w:val="Compact"/>
            </w:pPr>
            <w:r>
              <w:t>Exigence</w:t>
            </w:r>
          </w:p>
        </w:tc>
        <w:tc>
          <w:tcPr>
            <w:tcW w:w="0" w:type="auto"/>
          </w:tcPr>
          <w:p w:rsidR="00CE4CC2" w:rsidRDefault="003A06E5">
            <w:pPr>
              <w:pStyle w:val="Compact"/>
            </w:pPr>
            <w:r>
              <w:t>Description</w:t>
            </w:r>
          </w:p>
        </w:tc>
      </w:tr>
      <w:tr w:rsidR="00CE4CC2">
        <w:tc>
          <w:tcPr>
            <w:tcW w:w="0" w:type="auto"/>
          </w:tcPr>
          <w:p w:rsidR="00CE4CC2" w:rsidRDefault="003A06E5">
            <w:pPr>
              <w:pStyle w:val="Compact"/>
            </w:pPr>
            <w:r>
              <w:t>BF25</w:t>
            </w:r>
          </w:p>
        </w:tc>
        <w:tc>
          <w:tcPr>
            <w:tcW w:w="0" w:type="auto"/>
          </w:tcPr>
          <w:p w:rsidR="00CE4CC2" w:rsidRDefault="003A06E5">
            <w:pPr>
              <w:pStyle w:val="Compact"/>
            </w:pPr>
            <w:r>
              <w:t>Chat contextualisé</w:t>
            </w:r>
          </w:p>
        </w:tc>
        <w:tc>
          <w:tcPr>
            <w:tcW w:w="0" w:type="auto"/>
          </w:tcPr>
          <w:p w:rsidR="00CE4CC2" w:rsidRDefault="003A06E5">
            <w:pPr>
              <w:pStyle w:val="Compact"/>
            </w:pPr>
            <w:r>
              <w:t>Messagerie par livraison, numéros masqués, modération anti-harcèlement.</w:t>
            </w:r>
          </w:p>
        </w:tc>
      </w:tr>
      <w:tr w:rsidR="00CE4CC2">
        <w:tc>
          <w:tcPr>
            <w:tcW w:w="0" w:type="auto"/>
          </w:tcPr>
          <w:p w:rsidR="00CE4CC2" w:rsidRDefault="003A06E5">
            <w:pPr>
              <w:pStyle w:val="Compact"/>
            </w:pPr>
            <w:r>
              <w:t>BF26</w:t>
            </w:r>
          </w:p>
        </w:tc>
        <w:tc>
          <w:tcPr>
            <w:tcW w:w="0" w:type="auto"/>
          </w:tcPr>
          <w:p w:rsidR="00CE4CC2" w:rsidRDefault="003A06E5">
            <w:pPr>
              <w:pStyle w:val="Compact"/>
            </w:pPr>
            <w:r>
              <w:t>Notifications multicanaux</w:t>
            </w:r>
          </w:p>
        </w:tc>
        <w:tc>
          <w:tcPr>
            <w:tcW w:w="0" w:type="auto"/>
          </w:tcPr>
          <w:p w:rsidR="00CE4CC2" w:rsidRDefault="003A06E5">
            <w:pPr>
              <w:pStyle w:val="Compact"/>
            </w:pPr>
            <w:r>
              <w:t>Priorité au push (FCM) et à l’in-app ; SMS pour receveurs sans app ; WhatsApp via templates approuvés (opt-in requis). Rappels automatiques (programmée J-1, retrait J+1/J+2/J+3).</w:t>
            </w:r>
          </w:p>
        </w:tc>
      </w:tr>
      <w:tr w:rsidR="00CE4CC2">
        <w:tc>
          <w:tcPr>
            <w:tcW w:w="0" w:type="auto"/>
          </w:tcPr>
          <w:p w:rsidR="00CE4CC2" w:rsidRDefault="003A06E5">
            <w:pPr>
              <w:pStyle w:val="Compact"/>
            </w:pPr>
            <w:r>
              <w:t>BF27</w:t>
            </w:r>
          </w:p>
        </w:tc>
        <w:tc>
          <w:tcPr>
            <w:tcW w:w="0" w:type="auto"/>
          </w:tcPr>
          <w:p w:rsidR="00CE4CC2" w:rsidRDefault="003A06E5">
            <w:pPr>
              <w:pStyle w:val="Compact"/>
            </w:pPr>
            <w:r>
              <w:t>Reçu de livraison numérique</w:t>
            </w:r>
          </w:p>
        </w:tc>
        <w:tc>
          <w:tcPr>
            <w:tcW w:w="0" w:type="auto"/>
          </w:tcPr>
          <w:p w:rsidR="00CE4CC2" w:rsidRDefault="003A06E5">
            <w:pPr>
              <w:pStyle w:val="Compact"/>
            </w:pPr>
            <w:r>
              <w:t>À la livraison, le client reçoit un reçu (photo + horodatage + position + référence de confirmation) consultable et partageable.</w:t>
            </w:r>
          </w:p>
        </w:tc>
      </w:tr>
      <w:tr w:rsidR="00CE4CC2">
        <w:tc>
          <w:tcPr>
            <w:tcW w:w="0" w:type="auto"/>
          </w:tcPr>
          <w:p w:rsidR="00CE4CC2" w:rsidRDefault="003A06E5">
            <w:pPr>
              <w:pStyle w:val="Compact"/>
            </w:pPr>
            <w:r>
              <w:t>BF28</w:t>
            </w:r>
          </w:p>
        </w:tc>
        <w:tc>
          <w:tcPr>
            <w:tcW w:w="0" w:type="auto"/>
          </w:tcPr>
          <w:p w:rsidR="00CE4CC2" w:rsidRDefault="003A06E5">
            <w:pPr>
              <w:pStyle w:val="Compact"/>
            </w:pPr>
            <w:r>
              <w:t>Notation bidirectionnelle</w:t>
            </w:r>
          </w:p>
        </w:tc>
        <w:tc>
          <w:tcPr>
            <w:tcW w:w="0" w:type="auto"/>
          </w:tcPr>
          <w:p w:rsidR="00CE4CC2" w:rsidRDefault="003A06E5">
            <w:pPr>
              <w:pStyle w:val="Compact"/>
            </w:pPr>
            <w:r>
              <w:t xml:space="preserve">Le client note le livreur (intégré au score IA) </w:t>
            </w:r>
            <w:r>
              <w:rPr>
                <w:b/>
                <w:bCs/>
              </w:rPr>
              <w:t>et</w:t>
            </w:r>
            <w:r>
              <w:t xml:space="preserve"> le livreur note l’adresse/le client (alimente un indicateur de risque côté commande).</w:t>
            </w:r>
          </w:p>
        </w:tc>
      </w:tr>
      <w:tr w:rsidR="00CE4CC2">
        <w:tc>
          <w:tcPr>
            <w:tcW w:w="0" w:type="auto"/>
          </w:tcPr>
          <w:p w:rsidR="00CE4CC2" w:rsidRDefault="003A06E5">
            <w:pPr>
              <w:pStyle w:val="Compact"/>
            </w:pPr>
            <w:r>
              <w:t>BF29</w:t>
            </w:r>
          </w:p>
        </w:tc>
        <w:tc>
          <w:tcPr>
            <w:tcW w:w="0" w:type="auto"/>
          </w:tcPr>
          <w:p w:rsidR="00CE4CC2" w:rsidRDefault="003A06E5">
            <w:pPr>
              <w:pStyle w:val="Compact"/>
            </w:pPr>
            <w:r>
              <w:t>Historique</w:t>
            </w:r>
          </w:p>
        </w:tc>
        <w:tc>
          <w:tcPr>
            <w:tcW w:w="0" w:type="auto"/>
          </w:tcPr>
          <w:p w:rsidR="00CE4CC2" w:rsidRDefault="003A06E5">
            <w:pPr>
              <w:pStyle w:val="Compact"/>
            </w:pPr>
            <w:r>
              <w:t>Consultation filtrée pour clients, livreurs et structures (rapport de lot de ramassage inclus).</w:t>
            </w:r>
          </w:p>
        </w:tc>
      </w:tr>
      <w:tr w:rsidR="00CE4CC2">
        <w:tc>
          <w:tcPr>
            <w:tcW w:w="0" w:type="auto"/>
          </w:tcPr>
          <w:p w:rsidR="00CE4CC2" w:rsidRDefault="003A06E5">
            <w:pPr>
              <w:pStyle w:val="Compact"/>
            </w:pPr>
            <w:r>
              <w:t>BF30</w:t>
            </w:r>
          </w:p>
        </w:tc>
        <w:tc>
          <w:tcPr>
            <w:tcW w:w="0" w:type="auto"/>
          </w:tcPr>
          <w:p w:rsidR="00CE4CC2" w:rsidRDefault="003A06E5">
            <w:pPr>
              <w:pStyle w:val="Compact"/>
            </w:pPr>
            <w:r>
              <w:t>Receveur tiers</w:t>
            </w:r>
          </w:p>
        </w:tc>
        <w:tc>
          <w:tcPr>
            <w:tcW w:w="0" w:type="auto"/>
          </w:tcPr>
          <w:p w:rsidR="00CE4CC2" w:rsidRDefault="003A06E5">
            <w:pPr>
              <w:pStyle w:val="Compact"/>
            </w:pPr>
            <w:r>
              <w:t xml:space="preserve">Détection automatique </w:t>
            </w:r>
            <w:r>
              <w:rPr>
                <w:rStyle w:val="VerbatimChar"/>
              </w:rPr>
              <w:t>hasApp</w:t>
            </w:r>
            <w:r>
              <w:t xml:space="preserve">. Si sans app : SMS + page </w:t>
            </w:r>
            <w:r>
              <w:rPr>
                <w:b/>
                <w:bCs/>
              </w:rPr>
              <w:t>PWA de suivi receveur</w:t>
            </w:r>
            <w:r>
              <w:t xml:space="preserve"> (ETA live, identité livreur, bouton appel) ; lien de partage de position envoyé à 500 m, précédé d’un écran de consentement minimal.</w:t>
            </w:r>
          </w:p>
        </w:tc>
      </w:tr>
    </w:tbl>
    <w:p w:rsidR="00CE4CC2" w:rsidRDefault="003A06E5">
      <w:pPr>
        <w:pStyle w:val="Titre2"/>
      </w:pPr>
      <w:bookmarkStart w:id="44" w:name="administration-et-pilotage"/>
      <w:bookmarkStart w:id="45" w:name="_Toc232734037"/>
      <w:bookmarkEnd w:id="42"/>
      <w:r>
        <w:t>7.6 Administration et pilotage</w:t>
      </w:r>
      <w:bookmarkEnd w:id="45"/>
    </w:p>
    <w:tbl>
      <w:tblPr>
        <w:tblStyle w:val="Table"/>
        <w:tblW w:w="5000" w:type="pct"/>
        <w:tblLook w:val="0020" w:firstRow="1" w:lastRow="0" w:firstColumn="0" w:lastColumn="0" w:noHBand="0" w:noVBand="0"/>
      </w:tblPr>
      <w:tblGrid>
        <w:gridCol w:w="790"/>
        <w:gridCol w:w="2239"/>
        <w:gridCol w:w="6213"/>
      </w:tblGrid>
      <w:tr w:rsidR="00CE4CC2" w:rsidTr="00CE4CC2">
        <w:trPr>
          <w:cnfStyle w:val="100000000000" w:firstRow="1" w:lastRow="0" w:firstColumn="0" w:lastColumn="0" w:oddVBand="0" w:evenVBand="0" w:oddHBand="0" w:evenHBand="0" w:firstRowFirstColumn="0" w:firstRowLastColumn="0" w:lastRowFirstColumn="0" w:lastRowLastColumn="0"/>
          <w:tblHeader/>
        </w:trPr>
        <w:tc>
          <w:tcPr>
            <w:tcW w:w="0" w:type="auto"/>
          </w:tcPr>
          <w:p w:rsidR="00CE4CC2" w:rsidRDefault="003A06E5">
            <w:pPr>
              <w:pStyle w:val="Compact"/>
            </w:pPr>
            <w:r>
              <w:t>Réf.</w:t>
            </w:r>
          </w:p>
        </w:tc>
        <w:tc>
          <w:tcPr>
            <w:tcW w:w="0" w:type="auto"/>
          </w:tcPr>
          <w:p w:rsidR="00CE4CC2" w:rsidRDefault="003A06E5">
            <w:pPr>
              <w:pStyle w:val="Compact"/>
            </w:pPr>
            <w:r>
              <w:t>Exigence</w:t>
            </w:r>
          </w:p>
        </w:tc>
        <w:tc>
          <w:tcPr>
            <w:tcW w:w="0" w:type="auto"/>
          </w:tcPr>
          <w:p w:rsidR="00CE4CC2" w:rsidRDefault="003A06E5">
            <w:pPr>
              <w:pStyle w:val="Compact"/>
            </w:pPr>
            <w:r>
              <w:t>Description</w:t>
            </w:r>
          </w:p>
        </w:tc>
      </w:tr>
      <w:tr w:rsidR="00CE4CC2">
        <w:tc>
          <w:tcPr>
            <w:tcW w:w="0" w:type="auto"/>
          </w:tcPr>
          <w:p w:rsidR="00CE4CC2" w:rsidRDefault="003A06E5">
            <w:pPr>
              <w:pStyle w:val="Compact"/>
            </w:pPr>
            <w:r>
              <w:t>BF31</w:t>
            </w:r>
          </w:p>
        </w:tc>
        <w:tc>
          <w:tcPr>
            <w:tcW w:w="0" w:type="auto"/>
          </w:tcPr>
          <w:p w:rsidR="00CE4CC2" w:rsidRDefault="003A06E5">
            <w:pPr>
              <w:pStyle w:val="Compact"/>
            </w:pPr>
            <w:r>
              <w:t>Dashboard opérationnel (co-admins)</w:t>
            </w:r>
          </w:p>
        </w:tc>
        <w:tc>
          <w:tcPr>
            <w:tcW w:w="0" w:type="auto"/>
          </w:tcPr>
          <w:p w:rsidR="00CE4CC2" w:rsidRDefault="003A06E5">
            <w:pPr>
              <w:pStyle w:val="Compact"/>
            </w:pPr>
            <w:r>
              <w:t>KPIs, livraisons actives, livreurs, litiges, partenaires.</w:t>
            </w:r>
          </w:p>
        </w:tc>
      </w:tr>
      <w:tr w:rsidR="00CE4CC2">
        <w:tc>
          <w:tcPr>
            <w:tcW w:w="0" w:type="auto"/>
          </w:tcPr>
          <w:p w:rsidR="00CE4CC2" w:rsidRDefault="003A06E5">
            <w:pPr>
              <w:pStyle w:val="Compact"/>
            </w:pPr>
            <w:r>
              <w:t>BF32</w:t>
            </w:r>
          </w:p>
        </w:tc>
        <w:tc>
          <w:tcPr>
            <w:tcW w:w="0" w:type="auto"/>
          </w:tcPr>
          <w:p w:rsidR="00CE4CC2" w:rsidRDefault="003A06E5">
            <w:pPr>
              <w:pStyle w:val="Compact"/>
            </w:pPr>
            <w:r>
              <w:t>Dashboard super admin</w:t>
            </w:r>
          </w:p>
        </w:tc>
        <w:tc>
          <w:tcPr>
            <w:tcW w:w="0" w:type="auto"/>
          </w:tcPr>
          <w:p w:rsidR="00CE4CC2" w:rsidRDefault="003A06E5">
            <w:pPr>
              <w:pStyle w:val="Compact"/>
            </w:pPr>
            <w:r>
              <w:t>Finances consolidées (revenus, charges, masse salariale, marge), modèle économique, journaux de sécurité, journaux de décision IA. Réservé.</w:t>
            </w:r>
          </w:p>
        </w:tc>
      </w:tr>
      <w:tr w:rsidR="00CE4CC2">
        <w:tc>
          <w:tcPr>
            <w:tcW w:w="0" w:type="auto"/>
          </w:tcPr>
          <w:p w:rsidR="00CE4CC2" w:rsidRDefault="003A06E5">
            <w:pPr>
              <w:pStyle w:val="Compact"/>
            </w:pPr>
            <w:r>
              <w:lastRenderedPageBreak/>
              <w:t>BF33</w:t>
            </w:r>
          </w:p>
        </w:tc>
        <w:tc>
          <w:tcPr>
            <w:tcW w:w="0" w:type="auto"/>
          </w:tcPr>
          <w:p w:rsidR="00CE4CC2" w:rsidRDefault="003A06E5">
            <w:pPr>
              <w:pStyle w:val="Compact"/>
            </w:pPr>
            <w:r>
              <w:t>Gestion des litiges</w:t>
            </w:r>
          </w:p>
        </w:tc>
        <w:tc>
          <w:tcPr>
            <w:tcW w:w="0" w:type="auto"/>
          </w:tcPr>
          <w:p w:rsidR="00CE4CC2" w:rsidRDefault="003A06E5">
            <w:pPr>
              <w:pStyle w:val="Compact"/>
            </w:pPr>
            <w:r>
              <w:t>Accès aux preuves (photos, GPS, chat, journaux IA) ; déductions imputables ; SLA 48 h (Standard), 24 h (Business), 12 h (Premium).</w:t>
            </w:r>
          </w:p>
        </w:tc>
      </w:tr>
      <w:tr w:rsidR="00CE4CC2">
        <w:tc>
          <w:tcPr>
            <w:tcW w:w="0" w:type="auto"/>
          </w:tcPr>
          <w:p w:rsidR="00CE4CC2" w:rsidRDefault="003A06E5">
            <w:pPr>
              <w:pStyle w:val="Compact"/>
            </w:pPr>
            <w:r>
              <w:t>BF34</w:t>
            </w:r>
          </w:p>
        </w:tc>
        <w:tc>
          <w:tcPr>
            <w:tcW w:w="0" w:type="auto"/>
          </w:tcPr>
          <w:p w:rsidR="00CE4CC2" w:rsidRDefault="003A06E5">
            <w:pPr>
              <w:pStyle w:val="Compact"/>
            </w:pPr>
            <w:r>
              <w:t>Pénalités bloquantes</w:t>
            </w:r>
          </w:p>
        </w:tc>
        <w:tc>
          <w:tcPr>
            <w:tcW w:w="0" w:type="auto"/>
          </w:tcPr>
          <w:p w:rsidR="00CE4CC2" w:rsidRDefault="003A06E5">
            <w:pPr>
              <w:pStyle w:val="Compact"/>
            </w:pPr>
            <w:r>
              <w:t xml:space="preserve">Enregistrement d’une dette ; </w:t>
            </w:r>
            <w:r>
              <w:rPr>
                <w:b/>
                <w:bCs/>
              </w:rPr>
              <w:t>toute nouvelle commande est bloquée</w:t>
            </w:r>
            <w:r>
              <w:t xml:space="preserve"> tant que la dette n’est pas réglée ; 3 incidents en 30 j → suspension 30 j (§9.3).</w:t>
            </w:r>
          </w:p>
        </w:tc>
      </w:tr>
      <w:tr w:rsidR="00CE4CC2">
        <w:tc>
          <w:tcPr>
            <w:tcW w:w="0" w:type="auto"/>
          </w:tcPr>
          <w:p w:rsidR="00CE4CC2" w:rsidRDefault="003A06E5">
            <w:pPr>
              <w:pStyle w:val="Compact"/>
            </w:pPr>
            <w:r>
              <w:t>BF35</w:t>
            </w:r>
          </w:p>
        </w:tc>
        <w:tc>
          <w:tcPr>
            <w:tcW w:w="0" w:type="auto"/>
          </w:tcPr>
          <w:p w:rsidR="00CE4CC2" w:rsidRDefault="003A06E5">
            <w:pPr>
              <w:pStyle w:val="Compact"/>
            </w:pPr>
            <w:r>
              <w:t>Paramétrage IA et tarifaire</w:t>
            </w:r>
          </w:p>
        </w:tc>
        <w:tc>
          <w:tcPr>
            <w:tcW w:w="0" w:type="auto"/>
          </w:tcPr>
          <w:p w:rsidR="00CE4CC2" w:rsidRDefault="003A06E5">
            <w:pPr>
              <w:pStyle w:val="Compact"/>
            </w:pPr>
            <w:r>
              <w:t>Coefficients d’attribution, seuils GPS, paramètres de tarification, suppléments de zone, vitesses par zone. Super admin uniquement.</w:t>
            </w:r>
          </w:p>
        </w:tc>
      </w:tr>
      <w:tr w:rsidR="00CE4CC2">
        <w:tc>
          <w:tcPr>
            <w:tcW w:w="0" w:type="auto"/>
          </w:tcPr>
          <w:p w:rsidR="00CE4CC2" w:rsidRDefault="003A06E5">
            <w:pPr>
              <w:pStyle w:val="Compact"/>
            </w:pPr>
            <w:r>
              <w:t>BF36</w:t>
            </w:r>
          </w:p>
        </w:tc>
        <w:tc>
          <w:tcPr>
            <w:tcW w:w="0" w:type="auto"/>
          </w:tcPr>
          <w:p w:rsidR="00CE4CC2" w:rsidRDefault="003A06E5">
            <w:pPr>
              <w:pStyle w:val="Compact"/>
            </w:pPr>
            <w:r>
              <w:t>Gestion des promotions</w:t>
            </w:r>
          </w:p>
        </w:tc>
        <w:tc>
          <w:tcPr>
            <w:tcW w:w="0" w:type="auto"/>
          </w:tcPr>
          <w:p w:rsidR="00CE4CC2" w:rsidRDefault="003A06E5">
            <w:pPr>
              <w:pStyle w:val="Compact"/>
            </w:pPr>
            <w:r>
              <w:t>Codes promo, campagnes, plafonds configurables, parrainage.</w:t>
            </w:r>
          </w:p>
        </w:tc>
      </w:tr>
      <w:tr w:rsidR="00CE4CC2">
        <w:tc>
          <w:tcPr>
            <w:tcW w:w="0" w:type="auto"/>
          </w:tcPr>
          <w:p w:rsidR="00CE4CC2" w:rsidRDefault="003A06E5">
            <w:pPr>
              <w:pStyle w:val="Compact"/>
            </w:pPr>
            <w:r>
              <w:t>BF37</w:t>
            </w:r>
          </w:p>
        </w:tc>
        <w:tc>
          <w:tcPr>
            <w:tcW w:w="0" w:type="auto"/>
          </w:tcPr>
          <w:p w:rsidR="00CE4CC2" w:rsidRDefault="003A06E5">
            <w:pPr>
              <w:pStyle w:val="Compact"/>
            </w:pPr>
            <w:r>
              <w:t>Gestion des co-admins</w:t>
            </w:r>
          </w:p>
        </w:tc>
        <w:tc>
          <w:tcPr>
            <w:tcW w:w="0" w:type="auto"/>
          </w:tcPr>
          <w:p w:rsidR="00CE4CC2" w:rsidRDefault="003A06E5">
            <w:pPr>
              <w:pStyle w:val="Compact"/>
            </w:pPr>
            <w:r>
              <w:t>2 co-admins, droits opérationnels complets, restrictions explicites (finances, modèle économique, création d’admins, logs sécurité).</w:t>
            </w:r>
          </w:p>
        </w:tc>
      </w:tr>
      <w:tr w:rsidR="00CE4CC2">
        <w:tc>
          <w:tcPr>
            <w:tcW w:w="0" w:type="auto"/>
          </w:tcPr>
          <w:p w:rsidR="00CE4CC2" w:rsidRDefault="003A06E5">
            <w:pPr>
              <w:pStyle w:val="Compact"/>
            </w:pPr>
            <w:r>
              <w:t>BF38</w:t>
            </w:r>
          </w:p>
        </w:tc>
        <w:tc>
          <w:tcPr>
            <w:tcW w:w="0" w:type="auto"/>
          </w:tcPr>
          <w:p w:rsidR="00CE4CC2" w:rsidRDefault="003A06E5">
            <w:pPr>
              <w:pStyle w:val="Compact"/>
            </w:pPr>
            <w:r>
              <w:t>Rémunération des livreurs</w:t>
            </w:r>
          </w:p>
        </w:tc>
        <w:tc>
          <w:tcPr>
            <w:tcW w:w="0" w:type="auto"/>
          </w:tcPr>
          <w:p w:rsidR="00CE4CC2" w:rsidRDefault="007D152D" w:rsidP="007D152D">
            <w:pPr>
              <w:pStyle w:val="Compact"/>
            </w:pPr>
            <w:r>
              <w:t xml:space="preserve">80% sur chaque livraison + pourboirs (éventuel) + </w:t>
            </w:r>
            <w:r>
              <w:rPr>
                <w:b/>
                <w:bCs/>
              </w:rPr>
              <w:t xml:space="preserve">prime de performance </w:t>
            </w:r>
            <w:r>
              <w:t>(éventuel) par MoMo (§11.2).</w:t>
            </w:r>
          </w:p>
        </w:tc>
      </w:tr>
      <w:tr w:rsidR="00CE4CC2">
        <w:tc>
          <w:tcPr>
            <w:tcW w:w="0" w:type="auto"/>
          </w:tcPr>
          <w:p w:rsidR="00CE4CC2" w:rsidRDefault="003A06E5">
            <w:pPr>
              <w:pStyle w:val="Compact"/>
            </w:pPr>
            <w:r>
              <w:t>BF39</w:t>
            </w:r>
          </w:p>
        </w:tc>
        <w:tc>
          <w:tcPr>
            <w:tcW w:w="0" w:type="auto"/>
          </w:tcPr>
          <w:p w:rsidR="00CE4CC2" w:rsidRDefault="003A06E5">
            <w:pPr>
              <w:pStyle w:val="Compact"/>
            </w:pPr>
            <w:r>
              <w:t>Notifications super admin</w:t>
            </w:r>
          </w:p>
        </w:tc>
        <w:tc>
          <w:tcPr>
            <w:tcW w:w="0" w:type="auto"/>
          </w:tcPr>
          <w:p w:rsidR="00CE4CC2" w:rsidRDefault="003A06E5">
            <w:pPr>
              <w:pStyle w:val="Compact"/>
            </w:pPr>
            <w:r>
              <w:t>Rapports financiers quotidiens/hebdomadaires par e-mail ; alertes critiques système.</w:t>
            </w:r>
          </w:p>
        </w:tc>
      </w:tr>
      <w:tr w:rsidR="00CE4CC2">
        <w:tc>
          <w:tcPr>
            <w:tcW w:w="0" w:type="auto"/>
          </w:tcPr>
          <w:p w:rsidR="00CE4CC2" w:rsidRDefault="003A06E5">
            <w:pPr>
              <w:pStyle w:val="Compact"/>
            </w:pPr>
            <w:r>
              <w:t>BF40</w:t>
            </w:r>
          </w:p>
        </w:tc>
        <w:tc>
          <w:tcPr>
            <w:tcW w:w="0" w:type="auto"/>
          </w:tcPr>
          <w:p w:rsidR="00CE4CC2" w:rsidRDefault="003A06E5">
            <w:pPr>
              <w:pStyle w:val="Compact"/>
            </w:pPr>
            <w:r>
              <w:t>Journalisation d’audit et IA</w:t>
            </w:r>
          </w:p>
        </w:tc>
        <w:tc>
          <w:tcPr>
            <w:tcW w:w="0" w:type="auto"/>
          </w:tcPr>
          <w:p w:rsidR="00CE4CC2" w:rsidRDefault="003A06E5">
            <w:pPr>
              <w:pStyle w:val="Compact"/>
            </w:pPr>
            <w:r>
              <w:t xml:space="preserve">Journaux d’audit immuables des actions sensibles </w:t>
            </w:r>
            <w:r>
              <w:rPr>
                <w:b/>
                <w:bCs/>
              </w:rPr>
              <w:t>et</w:t>
            </w:r>
            <w:r>
              <w:t xml:space="preserve"> journalisation des entrées/sorties des décisions de l’Agent IA (attribution, prix) pour audit et arbitrage des litiges.</w:t>
            </w:r>
          </w:p>
        </w:tc>
      </w:tr>
    </w:tbl>
    <w:p w:rsidR="00CE4CC2" w:rsidRDefault="003A06E5">
      <w:r>
        <w:pict>
          <v:rect id="_x0000_i1031" style="width:0;height:1.5pt" o:hralign="center" o:hrstd="t" o:hr="t"/>
        </w:pict>
      </w:r>
    </w:p>
    <w:p w:rsidR="00CE4CC2" w:rsidRDefault="003A06E5">
      <w:pPr>
        <w:pStyle w:val="Titre1"/>
      </w:pPr>
      <w:bookmarkStart w:id="46" w:name="exigences-non-fonctionnelles"/>
      <w:bookmarkStart w:id="47" w:name="_Toc232734038"/>
      <w:bookmarkEnd w:id="32"/>
      <w:bookmarkEnd w:id="44"/>
      <w:r>
        <w:t>8. Exigences non fonctionnelles</w:t>
      </w:r>
      <w:bookmarkEnd w:id="47"/>
    </w:p>
    <w:tbl>
      <w:tblPr>
        <w:tblStyle w:val="Table"/>
        <w:tblW w:w="5000" w:type="pct"/>
        <w:tblLook w:val="0020" w:firstRow="1" w:lastRow="0" w:firstColumn="0" w:lastColumn="0" w:noHBand="0" w:noVBand="0"/>
      </w:tblPr>
      <w:tblGrid>
        <w:gridCol w:w="963"/>
        <w:gridCol w:w="2000"/>
        <w:gridCol w:w="6279"/>
      </w:tblGrid>
      <w:tr w:rsidR="00CE4CC2" w:rsidTr="00CE4CC2">
        <w:trPr>
          <w:cnfStyle w:val="100000000000" w:firstRow="1" w:lastRow="0" w:firstColumn="0" w:lastColumn="0" w:oddVBand="0" w:evenVBand="0" w:oddHBand="0" w:evenHBand="0" w:firstRowFirstColumn="0" w:firstRowLastColumn="0" w:lastRowFirstColumn="0" w:lastRowLastColumn="0"/>
          <w:tblHeader/>
        </w:trPr>
        <w:tc>
          <w:tcPr>
            <w:tcW w:w="0" w:type="auto"/>
          </w:tcPr>
          <w:p w:rsidR="00CE4CC2" w:rsidRDefault="003A06E5">
            <w:pPr>
              <w:pStyle w:val="Compact"/>
            </w:pPr>
            <w:r>
              <w:t>Réf.</w:t>
            </w:r>
          </w:p>
        </w:tc>
        <w:tc>
          <w:tcPr>
            <w:tcW w:w="0" w:type="auto"/>
          </w:tcPr>
          <w:p w:rsidR="00CE4CC2" w:rsidRDefault="003A06E5">
            <w:pPr>
              <w:pStyle w:val="Compact"/>
            </w:pPr>
            <w:r>
              <w:t>Besoin</w:t>
            </w:r>
          </w:p>
        </w:tc>
        <w:tc>
          <w:tcPr>
            <w:tcW w:w="0" w:type="auto"/>
          </w:tcPr>
          <w:p w:rsidR="00CE4CC2" w:rsidRDefault="003A06E5">
            <w:pPr>
              <w:pStyle w:val="Compact"/>
            </w:pPr>
            <w:r>
              <w:t>Critère mesurable</w:t>
            </w:r>
          </w:p>
        </w:tc>
      </w:tr>
      <w:tr w:rsidR="00CE4CC2">
        <w:tc>
          <w:tcPr>
            <w:tcW w:w="0" w:type="auto"/>
          </w:tcPr>
          <w:p w:rsidR="00CE4CC2" w:rsidRDefault="003A06E5">
            <w:pPr>
              <w:pStyle w:val="Compact"/>
            </w:pPr>
            <w:r>
              <w:t>BNF01</w:t>
            </w:r>
          </w:p>
        </w:tc>
        <w:tc>
          <w:tcPr>
            <w:tcW w:w="0" w:type="auto"/>
          </w:tcPr>
          <w:p w:rsidR="00CE4CC2" w:rsidRDefault="003A06E5">
            <w:pPr>
              <w:pStyle w:val="Compact"/>
            </w:pPr>
            <w:r>
              <w:t>Performance</w:t>
            </w:r>
          </w:p>
        </w:tc>
        <w:tc>
          <w:tcPr>
            <w:tcW w:w="0" w:type="auto"/>
          </w:tcPr>
          <w:p w:rsidR="00CE4CC2" w:rsidRDefault="003A06E5">
            <w:pPr>
              <w:pStyle w:val="Compact"/>
            </w:pPr>
            <w:r>
              <w:t>Temps de réponse API &lt; 2 s (P95) ; mise à jour GPS &lt; 5 s ; décision d’attribution IA &lt; 2 s (avec cache des matrices de distance).</w:t>
            </w:r>
          </w:p>
        </w:tc>
      </w:tr>
      <w:tr w:rsidR="00CE4CC2">
        <w:tc>
          <w:tcPr>
            <w:tcW w:w="0" w:type="auto"/>
          </w:tcPr>
          <w:p w:rsidR="00CE4CC2" w:rsidRDefault="003A06E5">
            <w:pPr>
              <w:pStyle w:val="Compact"/>
            </w:pPr>
            <w:r>
              <w:t>BNF02</w:t>
            </w:r>
          </w:p>
        </w:tc>
        <w:tc>
          <w:tcPr>
            <w:tcW w:w="0" w:type="auto"/>
          </w:tcPr>
          <w:p w:rsidR="00CE4CC2" w:rsidRDefault="003A06E5">
            <w:pPr>
              <w:pStyle w:val="Compact"/>
            </w:pPr>
            <w:r>
              <w:t>Disponibilité (MVP)</w:t>
            </w:r>
          </w:p>
        </w:tc>
        <w:tc>
          <w:tcPr>
            <w:tcW w:w="0" w:type="auto"/>
          </w:tcPr>
          <w:p w:rsidR="00CE4CC2" w:rsidRDefault="003A06E5">
            <w:pPr>
              <w:pStyle w:val="Compact"/>
            </w:pPr>
            <w:r>
              <w:rPr>
                <w:b/>
                <w:bCs/>
              </w:rPr>
              <w:t>≥ 99,0 %</w:t>
            </w:r>
            <w:r>
              <w:t xml:space="preserve"> en Phase 1 sur infrastructure mono-VPS (objectif </w:t>
            </w:r>
            <w:r>
              <w:rPr>
                <w:b/>
                <w:bCs/>
              </w:rPr>
              <w:t>99,5 %</w:t>
            </w:r>
            <w:r>
              <w:t xml:space="preserve"> atteint en Phase 2 après mise en haute disponibilité, §12.4). RTO &lt; 4 h, RPO &lt; 24 h.</w:t>
            </w:r>
          </w:p>
        </w:tc>
      </w:tr>
      <w:tr w:rsidR="00CE4CC2">
        <w:tc>
          <w:tcPr>
            <w:tcW w:w="0" w:type="auto"/>
          </w:tcPr>
          <w:p w:rsidR="00CE4CC2" w:rsidRDefault="003A06E5">
            <w:pPr>
              <w:pStyle w:val="Compact"/>
            </w:pPr>
            <w:r>
              <w:t>BNF03</w:t>
            </w:r>
          </w:p>
        </w:tc>
        <w:tc>
          <w:tcPr>
            <w:tcW w:w="0" w:type="auto"/>
          </w:tcPr>
          <w:p w:rsidR="00CE4CC2" w:rsidRDefault="003A06E5">
            <w:pPr>
              <w:pStyle w:val="Compact"/>
            </w:pPr>
            <w:r>
              <w:t>Sécurité</w:t>
            </w:r>
          </w:p>
        </w:tc>
        <w:tc>
          <w:tcPr>
            <w:tcW w:w="0" w:type="auto"/>
          </w:tcPr>
          <w:p w:rsidR="00CE4CC2" w:rsidRDefault="003A06E5">
            <w:pPr>
              <w:pStyle w:val="Compact"/>
            </w:pPr>
            <w:r>
              <w:t>TLS 1.3 en transit, AES-256 au repos, OTP/2FA, jetons signés, journaux d’audit immuables, SQLCipher, certificate pinning, détection root/jailbreak, antivirus ClamAV.</w:t>
            </w:r>
          </w:p>
        </w:tc>
      </w:tr>
      <w:tr w:rsidR="00CE4CC2">
        <w:tc>
          <w:tcPr>
            <w:tcW w:w="0" w:type="auto"/>
          </w:tcPr>
          <w:p w:rsidR="00CE4CC2" w:rsidRDefault="003A06E5">
            <w:pPr>
              <w:pStyle w:val="Compact"/>
            </w:pPr>
            <w:r>
              <w:t>BNF04</w:t>
            </w:r>
          </w:p>
        </w:tc>
        <w:tc>
          <w:tcPr>
            <w:tcW w:w="0" w:type="auto"/>
          </w:tcPr>
          <w:p w:rsidR="00CE4CC2" w:rsidRDefault="003A06E5">
            <w:pPr>
              <w:pStyle w:val="Compact"/>
            </w:pPr>
            <w:r>
              <w:t>Offline-first</w:t>
            </w:r>
          </w:p>
        </w:tc>
        <w:tc>
          <w:tcPr>
            <w:tcW w:w="0" w:type="auto"/>
          </w:tcPr>
          <w:p w:rsidR="00CE4CC2" w:rsidRDefault="003A06E5">
            <w:pPr>
              <w:pStyle w:val="Compact"/>
            </w:pPr>
            <w:r>
              <w:t xml:space="preserve">Cache local chiffré : missions en cours + profil + 10 dernières livraisons + </w:t>
            </w:r>
            <w:r>
              <w:rPr>
                <w:b/>
                <w:bCs/>
              </w:rPr>
              <w:t>jetons de confirmation signés</w:t>
            </w:r>
            <w:r>
              <w:t xml:space="preserve"> ; synchronisation différée avec résolution de conflits (§10.4).</w:t>
            </w:r>
          </w:p>
        </w:tc>
      </w:tr>
      <w:tr w:rsidR="00CE4CC2">
        <w:tc>
          <w:tcPr>
            <w:tcW w:w="0" w:type="auto"/>
          </w:tcPr>
          <w:p w:rsidR="00CE4CC2" w:rsidRDefault="003A06E5">
            <w:pPr>
              <w:pStyle w:val="Compact"/>
            </w:pPr>
            <w:r>
              <w:t>BNF05</w:t>
            </w:r>
          </w:p>
        </w:tc>
        <w:tc>
          <w:tcPr>
            <w:tcW w:w="0" w:type="auto"/>
          </w:tcPr>
          <w:p w:rsidR="00CE4CC2" w:rsidRDefault="003A06E5">
            <w:pPr>
              <w:pStyle w:val="Compact"/>
            </w:pPr>
            <w:r>
              <w:t>Évolutivité</w:t>
            </w:r>
          </w:p>
        </w:tc>
        <w:tc>
          <w:tcPr>
            <w:tcW w:w="0" w:type="auto"/>
          </w:tcPr>
          <w:p w:rsidR="00CE4CC2" w:rsidRDefault="003A06E5">
            <w:pPr>
              <w:pStyle w:val="Compact"/>
            </w:pPr>
            <w:r>
              <w:t xml:space="preserve">Architecture modulaire prête au découpage en services ; scalabilité </w:t>
            </w:r>
            <w:r>
              <w:rPr>
                <w:b/>
                <w:bCs/>
              </w:rPr>
              <w:t>verticale</w:t>
            </w:r>
            <w:r>
              <w:t xml:space="preserve"> en Phase 1, </w:t>
            </w:r>
            <w:r>
              <w:rPr>
                <w:b/>
                <w:bCs/>
              </w:rPr>
              <w:t>horizontale</w:t>
            </w:r>
            <w:r>
              <w:t xml:space="preserve"> en Phase 2 (§12.4).</w:t>
            </w:r>
          </w:p>
        </w:tc>
      </w:tr>
      <w:tr w:rsidR="00CE4CC2">
        <w:tc>
          <w:tcPr>
            <w:tcW w:w="0" w:type="auto"/>
          </w:tcPr>
          <w:p w:rsidR="00CE4CC2" w:rsidRDefault="003A06E5">
            <w:pPr>
              <w:pStyle w:val="Compact"/>
            </w:pPr>
            <w:r>
              <w:t>BNF06</w:t>
            </w:r>
          </w:p>
        </w:tc>
        <w:tc>
          <w:tcPr>
            <w:tcW w:w="0" w:type="auto"/>
          </w:tcPr>
          <w:p w:rsidR="00CE4CC2" w:rsidRDefault="003A06E5">
            <w:pPr>
              <w:pStyle w:val="Compact"/>
            </w:pPr>
            <w:r>
              <w:t>Maintenabilité</w:t>
            </w:r>
          </w:p>
        </w:tc>
        <w:tc>
          <w:tcPr>
            <w:tcW w:w="0" w:type="auto"/>
          </w:tcPr>
          <w:p w:rsidR="00CE4CC2" w:rsidRDefault="003A06E5">
            <w:pPr>
              <w:pStyle w:val="Compact"/>
            </w:pPr>
            <w:r>
              <w:t xml:space="preserve">Couverture de tests ≥ 70 % ; documentation OpenAPI </w:t>
              <w:lastRenderedPageBreak/>
              <w:t>3.0 générée automatiquement.</w:t>
            </w:r>
          </w:p>
        </w:tc>
      </w:tr>
      <w:tr w:rsidR="00CE4CC2">
        <w:tc>
          <w:tcPr>
            <w:tcW w:w="0" w:type="auto"/>
          </w:tcPr>
          <w:p w:rsidR="00CE4CC2" w:rsidRDefault="003A06E5">
            <w:pPr>
              <w:pStyle w:val="Compact"/>
            </w:pPr>
            <w:r>
              <w:lastRenderedPageBreak/>
              <w:t>BNF07</w:t>
            </w:r>
          </w:p>
        </w:tc>
        <w:tc>
          <w:tcPr>
            <w:tcW w:w="0" w:type="auto"/>
          </w:tcPr>
          <w:p w:rsidR="00CE4CC2" w:rsidRDefault="003A06E5">
            <w:pPr>
              <w:pStyle w:val="Compact"/>
            </w:pPr>
            <w:r>
              <w:t>Interopérabilité</w:t>
            </w:r>
          </w:p>
        </w:tc>
        <w:tc>
          <w:tcPr>
            <w:tcW w:w="0" w:type="auto"/>
          </w:tcPr>
          <w:p w:rsidR="00CE4CC2" w:rsidRDefault="003A06E5">
            <w:pPr>
              <w:pStyle w:val="Compact"/>
            </w:pPr>
            <w:r>
              <w:t xml:space="preserve">API REST versionnée </w:t>
            </w:r>
            <w:r>
              <w:rPr>
                <w:rStyle w:val="VerbatimChar"/>
              </w:rPr>
              <w:t>/api/v1/</w:t>
            </w:r>
            <w:r>
              <w:t xml:space="preserve"> ; conception ouverte aux intégrations futures.</w:t>
            </w:r>
          </w:p>
        </w:tc>
      </w:tr>
      <w:tr w:rsidR="00CE4CC2">
        <w:tc>
          <w:tcPr>
            <w:tcW w:w="0" w:type="auto"/>
          </w:tcPr>
          <w:p w:rsidR="00CE4CC2" w:rsidRDefault="003A06E5">
            <w:pPr>
              <w:pStyle w:val="Compact"/>
            </w:pPr>
            <w:r>
              <w:t>BNF08</w:t>
            </w:r>
          </w:p>
        </w:tc>
        <w:tc>
          <w:tcPr>
            <w:tcW w:w="0" w:type="auto"/>
          </w:tcPr>
          <w:p w:rsidR="00CE4CC2" w:rsidRDefault="003A06E5">
            <w:pPr>
              <w:pStyle w:val="Compact"/>
            </w:pPr>
            <w:r>
              <w:t>Conformité légale</w:t>
            </w:r>
          </w:p>
        </w:tc>
        <w:tc>
          <w:tcPr>
            <w:tcW w:w="0" w:type="auto"/>
          </w:tcPr>
          <w:p w:rsidR="00CE4CC2" w:rsidRDefault="003A06E5">
            <w:pPr>
              <w:pStyle w:val="Compact"/>
            </w:pPr>
            <w:r>
              <w:t xml:space="preserve">Lois N°2010/012 et N°2010/021, Code du travail, </w:t>
            </w:r>
            <w:r>
              <w:rPr>
                <w:b/>
                <w:bCs/>
              </w:rPr>
              <w:t>OHADA</w:t>
            </w:r>
            <w:r>
              <w:t xml:space="preserve"> (comptabilité), BEAC/COBAC ; consentement explicite.</w:t>
            </w:r>
          </w:p>
        </w:tc>
      </w:tr>
      <w:tr w:rsidR="00CE4CC2">
        <w:tc>
          <w:tcPr>
            <w:tcW w:w="0" w:type="auto"/>
          </w:tcPr>
          <w:p w:rsidR="00CE4CC2" w:rsidRDefault="003A06E5">
            <w:pPr>
              <w:pStyle w:val="Compact"/>
            </w:pPr>
            <w:r>
              <w:t>BNF09</w:t>
            </w:r>
          </w:p>
        </w:tc>
        <w:tc>
          <w:tcPr>
            <w:tcW w:w="0" w:type="auto"/>
          </w:tcPr>
          <w:p w:rsidR="00CE4CC2" w:rsidRDefault="003A06E5">
            <w:pPr>
              <w:pStyle w:val="Compact"/>
            </w:pPr>
            <w:r>
              <w:t>Gestion du temps</w:t>
            </w:r>
          </w:p>
        </w:tc>
        <w:tc>
          <w:tcPr>
            <w:tcW w:w="0" w:type="auto"/>
          </w:tcPr>
          <w:p w:rsidR="00CE4CC2" w:rsidRDefault="003A06E5">
            <w:pPr>
              <w:pStyle w:val="Compact"/>
            </w:pPr>
            <w:r>
              <w:t xml:space="preserve">Horodatages </w:t>
            </w:r>
            <w:r>
              <w:rPr>
                <w:b/>
                <w:bCs/>
              </w:rPr>
              <w:t>UTC</w:t>
            </w:r>
            <w:r>
              <w:t xml:space="preserve"> en base ; conversion en heure locale (UTC+1) côté frontend.</w:t>
            </w:r>
          </w:p>
        </w:tc>
      </w:tr>
      <w:tr w:rsidR="00CE4CC2">
        <w:tc>
          <w:tcPr>
            <w:tcW w:w="0" w:type="auto"/>
          </w:tcPr>
          <w:p w:rsidR="00CE4CC2" w:rsidRDefault="003A06E5">
            <w:pPr>
              <w:pStyle w:val="Compact"/>
            </w:pPr>
            <w:r>
              <w:t>BNF10</w:t>
            </w:r>
          </w:p>
        </w:tc>
        <w:tc>
          <w:tcPr>
            <w:tcW w:w="0" w:type="auto"/>
          </w:tcPr>
          <w:p w:rsidR="00CE4CC2" w:rsidRDefault="003A06E5">
            <w:pPr>
              <w:pStyle w:val="Compact"/>
            </w:pPr>
            <w:r>
              <w:t>Résilience</w:t>
            </w:r>
          </w:p>
        </w:tc>
        <w:tc>
          <w:tcPr>
            <w:tcW w:w="0" w:type="auto"/>
          </w:tcPr>
          <w:p w:rsidR="00CE4CC2" w:rsidRDefault="003A06E5">
            <w:pPr>
              <w:pStyle w:val="Compact"/>
            </w:pPr>
            <w:r>
              <w:t xml:space="preserve">Repli espèces si Mobile Money indisponible ; </w:t>
            </w:r>
            <w:r>
              <w:rPr>
                <w:b/>
                <w:bCs/>
              </w:rPr>
              <w:t>fournisseur cartographique de secours</w:t>
            </w:r>
            <w:r>
              <w:t xml:space="preserve"> (§12) ; confirmation hors-ligne par jeton signé.</w:t>
            </w:r>
          </w:p>
        </w:tc>
      </w:tr>
      <w:tr w:rsidR="00CE4CC2">
        <w:tc>
          <w:tcPr>
            <w:tcW w:w="0" w:type="auto"/>
          </w:tcPr>
          <w:p w:rsidR="00CE4CC2" w:rsidRDefault="003A06E5">
            <w:pPr>
              <w:pStyle w:val="Compact"/>
            </w:pPr>
            <w:r>
              <w:t>BNF11</w:t>
            </w:r>
          </w:p>
        </w:tc>
        <w:tc>
          <w:tcPr>
            <w:tcW w:w="0" w:type="auto"/>
          </w:tcPr>
          <w:p w:rsidR="00CE4CC2" w:rsidRDefault="003A06E5">
            <w:pPr>
              <w:pStyle w:val="Compact"/>
            </w:pPr>
            <w:r>
              <w:t>Vie privée livreur</w:t>
            </w:r>
          </w:p>
        </w:tc>
        <w:tc>
          <w:tcPr>
            <w:tcW w:w="0" w:type="auto"/>
          </w:tcPr>
          <w:p w:rsidR="00CE4CC2" w:rsidRDefault="003A06E5">
            <w:pPr>
              <w:pStyle w:val="Compact"/>
            </w:pPr>
            <w:r>
              <w:t>GPS collecté uniquement pendant une mission ; aucun suivi entre missions.</w:t>
            </w:r>
          </w:p>
        </w:tc>
      </w:tr>
      <w:tr w:rsidR="00CE4CC2">
        <w:tc>
          <w:tcPr>
            <w:tcW w:w="0" w:type="auto"/>
          </w:tcPr>
          <w:p w:rsidR="00CE4CC2" w:rsidRDefault="003A06E5">
            <w:pPr>
              <w:pStyle w:val="Compact"/>
            </w:pPr>
            <w:r>
              <w:t>BNF12</w:t>
            </w:r>
          </w:p>
        </w:tc>
        <w:tc>
          <w:tcPr>
            <w:tcW w:w="0" w:type="auto"/>
          </w:tcPr>
          <w:p w:rsidR="00CE4CC2" w:rsidRDefault="003A06E5">
            <w:pPr>
              <w:pStyle w:val="Compact"/>
            </w:pPr>
            <w:r>
              <w:t>Accessibilité &amp; langue</w:t>
            </w:r>
          </w:p>
        </w:tc>
        <w:tc>
          <w:tcPr>
            <w:tcW w:w="0" w:type="auto"/>
          </w:tcPr>
          <w:p w:rsidR="00CE4CC2" w:rsidRDefault="003A06E5">
            <w:pPr>
              <w:pStyle w:val="Compact"/>
            </w:pPr>
            <w:r>
              <w:t xml:space="preserve">Interface </w:t>
            </w:r>
            <w:r>
              <w:rPr>
                <w:b/>
                <w:bCs/>
              </w:rPr>
              <w:t>bilingue FR/EN</w:t>
            </w:r>
            <w:r>
              <w:t xml:space="preserve"> ; libellés clairs et iconographie pour publics peu lettrés.</w:t>
            </w:r>
          </w:p>
        </w:tc>
      </w:tr>
    </w:tbl>
    <w:p w:rsidR="00CE4CC2" w:rsidRDefault="003A06E5">
      <w:r>
        <w:pict>
          <v:rect id="_x0000_i1032" style="width:0;height:1.5pt" o:hralign="center" o:hrstd="t" o:hr="t"/>
        </w:pict>
      </w:r>
    </w:p>
    <w:p w:rsidR="00CE4CC2" w:rsidRDefault="003A06E5">
      <w:pPr>
        <w:pStyle w:val="Titre1"/>
      </w:pPr>
      <w:bookmarkStart w:id="48" w:name="règles-de-gestion-formalisées"/>
      <w:bookmarkStart w:id="49" w:name="_Toc232734039"/>
      <w:bookmarkEnd w:id="46"/>
      <w:r>
        <w:t>9. Règles de gestion (formalisées)</w:t>
      </w:r>
      <w:bookmarkEnd w:id="49"/>
    </w:p>
    <w:p w:rsidR="00CE4CC2" w:rsidRDefault="003A06E5">
      <w:pPr>
        <w:pStyle w:val="Titre2"/>
      </w:pPr>
      <w:bookmarkStart w:id="50" w:name="tarification-formule-canonique-décision"/>
      <w:bookmarkStart w:id="51" w:name="_Toc232734040"/>
      <w:r>
        <w:t xml:space="preserve">9.1 Tarification — formule canonique </w:t>
      </w:r>
      <w:r>
        <w:rPr>
          <w:i/>
          <w:iCs/>
        </w:rPr>
        <w:t>[Décision]</w:t>
      </w:r>
      <w:bookmarkEnd w:id="51"/>
    </w:p>
    <w:p w:rsidR="00CE4CC2" w:rsidRDefault="003A06E5">
      <w:pPr>
        <w:pStyle w:val="FirstParagraph"/>
      </w:pPr>
      <w:r>
        <w:t xml:space="preserve">L’ordre d’application est </w:t>
      </w:r>
      <w:r>
        <w:rPr>
          <w:b/>
          <w:bCs/>
        </w:rPr>
        <w:t>strict et non commutatif</w:t>
      </w:r>
      <w:r>
        <w:t xml:space="preserve"> :</w:t>
      </w:r>
    </w:p>
    <w:p w:rsidR="00CE4CC2" w:rsidRDefault="003A06E5">
      <w:pPr>
        <w:pStyle w:val="Compact"/>
        <w:numPr>
          <w:ilvl w:val="0"/>
          <w:numId w:val="2"/>
        </w:numPr>
      </w:pPr>
      <w:r>
        <w:rPr>
          <w:b/>
          <w:bCs/>
        </w:rPr>
        <w:t>Prix brut</w:t>
      </w:r>
      <w:r>
        <w:t xml:space="preserve"> = </w:t>
      </w:r>
      <w:r>
        <w:rPr>
          <w:rStyle w:val="VerbatimChar"/>
        </w:rPr>
        <w:t>Base + (Prix_km × distance_km) + (Prix_kg × poids_kg) + Supplément_urgence + Supplément_zone</w:t>
      </w:r>
    </w:p>
    <w:p w:rsidR="00CE4CC2" w:rsidRDefault="003A06E5">
      <w:pPr>
        <w:pStyle w:val="Compact"/>
        <w:numPr>
          <w:ilvl w:val="1"/>
          <w:numId w:val="3"/>
        </w:numPr>
      </w:pPr>
      <w:r>
        <w:t>Base = 500 ; Prix_km = 150 ; Prix_kg = 100 ; Supplément_urgence = 1000 (si urgente).</w:t>
      </w:r>
    </w:p>
    <w:p w:rsidR="00CE4CC2" w:rsidRDefault="003A06E5">
      <w:pPr>
        <w:pStyle w:val="Compact"/>
        <w:numPr>
          <w:ilvl w:val="1"/>
          <w:numId w:val="3"/>
        </w:numPr>
      </w:pPr>
      <w:r>
        <w:t xml:space="preserve">Suppléments de zone : Zone 1 (centre) = 0 ; Zone 2 (périphérie) = +200 ; Zone 3 (excentrée/difficile) = +500. </w:t>
      </w:r>
      <w:r>
        <w:rPr>
          <w:i/>
          <w:iCs/>
        </w:rPr>
        <w:t>(Paramétrable.)</w:t>
      </w:r>
    </w:p>
    <w:p w:rsidR="00CE4CC2" w:rsidRDefault="003A06E5">
      <w:pPr>
        <w:pStyle w:val="Compact"/>
        <w:numPr>
          <w:ilvl w:val="0"/>
          <w:numId w:val="2"/>
        </w:numPr>
      </w:pPr>
      <w:r>
        <w:rPr>
          <w:b/>
          <w:bCs/>
        </w:rPr>
        <w:t>Réductions proportionnelles</w:t>
      </w:r>
      <w:r>
        <w:t xml:space="preserve"> (multiplicatives, non additives) : </w:t>
      </w:r>
      <w:r>
        <w:rPr>
          <w:rStyle w:val="VerbatimChar"/>
        </w:rPr>
        <w:t>× (1 − r_palier) × (1 − r_ramassage)</w:t>
      </w:r>
    </w:p>
    <w:p w:rsidR="00CE4CC2" w:rsidRDefault="003A06E5">
      <w:pPr>
        <w:pStyle w:val="Compact"/>
        <w:numPr>
          <w:ilvl w:val="1"/>
          <w:numId w:val="4"/>
        </w:numPr>
      </w:pPr>
      <w:r>
        <w:t>r_palier ∈ {0 ; 0,10 ; 0,20} ; r_ramassage = 0,15 si lot de ramassage.</w:t>
      </w:r>
    </w:p>
    <w:p w:rsidR="00CE4CC2" w:rsidRDefault="003A06E5">
      <w:pPr>
        <w:pStyle w:val="Compact"/>
        <w:numPr>
          <w:ilvl w:val="0"/>
          <w:numId w:val="2"/>
        </w:numPr>
      </w:pPr>
      <w:r>
        <w:rPr>
          <w:b/>
          <w:bCs/>
        </w:rPr>
        <w:t>Réduction fixe</w:t>
      </w:r>
      <w:r>
        <w:t xml:space="preserve"> : </w:t>
      </w:r>
      <w:r>
        <w:rPr>
          <w:rStyle w:val="VerbatimChar"/>
        </w:rPr>
        <w:t>− 200</w:t>
      </w:r>
      <w:r>
        <w:t xml:space="preserve"> si livraison programmée.</w:t>
      </w:r>
    </w:p>
    <w:p w:rsidR="00CE4CC2" w:rsidRDefault="003A06E5">
      <w:pPr>
        <w:pStyle w:val="Compact"/>
        <w:numPr>
          <w:ilvl w:val="0"/>
          <w:numId w:val="2"/>
        </w:numPr>
      </w:pPr>
      <w:r>
        <w:rPr>
          <w:b/>
          <w:bCs/>
        </w:rPr>
        <w:t>Plancher</w:t>
      </w:r>
      <w:r>
        <w:t xml:space="preserve"> : </w:t>
      </w:r>
      <w:r>
        <w:rPr>
          <w:rStyle w:val="VerbatimChar"/>
        </w:rPr>
        <w:t>Prix = max(Prix, 1000)</w:t>
      </w:r>
      <w:r>
        <w:t>.</w:t>
      </w:r>
    </w:p>
    <w:p w:rsidR="00CE4CC2" w:rsidRDefault="003A06E5">
      <w:pPr>
        <w:pStyle w:val="Compact"/>
        <w:numPr>
          <w:ilvl w:val="0"/>
          <w:numId w:val="2"/>
        </w:numPr>
      </w:pPr>
      <w:r>
        <w:rPr>
          <w:b/>
          <w:bCs/>
        </w:rPr>
        <w:t>Arrondi</w:t>
      </w:r>
      <w:r>
        <w:t xml:space="preserve"> : au multiple de 50 XAF supérieur.</w:t>
      </w:r>
    </w:p>
    <w:p w:rsidR="00CE4CC2" w:rsidRDefault="003A06E5">
      <w:pPr>
        <w:pStyle w:val="FirstParagraph"/>
      </w:pPr>
      <w:r>
        <w:rPr>
          <w:b/>
          <w:bCs/>
        </w:rPr>
        <w:t>Commande inversée</w:t>
      </w:r>
      <w:r>
        <w:t xml:space="preserve"> : la formule s’applique à la </w:t>
      </w:r>
      <w:r>
        <w:rPr>
          <w:b/>
          <w:bCs/>
        </w:rPr>
        <w:t>distance totale des deux tronçons</w:t>
      </w:r>
      <w:r>
        <w:t xml:space="preserve"> (collecteur → tiers → destination). </w:t>
      </w:r>
      <w:r>
        <w:rPr>
          <w:b/>
          <w:bCs/>
        </w:rPr>
        <w:t>Inter-villes</w:t>
      </w:r>
      <w:r>
        <w:t xml:space="preserve"> : prix standard du tronçon de collecte + </w:t>
      </w:r>
      <w:r>
        <w:rPr>
          <w:b/>
          <w:bCs/>
        </w:rPr>
        <w:t>500 XAF fixes</w:t>
      </w:r>
      <w:r>
        <w:t>.</w:t>
      </w:r>
    </w:p>
    <w:p>
      <w:pPr>
        <w:pStyle w:val="FirstParagraph"/>
      </w:pPr>
      <w:r>
        <w:rPr>
          <w:b/>
        </w:rPr>
        <w:t xml:space="preserve">Supplément transport [Décision] : </w:t>
      </w:r>
      <w:r>
        <w:t>un supplément paramétrable peut être ajouté au prix (et donc facturé au client) sur les zones et distances où un transport payant est réellement nécessaire (par exemple Zone 3, ou distance au-delà d'un seuil configurable). Il s'agit de tarification, non d'un remboursement de frais : le statut non salarié du livreur est préservé, tout en garantissant la viabilité des courses pour les livreurs sans véhicule. Les paramètres sont regroupés dans une configuration tarifaire (tarification_params).</w:t>
      </w:r>
    </w:p>
    <w:p w:rsidR="00CE4CC2" w:rsidRDefault="003A06E5">
      <w:pPr>
        <w:pStyle w:val="Titre2"/>
      </w:pPr>
      <w:bookmarkStart w:id="52" w:name="score-composite-dattribution-décision"/>
      <w:bookmarkStart w:id="53" w:name="_Toc232734041"/>
      <w:bookmarkEnd w:id="50"/>
      <w:r>
        <w:t xml:space="preserve">9.2 Score composite d’attribution </w:t>
      </w:r>
      <w:r>
        <w:rPr>
          <w:i/>
          <w:iCs/>
        </w:rPr>
        <w:t>[Décision]</w:t>
      </w:r>
      <w:bookmarkEnd w:id="53"/>
    </w:p>
    <w:p w:rsidR="00CE4CC2" w:rsidRDefault="003A06E5">
      <w:pPr>
        <w:pStyle w:val="FirstParagraph"/>
      </w:pPr>
      <w:r>
        <w:t>Indicateur 0–100, somme pondérée explicite (total 100 %) :</w:t>
      </w:r>
    </w:p>
    <w:tbl>
      <w:tblPr>
        <w:tblStyle w:val="Table"/>
        <w:tblW w:w="0" w:type="auto"/>
        <w:tblLook w:val="0020" w:firstRow="1" w:lastRow="0" w:firstColumn="0" w:lastColumn="0" w:noHBand="0" w:noVBand="0"/>
      </w:tblPr>
      <w:tblGrid>
        <w:gridCol w:w="2698"/>
        <w:gridCol w:w="817"/>
        <w:gridCol w:w="5192"/>
      </w:tblGrid>
      <w:tr w:rsidR="00CE4CC2" w:rsidTr="00CE4CC2">
        <w:trPr>
          <w:cnfStyle w:val="100000000000" w:firstRow="1" w:lastRow="0" w:firstColumn="0" w:lastColumn="0" w:oddVBand="0" w:evenVBand="0" w:oddHBand="0" w:evenHBand="0" w:firstRowFirstColumn="0" w:firstRowLastColumn="0" w:lastRowFirstColumn="0" w:lastRowLastColumn="0"/>
          <w:tblHeader/>
        </w:trPr>
        <w:tc>
          <w:tcPr>
            <w:tcW w:w="0" w:type="auto"/>
          </w:tcPr>
          <w:p w:rsidR="00CE4CC2" w:rsidRDefault="003A06E5">
            <w:pPr>
              <w:pStyle w:val="Compact"/>
            </w:pPr>
            <w:r>
              <w:t>Composante</w:t>
            </w:r>
          </w:p>
        </w:tc>
        <w:tc>
          <w:tcPr>
            <w:tcW w:w="0" w:type="auto"/>
          </w:tcPr>
          <w:p w:rsidR="00CE4CC2" w:rsidRDefault="003A06E5">
            <w:pPr>
              <w:pStyle w:val="Compact"/>
            </w:pPr>
            <w:r>
              <w:t>Poids</w:t>
            </w:r>
          </w:p>
        </w:tc>
        <w:tc>
          <w:tcPr>
            <w:tcW w:w="0" w:type="auto"/>
          </w:tcPr>
          <w:p w:rsidR="00CE4CC2" w:rsidRDefault="003A06E5">
            <w:pPr>
              <w:pStyle w:val="Compact"/>
            </w:pPr>
            <w:r>
              <w:t>Détail</w:t>
            </w:r>
          </w:p>
        </w:tc>
      </w:tr>
      <w:tr w:rsidR="00CE4CC2">
        <w:tc>
          <w:tcPr>
            <w:tcW w:w="0" w:type="auto"/>
          </w:tcPr>
          <w:p w:rsidR="00CE4CC2" w:rsidRDefault="003A06E5">
            <w:pPr>
              <w:pStyle w:val="Compact"/>
            </w:pPr>
            <w:r>
              <w:t>Proximité</w:t>
            </w:r>
          </w:p>
        </w:tc>
        <w:tc>
          <w:tcPr>
            <w:tcW w:w="0" w:type="auto"/>
          </w:tcPr>
          <w:p w:rsidR="00CE4CC2" w:rsidRDefault="003A06E5">
            <w:pPr>
              <w:pStyle w:val="Compact"/>
            </w:pPr>
            <w:r>
              <w:t>35 %</w:t>
            </w:r>
          </w:p>
        </w:tc>
        <w:tc>
          <w:tcPr>
            <w:tcW w:w="0" w:type="auto"/>
          </w:tcPr>
          <w:p w:rsidR="00CE4CC2" w:rsidRDefault="003A06E5">
            <w:pPr>
              <w:pStyle w:val="Compact"/>
            </w:pPr>
            <w:r>
              <w:t>Distance/temps au point de collecte (PostGIS).</w:t>
            </w:r>
          </w:p>
        </w:tc>
      </w:tr>
      <w:tr w:rsidR="00CE4CC2">
        <w:tc>
          <w:tcPr>
            <w:tcW w:w="0" w:type="auto"/>
          </w:tcPr>
          <w:p w:rsidR="00CE4CC2" w:rsidRDefault="003A06E5">
            <w:pPr>
              <w:pStyle w:val="Compact"/>
            </w:pPr>
            <w:r>
              <w:lastRenderedPageBreak/>
              <w:t>Performance historique</w:t>
            </w:r>
          </w:p>
        </w:tc>
        <w:tc>
          <w:tcPr>
            <w:tcW w:w="0" w:type="auto"/>
          </w:tcPr>
          <w:p w:rsidR="00CE4CC2" w:rsidRDefault="003A06E5">
            <w:pPr>
              <w:pStyle w:val="Compact"/>
            </w:pPr>
            <w:r>
              <w:t>25 %</w:t>
            </w:r>
          </w:p>
        </w:tc>
        <w:tc>
          <w:tcPr>
            <w:tcW w:w="0" w:type="auto"/>
          </w:tcPr>
          <w:p w:rsidR="00CE4CC2" w:rsidRDefault="003A06E5">
            <w:pPr>
              <w:pStyle w:val="Compact"/>
            </w:pPr>
            <w:r>
              <w:t>Taux de réussite + ponctualité.</w:t>
            </w:r>
          </w:p>
        </w:tc>
      </w:tr>
      <w:tr w:rsidR="00CE4CC2">
        <w:tc>
          <w:tcPr>
            <w:tcW w:w="0" w:type="auto"/>
          </w:tcPr>
          <w:p w:rsidR="00CE4CC2" w:rsidRDefault="003A06E5">
            <w:pPr>
              <w:pStyle w:val="Compact"/>
            </w:pPr>
            <w:r>
              <w:t>Disponibilité</w:t>
            </w:r>
          </w:p>
        </w:tc>
        <w:tc>
          <w:tcPr>
            <w:tcW w:w="0" w:type="auto"/>
          </w:tcPr>
          <w:p w:rsidR="00CE4CC2" w:rsidRDefault="003A06E5">
            <w:pPr>
              <w:pStyle w:val="Compact"/>
            </w:pPr>
            <w:r>
              <w:t>20 %</w:t>
            </w:r>
          </w:p>
        </w:tc>
        <w:tc>
          <w:tcPr>
            <w:tcW w:w="0" w:type="auto"/>
          </w:tcPr>
          <w:p w:rsidR="00CE4CC2" w:rsidRDefault="003A06E5">
            <w:pPr>
              <w:pStyle w:val="Compact"/>
            </w:pPr>
            <w:r>
              <w:t>Charge courante (inverse) + statut en ligne.</w:t>
            </w:r>
          </w:p>
        </w:tc>
      </w:tr>
      <w:tr w:rsidR="00CE4CC2">
        <w:tc>
          <w:tcPr>
            <w:tcW w:w="0" w:type="auto"/>
          </w:tcPr>
          <w:p w:rsidR="00CE4CC2" w:rsidRDefault="003A06E5">
            <w:pPr>
              <w:pStyle w:val="Compact"/>
            </w:pPr>
            <w:r>
              <w:t>Taux d’acceptation</w:t>
            </w:r>
          </w:p>
        </w:tc>
        <w:tc>
          <w:tcPr>
            <w:tcW w:w="0" w:type="auto"/>
          </w:tcPr>
          <w:p w:rsidR="00CE4CC2" w:rsidRDefault="003A06E5">
            <w:pPr>
              <w:pStyle w:val="Compact"/>
            </w:pPr>
            <w:r>
              <w:t>10 %</w:t>
            </w:r>
          </w:p>
        </w:tc>
        <w:tc>
          <w:tcPr>
            <w:tcW w:w="0" w:type="auto"/>
          </w:tcPr>
          <w:p w:rsidR="00CE4CC2" w:rsidRDefault="003A06E5">
            <w:pPr>
              <w:pStyle w:val="Compact"/>
            </w:pPr>
            <w:r>
              <w:t>Acceptations / propositions.</w:t>
            </w:r>
          </w:p>
        </w:tc>
      </w:tr>
      <w:tr w:rsidR="00CE4CC2">
        <w:tc>
          <w:tcPr>
            <w:tcW w:w="0" w:type="auto"/>
          </w:tcPr>
          <w:p w:rsidR="00CE4CC2" w:rsidRDefault="003A06E5">
            <w:pPr>
              <w:pStyle w:val="Compact"/>
            </w:pPr>
            <w:r>
              <w:t>Note client moyenne</w:t>
            </w:r>
          </w:p>
        </w:tc>
        <w:tc>
          <w:tcPr>
            <w:tcW w:w="0" w:type="auto"/>
          </w:tcPr>
          <w:p w:rsidR="00CE4CC2" w:rsidRDefault="003A06E5">
            <w:pPr>
              <w:pStyle w:val="Compact"/>
            </w:pPr>
            <w:r>
              <w:t>10 %</w:t>
            </w:r>
          </w:p>
        </w:tc>
        <w:tc>
          <w:tcPr>
            <w:tcW w:w="0" w:type="auto"/>
          </w:tcPr>
          <w:p w:rsidR="00CE4CC2" w:rsidRDefault="003A06E5">
            <w:pPr>
              <w:pStyle w:val="Compact"/>
            </w:pPr>
            <w:r>
              <w:t>Évaluations reçues (BF28).</w:t>
            </w:r>
          </w:p>
        </w:tc>
      </w:tr>
    </w:tbl>
    <w:p w:rsidR="00CE4CC2" w:rsidRDefault="003A06E5">
      <w:pPr>
        <w:pStyle w:val="Titre2"/>
      </w:pPr>
      <w:bookmarkStart w:id="54" w:name="pénalités-et-échelle-gps-décision"/>
      <w:bookmarkStart w:id="55" w:name="_Toc232734042"/>
      <w:bookmarkEnd w:id="52"/>
      <w:r>
        <w:t xml:space="preserve">9.3 Pénalités et échelle GPS </w:t>
      </w:r>
      <w:r>
        <w:rPr>
          <w:i/>
          <w:iCs/>
        </w:rPr>
        <w:t>[Décision]</w:t>
      </w:r>
      <w:bookmarkEnd w:id="55"/>
    </w:p>
    <w:p w:rsidR="00CE4CC2" w:rsidRDefault="003A06E5">
      <w:pPr>
        <w:pStyle w:val="FirstParagraph"/>
      </w:pPr>
      <w:r>
        <w:rPr>
          <w:b/>
          <w:bCs/>
        </w:rPr>
        <w:t>Toutes les pénalités client/receveur sont bloquantes</w:t>
      </w:r>
      <w:r>
        <w:t xml:space="preserve"> (BF34). Le </w:t>
      </w:r>
      <w:r>
        <w:rPr>
          <w:b/>
          <w:bCs/>
        </w:rPr>
        <w:t>chrono d’attente est déclenché automatiquement</w:t>
      </w:r>
      <w:r>
        <w:t xml:space="preserve"> à l’entrée du livreur dans la géo-clôture du point de livraison (horodatage serveur), et non manuellement.</w:t>
      </w:r>
    </w:p>
    <w:tbl>
      <w:tblPr>
        <w:tblStyle w:val="Table"/>
        <w:tblW w:w="5000" w:type="pct"/>
        <w:tblLook w:val="0020" w:firstRow="1" w:lastRow="0" w:firstColumn="0" w:lastColumn="0" w:noHBand="0" w:noVBand="0"/>
      </w:tblPr>
      <w:tblGrid>
        <w:gridCol w:w="2126"/>
        <w:gridCol w:w="1831"/>
        <w:gridCol w:w="2566"/>
        <w:gridCol w:w="2719"/>
      </w:tblGrid>
      <w:tr w:rsidR="00CE4CC2" w:rsidTr="00CE4CC2">
        <w:trPr>
          <w:cnfStyle w:val="100000000000" w:firstRow="1" w:lastRow="0" w:firstColumn="0" w:lastColumn="0" w:oddVBand="0" w:evenVBand="0" w:oddHBand="0" w:evenHBand="0" w:firstRowFirstColumn="0" w:firstRowLastColumn="0" w:lastRowFirstColumn="0" w:lastRowLastColumn="0"/>
          <w:tblHeader/>
        </w:trPr>
        <w:tc>
          <w:tcPr>
            <w:tcW w:w="0" w:type="auto"/>
          </w:tcPr>
          <w:p w:rsidR="00CE4CC2" w:rsidRDefault="003A06E5">
            <w:pPr>
              <w:pStyle w:val="Compact"/>
            </w:pPr>
            <w:r>
              <w:t>Situation</w:t>
            </w:r>
          </w:p>
        </w:tc>
        <w:tc>
          <w:tcPr>
            <w:tcW w:w="0" w:type="auto"/>
          </w:tcPr>
          <w:p w:rsidR="00CE4CC2" w:rsidRDefault="003A06E5">
            <w:pPr>
              <w:pStyle w:val="Compact"/>
            </w:pPr>
            <w:r>
              <w:t>Acteur</w:t>
            </w:r>
          </w:p>
        </w:tc>
        <w:tc>
          <w:tcPr>
            <w:tcW w:w="0" w:type="auto"/>
          </w:tcPr>
          <w:p w:rsidR="00CE4CC2" w:rsidRDefault="003A06E5">
            <w:pPr>
              <w:pStyle w:val="Compact"/>
            </w:pPr>
            <w:r>
              <w:t>Pénalité</w:t>
            </w:r>
          </w:p>
        </w:tc>
        <w:tc>
          <w:tcPr>
            <w:tcW w:w="0" w:type="auto"/>
          </w:tcPr>
          <w:p w:rsidR="00CE4CC2" w:rsidRDefault="003A06E5">
            <w:pPr>
              <w:pStyle w:val="Compact"/>
            </w:pPr>
            <w:r>
              <w:t>Mécanisme</w:t>
            </w:r>
          </w:p>
        </w:tc>
      </w:tr>
      <w:tr w:rsidR="00CE4CC2">
        <w:tc>
          <w:tcPr>
            <w:tcW w:w="0" w:type="auto"/>
          </w:tcPr>
          <w:p w:rsidR="00CE4CC2" w:rsidRDefault="003A06E5">
            <w:pPr>
              <w:pStyle w:val="Compact"/>
            </w:pPr>
            <w:r>
              <w:t>Annulation après assignation</w:t>
            </w:r>
          </w:p>
        </w:tc>
        <w:tc>
          <w:tcPr>
            <w:tcW w:w="0" w:type="auto"/>
          </w:tcPr>
          <w:p w:rsidR="00CE4CC2" w:rsidRDefault="003A06E5">
            <w:pPr>
              <w:pStyle w:val="Compact"/>
            </w:pPr>
            <w:r>
              <w:t>Client</w:t>
            </w:r>
          </w:p>
        </w:tc>
        <w:tc>
          <w:tcPr>
            <w:tcW w:w="0" w:type="auto"/>
          </w:tcPr>
          <w:p w:rsidR="00CE4CC2" w:rsidRDefault="003A06E5">
            <w:pPr>
              <w:pStyle w:val="Compact"/>
            </w:pPr>
            <w:r>
              <w:t>500 XAF → livreur</w:t>
            </w:r>
          </w:p>
        </w:tc>
        <w:tc>
          <w:tcPr>
            <w:tcW w:w="0" w:type="auto"/>
          </w:tcPr>
          <w:p w:rsidR="00CE4CC2" w:rsidRDefault="003A06E5">
            <w:pPr>
              <w:pStyle w:val="Compact"/>
            </w:pPr>
            <w:r>
              <w:t>Dette bloquante</w:t>
            </w:r>
          </w:p>
        </w:tc>
      </w:tr>
      <w:tr w:rsidR="00CE4CC2">
        <w:tc>
          <w:tcPr>
            <w:tcW w:w="0" w:type="auto"/>
          </w:tcPr>
          <w:p w:rsidR="00CE4CC2" w:rsidRDefault="00844BD9">
            <w:pPr>
              <w:pStyle w:val="Compact"/>
            </w:pPr>
            <w:r>
              <w:t>Attente &gt; 15 min</w:t>
            </w:r>
          </w:p>
        </w:tc>
        <w:tc>
          <w:tcPr>
            <w:tcW w:w="0" w:type="auto"/>
          </w:tcPr>
          <w:p w:rsidR="00CE4CC2" w:rsidRDefault="003A06E5">
            <w:pPr>
              <w:pStyle w:val="Compact"/>
            </w:pPr>
            <w:r>
              <w:t>Client/receveur</w:t>
            </w:r>
          </w:p>
        </w:tc>
        <w:tc>
          <w:tcPr>
            <w:tcW w:w="0" w:type="auto"/>
          </w:tcPr>
          <w:p w:rsidR="00CE4CC2" w:rsidRDefault="003A06E5">
            <w:pPr>
              <w:pStyle w:val="Compact"/>
            </w:pPr>
            <w:r>
              <w:t>100 XAF/min au-delà de 10 min (80 % livreur)</w:t>
            </w:r>
          </w:p>
        </w:tc>
        <w:tc>
          <w:tcPr>
            <w:tcW w:w="0" w:type="auto"/>
          </w:tcPr>
          <w:p w:rsidR="00CE4CC2" w:rsidRDefault="003A06E5">
            <w:pPr>
              <w:pStyle w:val="Compact"/>
            </w:pPr>
            <w:r>
              <w:t>Chrono auto par géo-clôture</w:t>
            </w:r>
          </w:p>
        </w:tc>
      </w:tr>
      <w:tr w:rsidR="00CE4CC2">
        <w:tc>
          <w:tcPr>
            <w:tcW w:w="0" w:type="auto"/>
          </w:tcPr>
          <w:p w:rsidR="00CE4CC2" w:rsidRDefault="003A06E5">
            <w:pPr>
              <w:pStyle w:val="Compact"/>
            </w:pPr>
            <w:r>
              <w:t>Receveur absent</w:t>
            </w:r>
          </w:p>
        </w:tc>
        <w:tc>
          <w:tcPr>
            <w:tcW w:w="0" w:type="auto"/>
          </w:tcPr>
          <w:p w:rsidR="00CE4CC2" w:rsidRDefault="003A06E5">
            <w:pPr>
              <w:pStyle w:val="Compact"/>
            </w:pPr>
            <w:r>
              <w:t>Receveur</w:t>
            </w:r>
          </w:p>
        </w:tc>
        <w:tc>
          <w:tcPr>
            <w:tcW w:w="0" w:type="auto"/>
          </w:tcPr>
          <w:p w:rsidR="00CE4CC2" w:rsidRDefault="003A06E5">
            <w:pPr>
              <w:pStyle w:val="Compact"/>
            </w:pPr>
            <w:r>
              <w:t>500 XAF + frais de re-dépôt</w:t>
            </w:r>
          </w:p>
        </w:tc>
        <w:tc>
          <w:tcPr>
            <w:tcW w:w="0" w:type="auto"/>
          </w:tcPr>
          <w:p w:rsidR="00CE4CC2" w:rsidRDefault="003A06E5">
            <w:pPr>
              <w:pStyle w:val="Compact"/>
            </w:pPr>
            <w:r>
              <w:t>Notification + options (max 2 tentatives)</w:t>
            </w:r>
          </w:p>
        </w:tc>
      </w:tr>
      <w:tr w:rsidR="00CE4CC2">
        <w:tc>
          <w:tcPr>
            <w:tcW w:w="0" w:type="auto"/>
          </w:tcPr>
          <w:p w:rsidR="00CE4CC2" w:rsidRDefault="003A06E5">
            <w:pPr>
              <w:pStyle w:val="Compact"/>
            </w:pPr>
            <w:r>
              <w:t>3 incidents en 30 j</w:t>
            </w:r>
          </w:p>
        </w:tc>
        <w:tc>
          <w:tcPr>
            <w:tcW w:w="0" w:type="auto"/>
          </w:tcPr>
          <w:p w:rsidR="00CE4CC2" w:rsidRDefault="003A06E5">
            <w:pPr>
              <w:pStyle w:val="Compact"/>
            </w:pPr>
            <w:r>
              <w:t>Client</w:t>
            </w:r>
          </w:p>
        </w:tc>
        <w:tc>
          <w:tcPr>
            <w:tcW w:w="0" w:type="auto"/>
          </w:tcPr>
          <w:p w:rsidR="00CE4CC2" w:rsidRDefault="00844BD9">
            <w:pPr>
              <w:pStyle w:val="Compact"/>
            </w:pPr>
            <w:r>
              <w:t>Suspension 10 j</w:t>
            </w:r>
          </w:p>
        </w:tc>
        <w:tc>
          <w:tcPr>
            <w:tcW w:w="0" w:type="auto"/>
          </w:tcPr>
          <w:p w:rsidR="00CE4CC2" w:rsidRDefault="003A06E5">
            <w:pPr>
              <w:pStyle w:val="Compact"/>
            </w:pPr>
            <w:r>
              <w:t>Réactivation après contact admin + dette soldée</w:t>
            </w:r>
          </w:p>
        </w:tc>
      </w:tr>
      <w:tr w:rsidR="00CE4CC2">
        <w:tc>
          <w:tcPr>
            <w:tcW w:w="0" w:type="auto"/>
          </w:tcPr>
          <w:p w:rsidR="00CE4CC2" w:rsidRDefault="003A06E5">
            <w:pPr>
              <w:pStyle w:val="Compact"/>
            </w:pPr>
            <w:r>
              <w:t>Annulation programmée &lt; 2 h</w:t>
            </w:r>
          </w:p>
        </w:tc>
        <w:tc>
          <w:tcPr>
            <w:tcW w:w="0" w:type="auto"/>
          </w:tcPr>
          <w:p w:rsidR="00CE4CC2" w:rsidRDefault="003A06E5">
            <w:pPr>
              <w:pStyle w:val="Compact"/>
            </w:pPr>
            <w:r>
              <w:t>Client</w:t>
            </w:r>
          </w:p>
        </w:tc>
        <w:tc>
          <w:tcPr>
            <w:tcW w:w="0" w:type="auto"/>
          </w:tcPr>
          <w:p w:rsidR="00CE4CC2" w:rsidRDefault="003A06E5">
            <w:pPr>
              <w:pStyle w:val="Compact"/>
            </w:pPr>
            <w:r>
              <w:t>500 XAF → livreur</w:t>
            </w:r>
          </w:p>
        </w:tc>
        <w:tc>
          <w:tcPr>
            <w:tcW w:w="0" w:type="auto"/>
          </w:tcPr>
          <w:p w:rsidR="00CE4CC2" w:rsidRDefault="003A06E5">
            <w:pPr>
              <w:pStyle w:val="Compact"/>
            </w:pPr>
            <w:r>
              <w:t>Spécifique programmée</w:t>
            </w:r>
          </w:p>
        </w:tc>
      </w:tr>
    </w:tbl>
    <w:p w:rsidR="00CE4CC2" w:rsidRDefault="003A06E5">
      <w:pPr>
        <w:pStyle w:val="Corpsdetexte"/>
      </w:pPr>
      <w:r>
        <w:rPr>
          <w:b/>
          <w:bCs/>
        </w:rPr>
        <w:t>Échelle GPS (source unique de vérité) :</w:t>
      </w:r>
      <w:r>
        <w:t xml:space="preserve"> 5 min d’inactivité → alerte + </w:t>
      </w:r>
      <w:r>
        <w:rPr>
          <w:b/>
          <w:bCs/>
        </w:rPr>
        <w:t>−15 pts</w:t>
      </w:r>
      <w:r>
        <w:t xml:space="preserve"> ; 15 min → </w:t>
      </w:r>
      <w:r>
        <w:rPr>
          <w:b/>
          <w:bCs/>
        </w:rPr>
        <w:t>réassignation automatique</w:t>
      </w:r>
      <w:r>
        <w:t xml:space="preserve"> + </w:t>
      </w:r>
      <w:r>
        <w:rPr>
          <w:b/>
          <w:bCs/>
        </w:rPr>
        <w:t>−15 pts supplémentaires</w:t>
      </w:r>
      <w:r>
        <w:t xml:space="preserve"> (cumul </w:t>
      </w:r>
      <w:r>
        <w:rPr>
          <w:b/>
          <w:bCs/>
        </w:rPr>
        <w:t>−30 pts</w:t>
      </w:r>
      <w:r>
        <w:t xml:space="preserve"> pour l’incident). Abandon explicite de mission = </w:t>
      </w:r>
      <w:r>
        <w:rPr>
          <w:b/>
          <w:bCs/>
        </w:rPr>
        <w:t>−30 pts</w:t>
      </w:r>
      <w:r>
        <w:t xml:space="preserve"> + réassignation ; récidive → procédure RH. Les pénalités de score n’affectent pas le salaire de base mais réduisent la prime de performance et la priorité d’attribution.</w:t>
      </w:r>
    </w:p>
    <w:p w:rsidR="00CE4CC2" w:rsidRDefault="003A06E5">
      <w:pPr>
        <w:pStyle w:val="Titre2"/>
      </w:pPr>
      <w:bookmarkStart w:id="56" w:name="retrait-partenaire-7.3-bf10bf19"/>
      <w:bookmarkStart w:id="57" w:name="_Toc232734043"/>
      <w:bookmarkEnd w:id="54"/>
      <w:r>
        <w:t>9.4 Retrait partenaire (§7.3 BF10/BF19)</w:t>
      </w:r>
      <w:bookmarkEnd w:id="57"/>
    </w:p>
    <w:p w:rsidR="00CE4CC2" w:rsidRDefault="003A06E5">
      <w:pPr>
        <w:pStyle w:val="FirstParagraph"/>
      </w:pPr>
      <w:r>
        <w:t>Retrait gratuit sous 72 h ; prolongation 200 XAF/jour (max 2 j, revient à la plateforme) ; expiration → retour client ou abandon (photo de preuve).</w:t>
      </w:r>
    </w:p>
    <w:p w:rsidR="00CE4CC2" w:rsidRDefault="003A06E5">
      <w:pPr>
        <w:pStyle w:val="Titre2"/>
      </w:pPr>
      <w:bookmarkStart w:id="58" w:name="ramassage-hebdomadaire-7.2-bf11"/>
      <w:bookmarkStart w:id="59" w:name="_Toc232734044"/>
      <w:bookmarkEnd w:id="56"/>
      <w:r>
        <w:t>9.5 Ramassage hebdomadaire (§7.2 BF11)</w:t>
      </w:r>
      <w:bookmarkEnd w:id="59"/>
    </w:p>
    <w:p w:rsidR="00CE4CC2" w:rsidRDefault="003A06E5">
      <w:pPr>
        <w:pStyle w:val="FirstParagraph"/>
      </w:pPr>
      <w:r>
        <w:t xml:space="preserve">Réduction −15 % cumulable </w:t>
      </w:r>
      <w:r>
        <w:rPr>
          <w:b/>
          <w:bCs/>
        </w:rPr>
        <w:t>multiplicativement</w:t>
      </w:r>
      <w:r>
        <w:t xml:space="preserve"> avec le palier (ex. Premium −20 % puis −15 % ≈ −32 %) ; urgente dans le lot +500 XAF ; </w:t>
      </w:r>
      <w:r>
        <w:rPr>
          <w:b/>
          <w:bCs/>
        </w:rPr>
        <w:t>minimum 3</w:t>
      </w:r>
      <w:r>
        <w:t xml:space="preserve"> commandes (en deçà : traitées en livraisons programmées individuelles, </w:t>
      </w:r>
      <w:r>
        <w:rPr>
          <w:b/>
          <w:bCs/>
        </w:rPr>
        <w:t>perte du −15 %</w:t>
      </w:r>
      <w:r>
        <w:t xml:space="preserve">, palier conservé) ; </w:t>
      </w:r>
      <w:r>
        <w:rPr>
          <w:b/>
          <w:bCs/>
        </w:rPr>
        <w:t>maximum 50</w:t>
      </w:r>
      <w:r>
        <w:t xml:space="preserve"> sans validation manuelle ; frais de traitement fichier : gratuit Business/Premium, 500 XAF Standard.</w:t>
      </w:r>
    </w:p>
    <w:p w:rsidR="00CE4CC2" w:rsidRDefault="003A06E5">
      <w:r>
        <w:pict>
          <v:rect id="_x0000_i1033" style="width:0;height:1.5pt" o:hralign="center" o:hrstd="t" o:hr="t"/>
        </w:pict>
      </w:r>
    </w:p>
    <w:p w:rsidR="00CE4CC2" w:rsidRDefault="003A06E5">
      <w:pPr>
        <w:pStyle w:val="Titre1"/>
      </w:pPr>
      <w:bookmarkStart w:id="60" w:name="machine-à-états-des-livraisons-décision"/>
      <w:bookmarkStart w:id="61" w:name="_Toc232734045"/>
      <w:bookmarkEnd w:id="48"/>
      <w:bookmarkEnd w:id="58"/>
      <w:r>
        <w:lastRenderedPageBreak/>
        <w:t xml:space="preserve">10. Machine à états des livraisons </w:t>
      </w:r>
      <w:r>
        <w:rPr>
          <w:i/>
          <w:iCs/>
        </w:rPr>
        <w:t>[Décision]</w:t>
      </w:r>
      <w:bookmarkEnd w:id="61"/>
    </w:p>
    <w:p w:rsidR="00CE4CC2" w:rsidRDefault="003A06E5">
      <w:pPr>
        <w:pStyle w:val="Titre2"/>
      </w:pPr>
      <w:bookmarkStart w:id="62" w:name="états"/>
      <w:bookmarkStart w:id="63" w:name="_Toc232734046"/>
      <w:r>
        <w:t>10.1 États</w:t>
      </w:r>
      <w:bookmarkEnd w:id="63"/>
    </w:p>
    <w:p w:rsidR="00CE4CC2" w:rsidRDefault="003A06E5">
      <w:pPr>
        <w:pStyle w:val="FirstParagraph"/>
      </w:pPr>
      <w:r>
        <w:rPr>
          <w:rStyle w:val="VerbatimChar"/>
        </w:rPr>
        <w:t>DRAFT</w:t>
      </w:r>
      <w:r>
        <w:t xml:space="preserve"> → </w:t>
      </w:r>
      <w:r>
        <w:rPr>
          <w:rStyle w:val="VerbatimChar"/>
        </w:rPr>
        <w:t>PENDING_PAYMENT</w:t>
      </w:r>
      <w:r>
        <w:t xml:space="preserve"> → </w:t>
      </w:r>
      <w:r>
        <w:rPr>
          <w:rStyle w:val="VerbatimChar"/>
        </w:rPr>
        <w:t>PENDING</w:t>
      </w:r>
      <w:r>
        <w:t xml:space="preserve"> / </w:t>
      </w:r>
      <w:r>
        <w:rPr>
          <w:rStyle w:val="VerbatimChar"/>
        </w:rPr>
        <w:t>SCHEDULED</w:t>
      </w:r>
      <w:r>
        <w:t xml:space="preserve"> → </w:t>
      </w:r>
      <w:r>
        <w:rPr>
          <w:rStyle w:val="VerbatimChar"/>
        </w:rPr>
        <w:t>ASSIGNED</w:t>
      </w:r>
      <w:r>
        <w:t xml:space="preserve"> → </w:t>
      </w:r>
      <w:r>
        <w:rPr>
          <w:rStyle w:val="VerbatimChar"/>
        </w:rPr>
        <w:t>ACCEPTED</w:t>
      </w:r>
      <w:r>
        <w:t xml:space="preserve"> → </w:t>
      </w:r>
      <w:r>
        <w:rPr>
          <w:rStyle w:val="VerbatimChar"/>
        </w:rPr>
        <w:t>EN_ROUTE_PICKUP</w:t>
      </w:r>
      <w:r>
        <w:t xml:space="preserve"> → </w:t>
      </w:r>
      <w:r>
        <w:rPr>
          <w:rStyle w:val="VerbatimChar"/>
        </w:rPr>
        <w:t>AT_PICKUP</w:t>
      </w:r>
      <w:r>
        <w:t xml:space="preserve"> → </w:t>
      </w:r>
      <w:r>
        <w:rPr>
          <w:rStyle w:val="VerbatimChar"/>
        </w:rPr>
        <w:t>PICKED_UP</w:t>
      </w:r>
      <w:r>
        <w:t xml:space="preserve"> → </w:t>
      </w:r>
      <w:r>
        <w:rPr>
          <w:rStyle w:val="VerbatimChar"/>
        </w:rPr>
        <w:t>EN_ROUTE_DROPOFF</w:t>
      </w:r>
      <w:r>
        <w:t xml:space="preserve"> → </w:t>
      </w:r>
      <w:r>
        <w:rPr>
          <w:rStyle w:val="VerbatimChar"/>
        </w:rPr>
        <w:t>AT_DROPOFF</w:t>
      </w:r>
      <w:r>
        <w:t xml:space="preserve"> → </w:t>
      </w:r>
      <w:r>
        <w:rPr>
          <w:rStyle w:val="VerbatimChar"/>
        </w:rPr>
        <w:t>DELIVERED</w:t>
      </w:r>
      <w:r>
        <w:t xml:space="preserve">. États transverses : </w:t>
      </w:r>
      <w:r>
        <w:rPr>
          <w:rStyle w:val="VerbatimChar"/>
        </w:rPr>
        <w:t>DELIVERED_PENDING_SYNC</w:t>
      </w:r>
      <w:r>
        <w:t xml:space="preserve">, </w:t>
      </w:r>
      <w:r>
        <w:rPr>
          <w:rStyle w:val="VerbatimChar"/>
        </w:rPr>
        <w:t>TENTATIVE_ECHOUEE</w:t>
      </w:r>
      <w:r>
        <w:t xml:space="preserve">, </w:t>
      </w:r>
      <w:r>
        <w:rPr>
          <w:rStyle w:val="VerbatimChar"/>
        </w:rPr>
        <w:t>REASSIGNMENT_PENDING</w:t>
      </w:r>
      <w:r>
        <w:t xml:space="preserve">, </w:t>
      </w:r>
      <w:r>
        <w:rPr>
          <w:rStyle w:val="VerbatimChar"/>
        </w:rPr>
        <w:t>AT_PARTNER</w:t>
      </w:r>
      <w:r>
        <w:t xml:space="preserve">, </w:t>
      </w:r>
      <w:r>
        <w:rPr>
          <w:rStyle w:val="VerbatimChar"/>
        </w:rPr>
        <w:t>AT_AGENCY</w:t>
      </w:r>
      <w:r>
        <w:t xml:space="preserve"> (inter-villes), </w:t>
      </w:r>
      <w:r>
        <w:rPr>
          <w:rStyle w:val="VerbatimChar"/>
        </w:rPr>
        <w:t>RETURNED</w:t>
      </w:r>
      <w:r>
        <w:t xml:space="preserve">, </w:t>
      </w:r>
      <w:r>
        <w:rPr>
          <w:rStyle w:val="VerbatimChar"/>
        </w:rPr>
        <w:t>ABANDONED</w:t>
      </w:r>
      <w:r>
        <w:t xml:space="preserve">, </w:t>
      </w:r>
      <w:r>
        <w:rPr>
          <w:rStyle w:val="VerbatimChar"/>
        </w:rPr>
        <w:t>CANCELLED</w:t>
      </w:r>
      <w:r>
        <w:t xml:space="preserve">, </w:t>
      </w:r>
      <w:r>
        <w:rPr>
          <w:rStyle w:val="VerbatimChar"/>
        </w:rPr>
        <w:t>EXPIRED</w:t>
      </w:r>
      <w:r>
        <w:t xml:space="preserve">, </w:t>
      </w:r>
      <w:r>
        <w:rPr>
          <w:rStyle w:val="VerbatimChar"/>
        </w:rPr>
        <w:t>REFUNDED</w:t>
      </w:r>
      <w:r>
        <w:t>.</w:t>
      </w:r>
    </w:p>
    <w:p w:rsidR="00CE4CC2" w:rsidRDefault="003A06E5">
      <w:pPr>
        <w:pStyle w:val="Titre2"/>
      </w:pPr>
      <w:bookmarkStart w:id="64" w:name="transitions-principales"/>
      <w:bookmarkStart w:id="65" w:name="_Toc232734047"/>
      <w:bookmarkEnd w:id="62"/>
      <w:r>
        <w:t>10.2 Transitions principales</w:t>
      </w:r>
      <w:bookmarkEnd w:id="65"/>
    </w:p>
    <w:tbl>
      <w:tblPr>
        <w:tblStyle w:val="Table"/>
        <w:tblW w:w="5000" w:type="pct"/>
        <w:tblLook w:val="0020" w:firstRow="1" w:lastRow="0" w:firstColumn="0" w:lastColumn="0" w:noHBand="0" w:noVBand="0"/>
      </w:tblPr>
      <w:tblGrid>
        <w:gridCol w:w="3364"/>
        <w:gridCol w:w="3719"/>
        <w:gridCol w:w="2159"/>
      </w:tblGrid>
      <w:tr w:rsidR="00CE4CC2" w:rsidTr="00CE4CC2">
        <w:trPr>
          <w:cnfStyle w:val="100000000000" w:firstRow="1" w:lastRow="0" w:firstColumn="0" w:lastColumn="0" w:oddVBand="0" w:evenVBand="0" w:oddHBand="0" w:evenHBand="0" w:firstRowFirstColumn="0" w:firstRowLastColumn="0" w:lastRowFirstColumn="0" w:lastRowLastColumn="0"/>
          <w:tblHeader/>
        </w:trPr>
        <w:tc>
          <w:tcPr>
            <w:tcW w:w="0" w:type="auto"/>
          </w:tcPr>
          <w:p w:rsidR="00CE4CC2" w:rsidRDefault="003A06E5">
            <w:pPr>
              <w:pStyle w:val="Compact"/>
            </w:pPr>
            <w:r>
              <w:t>De</w:t>
            </w:r>
          </w:p>
        </w:tc>
        <w:tc>
          <w:tcPr>
            <w:tcW w:w="0" w:type="auto"/>
          </w:tcPr>
          <w:p w:rsidR="00CE4CC2" w:rsidRDefault="003A06E5">
            <w:pPr>
              <w:pStyle w:val="Compact"/>
            </w:pPr>
            <w:r>
              <w:t>Vers</w:t>
            </w:r>
          </w:p>
        </w:tc>
        <w:tc>
          <w:tcPr>
            <w:tcW w:w="0" w:type="auto"/>
          </w:tcPr>
          <w:p w:rsidR="00CE4CC2" w:rsidRDefault="003A06E5">
            <w:pPr>
              <w:pStyle w:val="Compact"/>
            </w:pPr>
            <w:r>
              <w:t>Événement déclencheur</w:t>
            </w:r>
          </w:p>
        </w:tc>
      </w:tr>
      <w:tr w:rsidR="00CE4CC2">
        <w:tc>
          <w:tcPr>
            <w:tcW w:w="0" w:type="auto"/>
          </w:tcPr>
          <w:p w:rsidR="00CE4CC2" w:rsidRDefault="003A06E5">
            <w:pPr>
              <w:pStyle w:val="Compact"/>
            </w:pPr>
            <w:r>
              <w:t>DRAFT</w:t>
            </w:r>
          </w:p>
        </w:tc>
        <w:tc>
          <w:tcPr>
            <w:tcW w:w="0" w:type="auto"/>
          </w:tcPr>
          <w:p w:rsidR="00CE4CC2" w:rsidRDefault="003A06E5">
            <w:pPr>
              <w:pStyle w:val="Compact"/>
            </w:pPr>
            <w:r>
              <w:t>PENDING_PAYMENT</w:t>
            </w:r>
          </w:p>
        </w:tc>
        <w:tc>
          <w:tcPr>
            <w:tcW w:w="0" w:type="auto"/>
          </w:tcPr>
          <w:p w:rsidR="00CE4CC2" w:rsidRDefault="003A06E5">
            <w:pPr>
              <w:pStyle w:val="Compact"/>
            </w:pPr>
            <w:r>
              <w:t>Validation de la commande (devis accepté)</w:t>
            </w:r>
          </w:p>
        </w:tc>
      </w:tr>
      <w:tr w:rsidR="00CE4CC2">
        <w:tc>
          <w:tcPr>
            <w:tcW w:w="0" w:type="auto"/>
          </w:tcPr>
          <w:p w:rsidR="00CE4CC2" w:rsidRDefault="003A06E5">
            <w:pPr>
              <w:pStyle w:val="Compact"/>
            </w:pPr>
            <w:r>
              <w:t>PENDING_PAYMENT</w:t>
            </w:r>
          </w:p>
        </w:tc>
        <w:tc>
          <w:tcPr>
            <w:tcW w:w="0" w:type="auto"/>
          </w:tcPr>
          <w:p w:rsidR="00CE4CC2" w:rsidRDefault="003A06E5">
            <w:pPr>
              <w:pStyle w:val="Compact"/>
            </w:pPr>
            <w:r>
              <w:t>PENDING / SCHEDULED</w:t>
            </w:r>
          </w:p>
        </w:tc>
        <w:tc>
          <w:tcPr>
            <w:tcW w:w="0" w:type="auto"/>
          </w:tcPr>
          <w:p w:rsidR="00CE4CC2" w:rsidRDefault="003A06E5">
            <w:pPr>
              <w:pStyle w:val="Compact"/>
            </w:pPr>
            <w:r>
              <w:t>Paiement confirmé (ou choix espèces) ; programmée → SCHEDULED</w:t>
            </w:r>
          </w:p>
        </w:tc>
      </w:tr>
      <w:tr w:rsidR="00CE4CC2">
        <w:tc>
          <w:tcPr>
            <w:tcW w:w="0" w:type="auto"/>
          </w:tcPr>
          <w:p w:rsidR="00CE4CC2" w:rsidRDefault="003A06E5">
            <w:pPr>
              <w:pStyle w:val="Compact"/>
            </w:pPr>
            <w:r>
              <w:t>PENDING / SCHEDULED</w:t>
            </w:r>
          </w:p>
        </w:tc>
        <w:tc>
          <w:tcPr>
            <w:tcW w:w="0" w:type="auto"/>
          </w:tcPr>
          <w:p w:rsidR="00CE4CC2" w:rsidRDefault="003A06E5">
            <w:pPr>
              <w:pStyle w:val="Compact"/>
            </w:pPr>
            <w:r>
              <w:t>ASSIGNED</w:t>
            </w:r>
          </w:p>
        </w:tc>
        <w:tc>
          <w:tcPr>
            <w:tcW w:w="0" w:type="auto"/>
          </w:tcPr>
          <w:p w:rsidR="00CE4CC2" w:rsidRDefault="003A06E5">
            <w:pPr>
              <w:pStyle w:val="Compact"/>
            </w:pPr>
            <w:r>
              <w:t>Proposition de mission par l’IA (programmée : J0 − 1 h)</w:t>
            </w:r>
          </w:p>
        </w:tc>
      </w:tr>
      <w:tr w:rsidR="00CE4CC2">
        <w:tc>
          <w:tcPr>
            <w:tcW w:w="0" w:type="auto"/>
          </w:tcPr>
          <w:p w:rsidR="00CE4CC2" w:rsidRDefault="003A06E5">
            <w:pPr>
              <w:pStyle w:val="Compact"/>
            </w:pPr>
            <w:r>
              <w:t>ASSIGNED</w:t>
            </w:r>
          </w:p>
        </w:tc>
        <w:tc>
          <w:tcPr>
            <w:tcW w:w="0" w:type="auto"/>
          </w:tcPr>
          <w:p w:rsidR="00CE4CC2" w:rsidRDefault="003A06E5">
            <w:pPr>
              <w:pStyle w:val="Compact"/>
            </w:pPr>
            <w:r>
              <w:t>ACCEPTED</w:t>
            </w:r>
          </w:p>
        </w:tc>
        <w:tc>
          <w:tcPr>
            <w:tcW w:w="0" w:type="auto"/>
          </w:tcPr>
          <w:p w:rsidR="00CE4CC2" w:rsidRDefault="00844BD9">
            <w:pPr>
              <w:pStyle w:val="Compact"/>
            </w:pPr>
            <w:r>
              <w:t>Acceptation livreur (&lt; 60 s)</w:t>
            </w:r>
          </w:p>
        </w:tc>
      </w:tr>
      <w:tr w:rsidR="00CE4CC2">
        <w:tc>
          <w:tcPr>
            <w:tcW w:w="0" w:type="auto"/>
          </w:tcPr>
          <w:p w:rsidR="00CE4CC2" w:rsidRDefault="003A06E5">
            <w:pPr>
              <w:pStyle w:val="Compact"/>
            </w:pPr>
            <w:r>
              <w:t>ASSIGNED</w:t>
            </w:r>
          </w:p>
        </w:tc>
        <w:tc>
          <w:tcPr>
            <w:tcW w:w="0" w:type="auto"/>
          </w:tcPr>
          <w:p w:rsidR="00CE4CC2" w:rsidRDefault="003A06E5">
            <w:pPr>
              <w:pStyle w:val="Compact"/>
            </w:pPr>
            <w:r>
              <w:t>REASSIGNMENT_PENDING</w:t>
            </w:r>
          </w:p>
        </w:tc>
        <w:tc>
          <w:tcPr>
            <w:tcW w:w="0" w:type="auto"/>
          </w:tcPr>
          <w:p w:rsidR="00CE4CC2" w:rsidRDefault="00844BD9">
            <w:pPr>
              <w:pStyle w:val="Compact"/>
            </w:pPr>
            <w:r>
              <w:t>Refus ou timeout 60 s → cascade</w:t>
            </w:r>
          </w:p>
        </w:tc>
      </w:tr>
      <w:tr w:rsidR="00CE4CC2">
        <w:tc>
          <w:tcPr>
            <w:tcW w:w="0" w:type="auto"/>
          </w:tcPr>
          <w:p w:rsidR="00CE4CC2" w:rsidRDefault="003A06E5">
            <w:pPr>
              <w:pStyle w:val="Compact"/>
            </w:pPr>
            <w:r>
              <w:t>ACCEPTED</w:t>
            </w:r>
          </w:p>
        </w:tc>
        <w:tc>
          <w:tcPr>
            <w:tcW w:w="0" w:type="auto"/>
          </w:tcPr>
          <w:p w:rsidR="00CE4CC2" w:rsidRDefault="003A06E5">
            <w:pPr>
              <w:pStyle w:val="Compact"/>
            </w:pPr>
            <w:r>
              <w:t>EN_ROUTE_PICKUP → AT_PICKUP → PICKED_UP</w:t>
            </w:r>
          </w:p>
        </w:tc>
        <w:tc>
          <w:tcPr>
            <w:tcW w:w="0" w:type="auto"/>
          </w:tcPr>
          <w:p w:rsidR="00CE4CC2" w:rsidRDefault="003A06E5">
            <w:pPr>
              <w:pStyle w:val="Compact"/>
            </w:pPr>
            <w:r>
              <w:t>Déplacement, arrivée (géo-clôture), prise en charge + photo</w:t>
            </w:r>
          </w:p>
        </w:tc>
      </w:tr>
      <w:tr w:rsidR="00CE4CC2">
        <w:tc>
          <w:tcPr>
            <w:tcW w:w="0" w:type="auto"/>
          </w:tcPr>
          <w:p w:rsidR="00CE4CC2" w:rsidRDefault="003A06E5">
            <w:pPr>
              <w:pStyle w:val="Compact"/>
            </w:pPr>
            <w:r>
              <w:t>PICKED_UP</w:t>
            </w:r>
          </w:p>
        </w:tc>
        <w:tc>
          <w:tcPr>
            <w:tcW w:w="0" w:type="auto"/>
          </w:tcPr>
          <w:p w:rsidR="00CE4CC2" w:rsidRDefault="003A06E5">
            <w:pPr>
              <w:pStyle w:val="Compact"/>
            </w:pPr>
            <w:r>
              <w:t>EN_ROUTE_DROPOFF → AT_DROPOFF</w:t>
            </w:r>
          </w:p>
        </w:tc>
        <w:tc>
          <w:tcPr>
            <w:tcW w:w="0" w:type="auto"/>
          </w:tcPr>
          <w:p w:rsidR="00CE4CC2" w:rsidRDefault="003A06E5">
            <w:pPr>
              <w:pStyle w:val="Compact"/>
            </w:pPr>
            <w:r>
              <w:t>Déplacement, arrivée destination (géo-clôture)</w:t>
            </w:r>
          </w:p>
        </w:tc>
      </w:tr>
      <w:tr w:rsidR="00CE4CC2">
        <w:tc>
          <w:tcPr>
            <w:tcW w:w="0" w:type="auto"/>
          </w:tcPr>
          <w:p w:rsidR="00CE4CC2" w:rsidRDefault="003A06E5">
            <w:pPr>
              <w:pStyle w:val="Compact"/>
            </w:pPr>
            <w:r>
              <w:t>AT_DROPOFF</w:t>
            </w:r>
          </w:p>
        </w:tc>
        <w:tc>
          <w:tcPr>
            <w:tcW w:w="0" w:type="auto"/>
          </w:tcPr>
          <w:p w:rsidR="00CE4CC2" w:rsidRDefault="003A06E5">
            <w:pPr>
              <w:pStyle w:val="Compact"/>
            </w:pPr>
            <w:r>
              <w:t>DELIVERED</w:t>
            </w:r>
          </w:p>
        </w:tc>
        <w:tc>
          <w:tcPr>
            <w:tcW w:w="0" w:type="auto"/>
          </w:tcPr>
          <w:p w:rsidR="00CE4CC2" w:rsidRDefault="003A06E5">
            <w:pPr>
              <w:pStyle w:val="Compact"/>
            </w:pPr>
            <w:r>
              <w:t>Jeton signé validé + photo (en ligne)</w:t>
            </w:r>
          </w:p>
        </w:tc>
      </w:tr>
      <w:tr w:rsidR="00CE4CC2">
        <w:tc>
          <w:tcPr>
            <w:tcW w:w="0" w:type="auto"/>
          </w:tcPr>
          <w:p w:rsidR="00CE4CC2" w:rsidRDefault="003A06E5">
            <w:pPr>
              <w:pStyle w:val="Compact"/>
            </w:pPr>
            <w:r>
              <w:t>AT_DROPOFF</w:t>
            </w:r>
          </w:p>
        </w:tc>
        <w:tc>
          <w:tcPr>
            <w:tcW w:w="0" w:type="auto"/>
          </w:tcPr>
          <w:p w:rsidR="00CE4CC2" w:rsidRDefault="003A06E5">
            <w:pPr>
              <w:pStyle w:val="Compact"/>
            </w:pPr>
            <w:r>
              <w:t>DELIVERED_PENDING_SYNC</w:t>
            </w:r>
          </w:p>
        </w:tc>
        <w:tc>
          <w:tcPr>
            <w:tcW w:w="0" w:type="auto"/>
          </w:tcPr>
          <w:p w:rsidR="00CE4CC2" w:rsidRDefault="003A06E5">
            <w:pPr>
              <w:pStyle w:val="Compact"/>
            </w:pPr>
            <w:r>
              <w:t xml:space="preserve">Validation </w:t>
            </w:r>
            <w:r>
              <w:rPr>
                <w:b/>
                <w:bCs/>
              </w:rPr>
              <w:t>hors-ligne</w:t>
            </w:r>
            <w:r>
              <w:t xml:space="preserve"> ; preuves synchronisées ultérieurement</w:t>
            </w:r>
          </w:p>
        </w:tc>
      </w:tr>
      <w:tr w:rsidR="00CE4CC2">
        <w:tc>
          <w:tcPr>
            <w:tcW w:w="0" w:type="auto"/>
          </w:tcPr>
          <w:p w:rsidR="00CE4CC2" w:rsidRDefault="003A06E5">
            <w:pPr>
              <w:pStyle w:val="Compact"/>
            </w:pPr>
            <w:r>
              <w:t>AT_DROPOFF</w:t>
            </w:r>
          </w:p>
        </w:tc>
        <w:tc>
          <w:tcPr>
            <w:tcW w:w="0" w:type="auto"/>
          </w:tcPr>
          <w:p w:rsidR="00CE4CC2" w:rsidRDefault="003A06E5">
            <w:pPr>
              <w:pStyle w:val="Compact"/>
            </w:pPr>
            <w:r>
              <w:t>TENTATIVE_ECHOUEE</w:t>
            </w:r>
          </w:p>
        </w:tc>
        <w:tc>
          <w:tcPr>
            <w:tcW w:w="0" w:type="auto"/>
          </w:tcPr>
          <w:p w:rsidR="00CE4CC2" w:rsidRDefault="003A06E5">
            <w:pPr>
              <w:pStyle w:val="Compact"/>
            </w:pPr>
            <w:r>
              <w:t>Receveur absent</w:t>
            </w:r>
          </w:p>
        </w:tc>
      </w:tr>
      <w:tr w:rsidR="00CE4CC2">
        <w:tc>
          <w:tcPr>
            <w:tcW w:w="0" w:type="auto"/>
          </w:tcPr>
          <w:p w:rsidR="00CE4CC2" w:rsidRDefault="003A06E5">
            <w:pPr>
              <w:pStyle w:val="Compact"/>
            </w:pPr>
            <w:r>
              <w:t>TENTATIVE_ECHOUEE</w:t>
            </w:r>
          </w:p>
        </w:tc>
        <w:tc>
          <w:tcPr>
            <w:tcW w:w="0" w:type="auto"/>
          </w:tcPr>
          <w:p w:rsidR="00CE4CC2" w:rsidRDefault="003A06E5">
            <w:pPr>
              <w:pStyle w:val="Compact"/>
            </w:pPr>
            <w:r>
              <w:t>EN_ROUTE_DROPOFF / AT_PARTNER / RETURNED</w:t>
            </w:r>
          </w:p>
        </w:tc>
        <w:tc>
          <w:tcPr>
            <w:tcW w:w="0" w:type="auto"/>
          </w:tcPr>
          <w:p w:rsidR="00CE4CC2" w:rsidRDefault="003A06E5">
            <w:pPr>
              <w:pStyle w:val="Compact"/>
            </w:pPr>
            <w:r>
              <w:t xml:space="preserve">Nouvelle tentative / dépôt partenaire / retour (max 2 </w:t>
              <w:lastRenderedPageBreak/>
              <w:t>tentatives)</w:t>
            </w:r>
          </w:p>
        </w:tc>
      </w:tr>
      <w:tr w:rsidR="00CE4CC2">
        <w:tc>
          <w:tcPr>
            <w:tcW w:w="0" w:type="auto"/>
          </w:tcPr>
          <w:p w:rsidR="00CE4CC2" w:rsidRDefault="003A06E5">
            <w:pPr>
              <w:pStyle w:val="Compact"/>
            </w:pPr>
            <w:r>
              <w:lastRenderedPageBreak/>
              <w:t>PICKED_UP</w:t>
            </w:r>
          </w:p>
        </w:tc>
        <w:tc>
          <w:tcPr>
            <w:tcW w:w="0" w:type="auto"/>
          </w:tcPr>
          <w:p w:rsidR="00CE4CC2" w:rsidRDefault="003A06E5">
            <w:pPr>
              <w:pStyle w:val="Compact"/>
            </w:pPr>
            <w:r>
              <w:t>AT_PARTNER</w:t>
            </w:r>
          </w:p>
        </w:tc>
        <w:tc>
          <w:tcPr>
            <w:tcW w:w="0" w:type="auto"/>
          </w:tcPr>
          <w:p w:rsidR="00CE4CC2" w:rsidRDefault="003A06E5">
            <w:pPr>
              <w:pStyle w:val="Compact"/>
            </w:pPr>
            <w:r>
              <w:t>Dépôt en point partenaire (scan QR entrée)</w:t>
            </w:r>
          </w:p>
        </w:tc>
      </w:tr>
      <w:tr w:rsidR="00CE4CC2">
        <w:tc>
          <w:tcPr>
            <w:tcW w:w="0" w:type="auto"/>
          </w:tcPr>
          <w:p w:rsidR="00CE4CC2" w:rsidRDefault="003A06E5">
            <w:pPr>
              <w:pStyle w:val="Compact"/>
            </w:pPr>
            <w:r>
              <w:t>AT_PARTNER</w:t>
            </w:r>
          </w:p>
        </w:tc>
        <w:tc>
          <w:tcPr>
            <w:tcW w:w="0" w:type="auto"/>
          </w:tcPr>
          <w:p w:rsidR="00CE4CC2" w:rsidRDefault="003A06E5">
            <w:pPr>
              <w:pStyle w:val="Compact"/>
            </w:pPr>
            <w:r>
              <w:t>DELIVERED</w:t>
            </w:r>
          </w:p>
        </w:tc>
        <w:tc>
          <w:tcPr>
            <w:tcW w:w="0" w:type="auto"/>
          </w:tcPr>
          <w:p w:rsidR="00CE4CC2" w:rsidRDefault="003A06E5">
            <w:pPr>
              <w:pStyle w:val="Compact"/>
            </w:pPr>
            <w:r>
              <w:t>Retrait (scan QR sortie + identité)</w:t>
            </w:r>
          </w:p>
        </w:tc>
      </w:tr>
      <w:tr w:rsidR="00CE4CC2">
        <w:tc>
          <w:tcPr>
            <w:tcW w:w="0" w:type="auto"/>
          </w:tcPr>
          <w:p w:rsidR="00CE4CC2" w:rsidRDefault="003A06E5">
            <w:pPr>
              <w:pStyle w:val="Compact"/>
            </w:pPr>
            <w:r>
              <w:t>AT_PARTNER</w:t>
            </w:r>
          </w:p>
        </w:tc>
        <w:tc>
          <w:tcPr>
            <w:tcW w:w="0" w:type="auto"/>
          </w:tcPr>
          <w:p w:rsidR="00CE4CC2" w:rsidRDefault="003A06E5">
            <w:pPr>
              <w:pStyle w:val="Compact"/>
            </w:pPr>
            <w:r>
              <w:t>EXPIRED → RETURNED / ABANDONED</w:t>
            </w:r>
          </w:p>
        </w:tc>
        <w:tc>
          <w:tcPr>
            <w:tcW w:w="0" w:type="auto"/>
          </w:tcPr>
          <w:p w:rsidR="00CE4CC2" w:rsidRDefault="003A06E5">
            <w:pPr>
              <w:pStyle w:val="Compact"/>
            </w:pPr>
            <w:r>
              <w:t>Dépassement 72 h (+ prolongations)</w:t>
            </w:r>
          </w:p>
        </w:tc>
      </w:tr>
      <w:tr w:rsidR="00CE4CC2">
        <w:tc>
          <w:tcPr>
            <w:tcW w:w="0" w:type="auto"/>
          </w:tcPr>
          <w:p w:rsidR="00CE4CC2" w:rsidRDefault="003A06E5">
            <w:pPr>
              <w:pStyle w:val="Compact"/>
            </w:pPr>
            <w:r>
              <w:t>PICKED_UP</w:t>
            </w:r>
          </w:p>
        </w:tc>
        <w:tc>
          <w:tcPr>
            <w:tcW w:w="0" w:type="auto"/>
          </w:tcPr>
          <w:p w:rsidR="00CE4CC2" w:rsidRDefault="003A06E5">
            <w:pPr>
              <w:pStyle w:val="Compact"/>
            </w:pPr>
            <w:r>
              <w:t>AT_AGENCY</w:t>
            </w:r>
          </w:p>
        </w:tc>
        <w:tc>
          <w:tcPr>
            <w:tcW w:w="0" w:type="auto"/>
          </w:tcPr>
          <w:p w:rsidR="00CE4CC2" w:rsidRDefault="003A06E5">
            <w:pPr>
              <w:pStyle w:val="Compact"/>
            </w:pPr>
            <w:r>
              <w:t>Dépôt en agence (inter-villes, photo reçu) → notification receveur</w:t>
            </w:r>
          </w:p>
        </w:tc>
      </w:tr>
      <w:tr w:rsidR="00CE4CC2">
        <w:tc>
          <w:tcPr>
            <w:tcW w:w="0" w:type="auto"/>
          </w:tcPr>
          <w:p w:rsidR="00CE4CC2" w:rsidRDefault="003A06E5">
            <w:pPr>
              <w:pStyle w:val="Compact"/>
            </w:pPr>
            <w:r>
              <w:t>* (prépayé MoMo)</w:t>
            </w:r>
          </w:p>
        </w:tc>
        <w:tc>
          <w:tcPr>
            <w:tcW w:w="0" w:type="auto"/>
          </w:tcPr>
          <w:p w:rsidR="00CE4CC2" w:rsidRDefault="003A06E5">
            <w:pPr>
              <w:pStyle w:val="Compact"/>
            </w:pPr>
            <w:r>
              <w:t>REFUNDED</w:t>
            </w:r>
          </w:p>
        </w:tc>
        <w:tc>
          <w:tcPr>
            <w:tcW w:w="0" w:type="auto"/>
          </w:tcPr>
          <w:p w:rsidR="00CE4CC2" w:rsidRDefault="003A06E5">
            <w:pPr>
              <w:pStyle w:val="Compact"/>
            </w:pPr>
            <w:r>
              <w:t>Annulation éligible au remboursement</w:t>
            </w:r>
          </w:p>
        </w:tc>
      </w:tr>
      <w:tr w:rsidR="00CE4CC2">
        <w:tc>
          <w:tcPr>
            <w:tcW w:w="0" w:type="auto"/>
          </w:tcPr>
          <w:p w:rsidR="00CE4CC2" w:rsidRDefault="003A06E5">
            <w:pPr>
              <w:pStyle w:val="Compact"/>
            </w:pPr>
            <w:r>
              <w:t>ASSIGNED..AT_DROPOFF</w:t>
            </w:r>
          </w:p>
        </w:tc>
        <w:tc>
          <w:tcPr>
            <w:tcW w:w="0" w:type="auto"/>
          </w:tcPr>
          <w:p w:rsidR="00CE4CC2" w:rsidRDefault="003A06E5">
            <w:pPr>
              <w:pStyle w:val="Compact"/>
            </w:pPr>
            <w:r>
              <w:t>CANCELLED</w:t>
            </w:r>
          </w:p>
        </w:tc>
        <w:tc>
          <w:tcPr>
            <w:tcW w:w="0" w:type="auto"/>
          </w:tcPr>
          <w:p w:rsidR="00CE4CC2" w:rsidRDefault="003A06E5">
            <w:pPr>
              <w:pStyle w:val="Compact"/>
            </w:pPr>
            <w:r>
              <w:t>Annulation (pénalités selon §9.3)</w:t>
            </w:r>
          </w:p>
        </w:tc>
      </w:tr>
      <w:tr w:rsidR="00CE4CC2">
        <w:tc>
          <w:tcPr>
            <w:tcW w:w="0" w:type="auto"/>
          </w:tcPr>
          <w:p w:rsidR="00CE4CC2" w:rsidRDefault="003A06E5">
            <w:pPr>
              <w:pStyle w:val="Compact"/>
            </w:pPr>
            <w:r>
              <w:t>REASSIGNMENT_PENDING</w:t>
            </w:r>
          </w:p>
        </w:tc>
        <w:tc>
          <w:tcPr>
            <w:tcW w:w="0" w:type="auto"/>
          </w:tcPr>
          <w:p w:rsidR="00CE4CC2" w:rsidRDefault="003A06E5">
            <w:pPr>
              <w:pStyle w:val="Compact"/>
            </w:pPr>
            <w:r>
              <w:t>ASSIGNED</w:t>
            </w:r>
          </w:p>
        </w:tc>
        <w:tc>
          <w:tcPr>
            <w:tcW w:w="0" w:type="auto"/>
          </w:tcPr>
          <w:p w:rsidR="00CE4CC2" w:rsidRDefault="003A06E5">
            <w:pPr>
              <w:pStyle w:val="Compact"/>
            </w:pPr>
            <w:r>
              <w:t>Nouvelle proposition IA</w:t>
            </w:r>
          </w:p>
        </w:tc>
      </w:tr>
    </w:tbl>
    <w:p xmlns:a="http://schemas.openxmlformats.org/drawingml/2006/main" xmlns:pic="http://schemas.openxmlformats.org/drawingml/2006/picture">
      <w:pPr>
        <w:jc w:val="center"/>
        <w:spacing w:before="160" w:after="40"/>
      </w:pPr>
      <w:r>
        <w:drawing>
          <wp:inline distT="0" distB="0" distL="0" distR="0">
            <wp:extent cx="4137278" cy="7680960"/>
            <wp:effectExtent l="0" t="0" r="0" b="0"/>
            <wp:docPr id="1002" name="cct_etats.png"/>
            <wp:cNvGraphicFramePr>
              <a:graphicFrameLocks noChangeAspect="1"/>
            </wp:cNvGraphicFramePr>
            <a:graphic>
              <a:graphicData uri="http://schemas.openxmlformats.org/drawingml/2006/picture">
                <pic:pic>
                  <pic:nvPicPr>
                    <pic:cNvPr id="1002" name="cct_etats.png"/>
                    <pic:cNvPicPr/>
                  </pic:nvPicPr>
                  <pic:blipFill>
                    <a:blip r:embed="rId12"/>
                    <a:stretch>
                      <a:fillRect/>
                    </a:stretch>
                  </pic:blipFill>
                  <pic:spPr>
                    <a:xfrm>
                      <a:off x="0" y="0"/>
                      <a:ext cx="4137278" cy="7680960"/>
                    </a:xfrm>
                    <a:prstGeom prst="rect">
                      <a:avLst/>
                    </a:prstGeom>
                  </pic:spPr>
                </pic:pic>
              </a:graphicData>
            </a:graphic>
          </wp:inline>
        </w:drawing>
      </w:r>
    </w:p>
    <w:p>
      <w:pPr>
        <w:jc w:val="center"/>
        <w:spacing w:before="0" w:after="200"/>
      </w:pPr>
      <w:r>
        <w:rPr>
          <w:i/>
          <w:sz w:val="18"/>
          <w:szCs w:val="18"/>
          <w:color w:val="555555"/>
        </w:rPr>
        <w:t xml:space="preserve">Figure 2 — Machine à états du cycle de vie d’une livraison</w:t>
      </w:r>
    </w:p>
    <w:p w:rsidR="00CE4CC2" w:rsidRDefault="003A06E5">
      <w:pPr>
        <w:pStyle w:val="Titre2"/>
      </w:pPr>
      <w:bookmarkStart w:id="66" w:name="X565db5c051c171c60eec1f5ab56ed3575028cf8"/>
      <w:bookmarkStart w:id="67" w:name="_Toc232734048"/>
      <w:bookmarkEnd w:id="64"/>
      <w:r>
        <w:t xml:space="preserve">10.3 Confirmation hors-ligne (résolution de la tension offline ↔ OTP) </w:t>
      </w:r>
      <w:r>
        <w:rPr>
          <w:i/>
          <w:iCs/>
        </w:rPr>
        <w:t>[Décision]</w:t>
      </w:r>
      <w:bookmarkEnd w:id="67"/>
    </w:p>
    <w:p w:rsidR="00CE4CC2" w:rsidRDefault="003A06E5">
      <w:pPr>
        <w:pStyle w:val="FirstParagraph"/>
      </w:pPr>
      <w:r>
        <w:t xml:space="preserve">À l’affectation, le serveur émet un </w:t>
      </w:r>
      <w:r>
        <w:rPr>
          <w:b/>
          <w:bCs/>
        </w:rPr>
        <w:t>jeton de livraison signé</w:t>
      </w:r>
      <w:r>
        <w:t xml:space="preserve"> (clé privée serveur) lié à la livraison et au receveur, mis en cache chiffré sur le terminal livreur. À la livraison hors-ligne, le receveur fournit le </w:t>
      </w:r>
      <w:r>
        <w:rPr>
          <w:b/>
          <w:bCs/>
        </w:rPr>
        <w:t>PIN/QR</w:t>
      </w:r>
      <w:r>
        <w:t xml:space="preserve"> ; l’app livreur </w:t>
      </w:r>
      <w:r>
        <w:rPr>
          <w:b/>
          <w:bCs/>
        </w:rPr>
        <w:t>vérifie la signature localement</w:t>
      </w:r>
      <w:r>
        <w:t xml:space="preserve"> (clé publique embarquée) et passe la livraison en </w:t>
      </w:r>
      <w:r>
        <w:rPr>
          <w:rStyle w:val="VerbatimChar"/>
        </w:rPr>
        <w:t>DELIVERED_PENDING_SYNC</w:t>
      </w:r>
      <w:r>
        <w:t xml:space="preserve"> avec photo + montant (si espèces). À la reconnexion, les preuves sont synchronisées et l’état devient </w:t>
      </w:r>
      <w:r>
        <w:rPr>
          <w:rStyle w:val="VerbatimChar"/>
        </w:rPr>
        <w:t>DELIVERED</w:t>
      </w:r>
      <w:r>
        <w:t>. L’OTP-SMS reste le repli en mode connecté pour les receveurs sans app.</w:t>
      </w:r>
    </w:p>
    <w:p w:rsidR="00CE4CC2" w:rsidRDefault="003A06E5">
      <w:pPr>
        <w:pStyle w:val="Titre2"/>
      </w:pPr>
      <w:bookmarkStart w:id="68" w:name="X0c2647f66448fd897175ebfec3fd8f1b4be4a84"/>
      <w:bookmarkStart w:id="69" w:name="_Toc232734049"/>
      <w:bookmarkEnd w:id="66"/>
      <w:r>
        <w:t xml:space="preserve">10.4 Résolution des conflits de synchronisation </w:t>
      </w:r>
      <w:r>
        <w:rPr>
          <w:i/>
          <w:iCs/>
        </w:rPr>
        <w:t>[Décision]</w:t>
      </w:r>
      <w:bookmarkEnd w:id="69"/>
    </w:p>
    <w:p w:rsidR="00CE4CC2" w:rsidRDefault="003A06E5">
      <w:pPr>
        <w:pStyle w:val="FirstParagraph"/>
      </w:pPr>
      <w:r>
        <w:t xml:space="preserve">Règle d’arbitrage : </w:t>
      </w:r>
      <w:r>
        <w:rPr>
          <w:b/>
          <w:bCs/>
        </w:rPr>
        <w:t>le serveur fait autorité</w:t>
      </w:r>
      <w:r>
        <w:t xml:space="preserve"> sur l’affectation (ex. si une réassignation a eu lieu côté serveur pendant que le livreur était hors-ligne, la livraison hors-ligne est gelée en </w:t>
      </w:r>
      <w:r>
        <w:rPr>
          <w:rStyle w:val="VerbatimChar"/>
        </w:rPr>
        <w:t>DELIVERED_PENDING_SYNC</w:t>
      </w:r>
      <w:r>
        <w:t xml:space="preserve"> et tranchée par un Co-admin via les preuves) ; les </w:t>
      </w:r>
      <w:r>
        <w:rPr>
          <w:b/>
          <w:bCs/>
        </w:rPr>
        <w:t>événements financiers</w:t>
      </w:r>
      <w:r>
        <w:t xml:space="preserve"> (encaissement espèces) ne sont jamais perdus : ils sont mis en file et rapprochés à la synchro. Tout conflit non résolu automatiquement génère un litige (BF33).</w:t>
      </w:r>
    </w:p>
    <w:p w:rsidR="00CE4CC2" w:rsidRDefault="003A06E5">
      <w:r>
        <w:pict>
          <v:rect id="_x0000_i1034" style="width:0;height:1.5pt" o:hralign="center" o:hrstd="t" o:hr="t"/>
        </w:pict>
      </w:r>
    </w:p>
    <w:p w:rsidR="00CE4CC2" w:rsidRDefault="003A06E5">
      <w:pPr>
        <w:pStyle w:val="Titre1"/>
      </w:pPr>
      <w:bookmarkStart w:id="70" w:name="modèle-économique-et-rémunération"/>
      <w:bookmarkStart w:id="71" w:name="_Toc232734050"/>
      <w:bookmarkEnd w:id="60"/>
      <w:bookmarkEnd w:id="68"/>
      <w:r>
        <w:lastRenderedPageBreak/>
        <w:t>11. Modèle économique et rémunération</w:t>
      </w:r>
      <w:bookmarkEnd w:id="71"/>
    </w:p>
    <w:p w:rsidR="00CE4CC2" w:rsidRDefault="003A06E5">
      <w:pPr>
        <w:pStyle w:val="Titre2"/>
      </w:pPr>
      <w:bookmarkStart w:id="72" w:name="X8376d0e8268b9d8260b9b1d8feaab9b0e4cde9f"/>
      <w:bookmarkStart w:id="73" w:name="_Toc232734051"/>
      <w:r>
        <w:t xml:space="preserve">11.1 Statut des livreurs </w:t>
      </w:r>
      <w:r>
        <w:rPr>
          <w:i/>
          <w:iCs/>
        </w:rPr>
        <w:t>[Décision — lève la contradiction salarié/commission]</w:t>
      </w:r>
      <w:bookmarkEnd w:id="73"/>
    </w:p>
    <w:p w:rsidR="00CE4CC2" w:rsidRDefault="003A06E5">
      <w:pPr>
        <w:pStyle w:val="FirstParagraph"/>
      </w:pPr>
      <w:r>
        <w:t xml:space="preserve">Les livreurs ne sont pas des </w:t>
      </w:r>
      <w:r>
        <w:rPr>
          <w:b/>
          <w:bCs/>
        </w:rPr>
        <w:t>salariés</w:t>
      </w:r>
      <w:r>
        <w:t>. Leur rémunération combine :</w:t>
      </w:r>
    </w:p>
    <w:p w:rsidR="00CE4CC2" w:rsidRDefault="002C76A6">
      <w:pPr>
        <w:pStyle w:val="Compact"/>
        <w:numPr>
          <w:ilvl w:val="0"/>
          <w:numId w:val="5"/>
        </w:numPr>
      </w:pPr>
      <w:r>
        <w:t>80% pour chaque livraison effectuée ;</w:t>
      </w:r>
    </w:p>
    <w:p w:rsidR="002C76A6" w:rsidRDefault="002C76A6">
      <w:pPr>
        <w:pStyle w:val="Compact"/>
        <w:numPr>
          <w:ilvl w:val="0"/>
          <w:numId w:val="5"/>
        </w:numPr>
      </w:pPr>
      <w:r>
        <w:t>Pourboires potentiels ;</w:t>
      </w:r>
    </w:p>
    <w:p w:rsidR="00CE4CC2" w:rsidRDefault="003A06E5">
      <w:pPr>
        <w:pStyle w:val="Compact"/>
        <w:numPr>
          <w:ilvl w:val="0"/>
          <w:numId w:val="5"/>
        </w:numPr>
      </w:pPr>
      <w:r>
        <w:t xml:space="preserve">une </w:t>
      </w:r>
      <w:r>
        <w:rPr>
          <w:b/>
          <w:bCs/>
        </w:rPr>
        <w:t>prime de performance hebdomadaire</w:t>
      </w:r>
      <w:r>
        <w:t xml:space="preserve"> versée par MoMo et calculée par le système.</w:t>
      </w:r>
    </w:p>
    <w:p>
      <w:pPr>
        <w:pStyle w:val="Compact"/>
      </w:pPr>
      <w:r>
        <w:rPr>
          <w:b/>
        </w:rPr>
        <w:t xml:space="preserve">Prise en charge du transport [Décision] : </w:t>
      </w:r>
      <w:r>
        <w:t>les frais de déplacement sont par défaut à la charge du livreur (indépendant), couverts par sa part de 80 % et par la composante distance du prix (Prix_km). Les livreurs sans véhicule sont pleinement intégrés : ils déclarent au KYC leurs modes de transport disponibles (à pied, moto-taxi « benskin », moto personnelle, voiture) ainsi que la possession ou non d'un véhicule. L'affectation tient compte de cette capacité (poids/volume de la course) et affiche le gain net estimé — après coût de transport estimé — avant acceptation. Aucune avance ni remboursement de frais n'est pratiqué, afin d'écarter tout risque de requalification en contrat de travail.</w:t>
      </w:r>
    </w:p>
    <w:p w:rsidR="00CE4CC2" w:rsidRDefault="003A06E5">
      <w:pPr>
        <w:pStyle w:val="Titre2"/>
      </w:pPr>
      <w:bookmarkStart w:id="74" w:name="calcul-de-la-prime-bf38-décision"/>
      <w:bookmarkStart w:id="75" w:name="_Toc232734052"/>
      <w:bookmarkEnd w:id="72"/>
      <w:r>
        <w:t xml:space="preserve">11.2 Calcul de la prime (BF38) </w:t>
      </w:r>
      <w:r>
        <w:rPr>
          <w:i/>
          <w:iCs/>
        </w:rPr>
        <w:t>[Décision]</w:t>
      </w:r>
      <w:bookmarkEnd w:id="75"/>
    </w:p>
    <w:p w:rsidR="00CE4CC2" w:rsidRDefault="003A06E5">
      <w:pPr>
        <w:pStyle w:val="FirstParagraph"/>
      </w:pPr>
      <w:r>
        <w:rPr>
          <w:rStyle w:val="VerbatimChar"/>
        </w:rPr>
        <w:t>Prime_hebdo = (Σ valeur_des_courses_réalisées × taux_prime) × coef_score_qualité − déductions_imputables + (pourboires)</w:t>
      </w:r>
    </w:p>
    <w:p w:rsidR="00CE4CC2" w:rsidRDefault="003A06E5">
      <w:pPr>
        <w:pStyle w:val="Compact"/>
        <w:numPr>
          <w:ilvl w:val="0"/>
          <w:numId w:val="6"/>
        </w:numPr>
      </w:pPr>
      <w:r>
        <w:rPr>
          <w:rStyle w:val="VerbatimChar"/>
        </w:rPr>
        <w:t>taux_prime</w:t>
      </w:r>
      <w:r>
        <w:t xml:space="preserve"> : part configurable de la valeur produite (valeur initiale paramétrable, ex. 0,50) ;</w:t>
      </w:r>
    </w:p>
    <w:p w:rsidR="00CE4CC2" w:rsidRDefault="003A06E5">
      <w:pPr>
        <w:pStyle w:val="Compact"/>
        <w:numPr>
          <w:ilvl w:val="0"/>
          <w:numId w:val="6"/>
        </w:numPr>
      </w:pPr>
      <w:r>
        <w:rPr>
          <w:rStyle w:val="VerbatimChar"/>
        </w:rPr>
        <w:t>coef_score_qualité</w:t>
      </w:r>
      <w:r>
        <w:t xml:space="preserve"> : modulateur ∈ [0,8 ; 1,2] dérivé du score composite ;</w:t>
      </w:r>
    </w:p>
    <w:p w:rsidR="00CE4CC2" w:rsidRDefault="003A06E5">
      <w:pPr>
        <w:pStyle w:val="Compact"/>
        <w:numPr>
          <w:ilvl w:val="0"/>
          <w:numId w:val="6"/>
        </w:numPr>
      </w:pPr>
      <w:r>
        <w:rPr>
          <w:rStyle w:val="VerbatimChar"/>
        </w:rPr>
        <w:t>déductions_imputables</w:t>
      </w:r>
      <w:r>
        <w:t xml:space="preserve"> : pénalités/litiges à la charge du livreur, </w:t>
      </w:r>
      <w:r>
        <w:rPr>
          <w:b/>
          <w:bCs/>
        </w:rPr>
        <w:t>dans les limites légales</w:t>
      </w:r>
      <w:r>
        <w:t xml:space="preserve"> du Code du travail.</w:t>
      </w:r>
    </w:p>
    <w:p w:rsidR="00CE4CC2" w:rsidRDefault="003A06E5">
      <w:pPr>
        <w:pStyle w:val="Titre2"/>
      </w:pPr>
      <w:bookmarkStart w:id="76" w:name="X207e1c9f766d312106d0bfbc3c37cecfd137533"/>
      <w:bookmarkStart w:id="77" w:name="_Toc232734053"/>
      <w:bookmarkEnd w:id="74"/>
      <w:r>
        <w:t xml:space="preserve">11.3 Structure des revenus de la plateforme </w:t>
      </w:r>
      <w:r>
        <w:rPr>
          <w:i/>
          <w:iCs/>
        </w:rPr>
        <w:t>[Décision]</w:t>
      </w:r>
      <w:bookmarkEnd w:id="77"/>
    </w:p>
    <w:p w:rsidR="00CE4CC2" w:rsidRDefault="003A06E5">
      <w:pPr>
        <w:pStyle w:val="FirstParagraph"/>
      </w:pPr>
      <w:r>
        <w:t xml:space="preserve">La plateforme </w:t>
      </w:r>
      <w:r>
        <w:rPr>
          <w:b/>
          <w:bCs/>
        </w:rPr>
        <w:t>encaisse l’intégralité du prix de livraison</w:t>
      </w:r>
      <w:r>
        <w:t xml:space="preserve">. Le compte de résultat alloue le chiffre d’affaires aux postes suivants : masse salariale (base + primes), frais Mobile Money, SMS/notifications, cartographie, hébergement, et </w:t>
      </w:r>
      <w:r>
        <w:rPr>
          <w:b/>
          <w:bCs/>
        </w:rPr>
        <w:t>marge</w:t>
      </w:r>
      <w:r>
        <w:t xml:space="preserve">. Revenus annexes : 500 XAF fixes inter-villes ; 150 XAF/colis partenaire ; prolongation retrait 200 XAF/jour. Les </w:t>
      </w:r>
      <w:r>
        <w:rPr>
          <w:b/>
          <w:bCs/>
        </w:rPr>
        <w:t>frais Mobile Money</w:t>
      </w:r>
      <w:r>
        <w:t xml:space="preserve"> (encaissements clients et virements primes livreurs) sont </w:t>
      </w:r>
      <w:r>
        <w:rPr>
          <w:b/>
          <w:bCs/>
        </w:rPr>
        <w:t>explicitement</w:t>
      </w:r>
      <w:r>
        <w:t xml:space="preserve"> portés au compte de résultat (poste coûts variables).</w:t>
      </w:r>
    </w:p>
    <w:p w:rsidR="00CE4CC2" w:rsidRDefault="003A06E5">
      <w:pPr>
        <w:pStyle w:val="Titre2"/>
      </w:pPr>
      <w:bookmarkStart w:id="78" w:name="clients-entreprise-b2b-décision"/>
      <w:bookmarkStart w:id="79" w:name="_Toc232734054"/>
      <w:bookmarkEnd w:id="76"/>
      <w:r>
        <w:t xml:space="preserve">11.4 Clients entreprise (B2B) </w:t>
      </w:r>
      <w:r>
        <w:rPr>
          <w:i/>
          <w:iCs/>
        </w:rPr>
        <w:t>[Décision]</w:t>
      </w:r>
      <w:bookmarkEnd w:id="79"/>
    </w:p>
    <w:tbl>
      <w:tblPr>
        <w:tblStyle w:val="Table"/>
        <w:tblW w:w="5000" w:type="pct"/>
        <w:tblLook w:val="0020" w:firstRow="1" w:lastRow="0" w:firstColumn="0" w:lastColumn="0" w:noHBand="0" w:noVBand="0"/>
      </w:tblPr>
      <w:tblGrid>
        <w:gridCol w:w="1191"/>
        <w:gridCol w:w="3052"/>
        <w:gridCol w:w="1760"/>
        <w:gridCol w:w="2059"/>
        <w:gridCol w:w="1180"/>
      </w:tblGrid>
      <w:tr w:rsidR="00CE4CC2" w:rsidTr="00CE4CC2">
        <w:trPr>
          <w:cnfStyle w:val="100000000000" w:firstRow="1" w:lastRow="0" w:firstColumn="0" w:lastColumn="0" w:oddVBand="0" w:evenVBand="0" w:oddHBand="0" w:evenHBand="0" w:firstRowFirstColumn="0" w:firstRowLastColumn="0" w:lastRowFirstColumn="0" w:lastRowLastColumn="0"/>
          <w:tblHeader/>
        </w:trPr>
        <w:tc>
          <w:tcPr>
            <w:tcW w:w="0" w:type="auto"/>
          </w:tcPr>
          <w:p w:rsidR="00CE4CC2" w:rsidRDefault="003A06E5">
            <w:pPr>
              <w:pStyle w:val="Compact"/>
            </w:pPr>
            <w:r>
              <w:t>Palier</w:t>
            </w:r>
          </w:p>
        </w:tc>
        <w:tc>
          <w:tcPr>
            <w:tcW w:w="0" w:type="auto"/>
          </w:tcPr>
          <w:p w:rsidR="00CE4CC2" w:rsidRDefault="003A06E5">
            <w:pPr>
              <w:pStyle w:val="Compact"/>
            </w:pPr>
            <w:r>
              <w:t>Volume mensuel (mois précédent)</w:t>
            </w:r>
          </w:p>
        </w:tc>
        <w:tc>
          <w:tcPr>
            <w:tcW w:w="0" w:type="auto"/>
          </w:tcPr>
          <w:p w:rsidR="00CE4CC2" w:rsidRDefault="003A06E5">
            <w:pPr>
              <w:pStyle w:val="Compact"/>
            </w:pPr>
            <w:r>
              <w:t>Réduction</w:t>
            </w:r>
          </w:p>
        </w:tc>
        <w:tc>
          <w:tcPr>
            <w:tcW w:w="0" w:type="auto"/>
          </w:tcPr>
          <w:p w:rsidR="00CE4CC2" w:rsidRDefault="003A06E5">
            <w:pPr>
              <w:pStyle w:val="Compact"/>
            </w:pPr>
            <w:r>
              <w:t>Facturation</w:t>
            </w:r>
          </w:p>
        </w:tc>
        <w:tc>
          <w:tcPr>
            <w:tcW w:w="0" w:type="auto"/>
          </w:tcPr>
          <w:p w:rsidR="00CE4CC2" w:rsidRDefault="003A06E5">
            <w:pPr>
              <w:pStyle w:val="Compact"/>
            </w:pPr>
            <w:r>
              <w:t>SLA litiges</w:t>
            </w:r>
          </w:p>
        </w:tc>
      </w:tr>
      <w:tr w:rsidR="00CE4CC2">
        <w:tc>
          <w:tcPr>
            <w:tcW w:w="0" w:type="auto"/>
          </w:tcPr>
          <w:p w:rsidR="00CE4CC2" w:rsidRDefault="003A06E5">
            <w:pPr>
              <w:pStyle w:val="Compact"/>
            </w:pPr>
            <w:r>
              <w:t>Standard</w:t>
            </w:r>
          </w:p>
        </w:tc>
        <w:tc>
          <w:tcPr>
            <w:tcW w:w="0" w:type="auto"/>
          </w:tcPr>
          <w:p w:rsidR="00CE4CC2" w:rsidRDefault="003A06E5">
            <w:pPr>
              <w:pStyle w:val="Compact"/>
            </w:pPr>
            <w:r>
              <w:t>0 – 30</w:t>
            </w:r>
          </w:p>
        </w:tc>
        <w:tc>
          <w:tcPr>
            <w:tcW w:w="0" w:type="auto"/>
          </w:tcPr>
          <w:p w:rsidR="00CE4CC2" w:rsidRDefault="003A06E5">
            <w:pPr>
              <w:pStyle w:val="Compact"/>
            </w:pPr>
            <w:r>
              <w:t>Aucune</w:t>
            </w:r>
          </w:p>
        </w:tc>
        <w:tc>
          <w:tcPr>
            <w:tcW w:w="0" w:type="auto"/>
          </w:tcPr>
          <w:p w:rsidR="00CE4CC2" w:rsidRDefault="003A06E5">
            <w:pPr>
              <w:pStyle w:val="Compact"/>
            </w:pPr>
            <w:r>
              <w:t>Par transaction</w:t>
            </w:r>
          </w:p>
        </w:tc>
        <w:tc>
          <w:tcPr>
            <w:tcW w:w="0" w:type="auto"/>
          </w:tcPr>
          <w:p w:rsidR="00CE4CC2" w:rsidRDefault="003A06E5">
            <w:pPr>
              <w:pStyle w:val="Compact"/>
            </w:pPr>
            <w:r>
              <w:t>48 h</w:t>
            </w:r>
          </w:p>
        </w:tc>
      </w:tr>
      <w:tr w:rsidR="00CE4CC2">
        <w:tc>
          <w:tcPr>
            <w:tcW w:w="0" w:type="auto"/>
          </w:tcPr>
          <w:p w:rsidR="00CE4CC2" w:rsidRDefault="003A06E5">
            <w:pPr>
              <w:pStyle w:val="Compact"/>
            </w:pPr>
            <w:r>
              <w:t>Business</w:t>
            </w:r>
          </w:p>
        </w:tc>
        <w:tc>
          <w:tcPr>
            <w:tcW w:w="0" w:type="auto"/>
          </w:tcPr>
          <w:p w:rsidR="00CE4CC2" w:rsidRDefault="002C76A6">
            <w:pPr>
              <w:pStyle w:val="Compact"/>
            </w:pPr>
            <w:r>
              <w:t>31 – 70</w:t>
            </w:r>
          </w:p>
        </w:tc>
        <w:tc>
          <w:tcPr>
            <w:tcW w:w="0" w:type="auto"/>
          </w:tcPr>
          <w:p w:rsidR="00CE4CC2" w:rsidRDefault="003A06E5">
            <w:pPr>
              <w:pStyle w:val="Compact"/>
            </w:pPr>
            <w:r>
              <w:t>−10 % / livraison</w:t>
            </w:r>
          </w:p>
        </w:tc>
        <w:tc>
          <w:tcPr>
            <w:tcW w:w="0" w:type="auto"/>
          </w:tcPr>
          <w:p w:rsidR="00CE4CC2" w:rsidRDefault="003A06E5">
            <w:pPr>
              <w:pStyle w:val="Compact"/>
            </w:pPr>
            <w:r>
              <w:t>Consolidée, net 15 j</w:t>
            </w:r>
          </w:p>
        </w:tc>
        <w:tc>
          <w:tcPr>
            <w:tcW w:w="0" w:type="auto"/>
          </w:tcPr>
          <w:p w:rsidR="00CE4CC2" w:rsidRDefault="003A06E5">
            <w:pPr>
              <w:pStyle w:val="Compact"/>
            </w:pPr>
            <w:r>
              <w:t>24 h</w:t>
            </w:r>
          </w:p>
        </w:tc>
      </w:tr>
      <w:tr w:rsidR="00CE4CC2">
        <w:tc>
          <w:tcPr>
            <w:tcW w:w="0" w:type="auto"/>
          </w:tcPr>
          <w:p w:rsidR="00CE4CC2" w:rsidRDefault="003A06E5">
            <w:pPr>
              <w:pStyle w:val="Compact"/>
            </w:pPr>
            <w:r>
              <w:t>Premium</w:t>
            </w:r>
          </w:p>
        </w:tc>
        <w:tc>
          <w:tcPr>
            <w:tcW w:w="0" w:type="auto"/>
          </w:tcPr>
          <w:p w:rsidR="00CE4CC2" w:rsidRDefault="002C76A6">
            <w:pPr>
              <w:pStyle w:val="Compact"/>
            </w:pPr>
            <w:r>
              <w:t>&gt; 70</w:t>
            </w:r>
          </w:p>
        </w:tc>
        <w:tc>
          <w:tcPr>
            <w:tcW w:w="0" w:type="auto"/>
          </w:tcPr>
          <w:p w:rsidR="00CE4CC2" w:rsidRDefault="003A06E5">
            <w:pPr>
              <w:pStyle w:val="Compact"/>
            </w:pPr>
            <w:r>
              <w:t>−20 % / livraison</w:t>
            </w:r>
          </w:p>
        </w:tc>
        <w:tc>
          <w:tcPr>
            <w:tcW w:w="0" w:type="auto"/>
          </w:tcPr>
          <w:p w:rsidR="00CE4CC2" w:rsidRDefault="003A06E5">
            <w:pPr>
              <w:pStyle w:val="Compact"/>
            </w:pPr>
            <w:r>
              <w:t>Consolidée, net 30 j</w:t>
            </w:r>
          </w:p>
        </w:tc>
        <w:tc>
          <w:tcPr>
            <w:tcW w:w="0" w:type="auto"/>
          </w:tcPr>
          <w:p w:rsidR="00CE4CC2" w:rsidRDefault="003A06E5">
            <w:pPr>
              <w:pStyle w:val="Compact"/>
            </w:pPr>
            <w:r>
              <w:t>12 h</w:t>
            </w:r>
          </w:p>
        </w:tc>
      </w:tr>
    </w:tbl>
    <w:p w:rsidR="00CE4CC2" w:rsidRDefault="003A06E5">
      <w:pPr>
        <w:pStyle w:val="Corpsdetexte"/>
      </w:pPr>
      <w:r>
        <w:rPr>
          <w:b/>
          <w:bCs/>
        </w:rPr>
        <w:t>Sous-comptes</w:t>
      </w:r>
      <w:r>
        <w:t xml:space="preserve"> : rôles </w:t>
      </w:r>
      <w:r>
        <w:rPr>
          <w:i/>
          <w:iCs/>
        </w:rPr>
        <w:t>Admin entreprise</w:t>
      </w:r>
      <w:r>
        <w:t xml:space="preserve"> (gère comptes, plafonds, factures), </w:t>
      </w:r>
      <w:r>
        <w:rPr>
          <w:i/>
          <w:iCs/>
        </w:rPr>
        <w:t>Gestionnaire</w:t>
      </w:r>
      <w:r>
        <w:t xml:space="preserve"> (commande sans limite + suivi), </w:t>
      </w:r>
      <w:r>
        <w:rPr>
          <w:i/>
          <w:iCs/>
        </w:rPr>
        <w:t>Demandeur</w:t>
      </w:r>
      <w:r>
        <w:t xml:space="preserve"> (commande dans un </w:t>
      </w:r>
      <w:r>
        <w:rPr>
          <w:b/>
          <w:bCs/>
        </w:rPr>
        <w:t>plafond de dépense</w:t>
      </w:r>
      <w:r>
        <w:t xml:space="preserve"> configurable). </w:t>
      </w:r>
      <w:r>
        <w:rPr>
          <w:b/>
          <w:bCs/>
        </w:rPr>
        <w:t>Contrats cadre</w:t>
      </w:r>
      <w:r>
        <w:t xml:space="preserve"> signés électroniquement (signature OTP + piste d’audit, valeur probante au titre de la loi N°2010/021). </w:t>
      </w:r>
      <w:r>
        <w:rPr>
          <w:b/>
          <w:bCs/>
        </w:rPr>
        <w:t>Impayé B2B</w:t>
      </w:r>
      <w:r>
        <w:t xml:space="preserve"> : relance à échéance, </w:t>
      </w:r>
      <w:r>
        <w:rPr>
          <w:b/>
          <w:bCs/>
        </w:rPr>
        <w:t>suspension de la commande B2B</w:t>
      </w:r>
      <w:r>
        <w:t xml:space="preserve"> après délai de grâce (pas de mécanisme « 3 avertissements » consommateur). </w:t>
      </w:r>
      <w:r>
        <w:rPr>
          <w:b/>
          <w:bCs/>
        </w:rPr>
        <w:t>Transition de palier</w:t>
      </w:r>
      <w:r>
        <w:t xml:space="preserve"> : recalcul mensuel sur le volume du mois précédent ; tout changement s’applique au cycle suivant.</w:t>
      </w:r>
    </w:p>
    <w:p w:rsidR="00CE4CC2" w:rsidRDefault="003A06E5">
      <w:pPr>
        <w:pStyle w:val="Titre2"/>
      </w:pPr>
      <w:bookmarkStart w:id="80" w:name="périmètre-cod-et-module-futur-décision"/>
      <w:bookmarkStart w:id="81" w:name="_Toc232734055"/>
      <w:bookmarkEnd w:id="78"/>
      <w:r>
        <w:lastRenderedPageBreak/>
        <w:t xml:space="preserve">11.5 Périmètre COD et module futur </w:t>
      </w:r>
      <w:r>
        <w:rPr>
          <w:i/>
          <w:iCs/>
        </w:rPr>
        <w:t>[Décision]</w:t>
      </w:r>
      <w:bookmarkEnd w:id="81"/>
    </w:p>
    <w:p w:rsidR="00CE4CC2" w:rsidRDefault="003A06E5">
      <w:pPr>
        <w:pStyle w:val="FirstParagraph"/>
      </w:pPr>
      <w:r>
        <w:t xml:space="preserve">En MVP, le COD couvre </w:t>
      </w:r>
      <w:r>
        <w:rPr>
          <w:b/>
          <w:bCs/>
        </w:rPr>
        <w:t>exclusivement les frais de livraison</w:t>
      </w:r>
      <w:r>
        <w:t xml:space="preserve"> réglés en espèces par le receveur. L’encaissement de la </w:t>
      </w:r>
      <w:r>
        <w:rPr>
          <w:b/>
          <w:bCs/>
        </w:rPr>
        <w:t>valeur marchande</w:t>
      </w:r>
      <w:r>
        <w:t xml:space="preserve"> pour le compte de vendeurs (vrai COD e-commerce) — qui implique gestion de flottant, rapprochement et </w:t>
      </w:r>
      <w:r>
        <w:rPr>
          <w:b/>
          <w:bCs/>
        </w:rPr>
        <w:t>reversement marchand</w:t>
      </w:r>
      <w:r>
        <w:t xml:space="preserve"> sous contraintes BEAC/COBAC — fait l’objet d’un </w:t>
      </w:r>
      <w:r>
        <w:rPr>
          <w:b/>
          <w:bCs/>
        </w:rPr>
        <w:t>module dédié en Phase 2</w:t>
      </w:r>
      <w:r>
        <w:t xml:space="preserve"> (Encaissement &amp; Reversement) hors du présent périmètre.</w:t>
      </w:r>
    </w:p>
    <w:p w:rsidR="00CE4CC2" w:rsidRDefault="003A06E5">
      <w:r>
        <w:pict>
          <v:rect id="_x0000_i1035" style="width:0;height:1.5pt" o:hralign="center" o:hrstd="t" o:hr="t"/>
        </w:pict>
      </w:r>
    </w:p>
    <w:p w:rsidR="00CE4CC2" w:rsidRDefault="003A06E5">
      <w:pPr>
        <w:pStyle w:val="Titre1"/>
      </w:pPr>
      <w:bookmarkStart w:id="82" w:name="architecture-technique"/>
      <w:bookmarkStart w:id="83" w:name="_Toc232734056"/>
      <w:bookmarkEnd w:id="70"/>
      <w:bookmarkEnd w:id="80"/>
      <w:r>
        <w:t>12. Architecture technique</w:t>
      </w:r>
      <w:bookmarkEnd w:id="83"/>
    </w:p>
    <w:p w:rsidR="00CE4CC2" w:rsidRDefault="003A06E5">
      <w:pPr>
        <w:pStyle w:val="Titre2"/>
      </w:pPr>
      <w:bookmarkStart w:id="84" w:name="écosystème-applicatif"/>
      <w:bookmarkStart w:id="85" w:name="_Toc232734057"/>
      <w:r>
        <w:t>12.1 Écosystème applicatif</w:t>
      </w:r>
      <w:bookmarkEnd w:id="85"/>
    </w:p>
    <w:p w:rsidR="00CE4CC2" w:rsidRDefault="003A06E5">
      <w:pPr>
        <w:pStyle w:val="Compact"/>
        <w:numPr>
          <w:ilvl w:val="0"/>
          <w:numId w:val="7"/>
        </w:numPr>
      </w:pPr>
      <w:r>
        <w:t xml:space="preserve">Application mobile </w:t>
      </w:r>
      <w:r>
        <w:rPr>
          <w:b/>
          <w:bCs/>
        </w:rPr>
        <w:t>client</w:t>
      </w:r>
      <w:r>
        <w:t xml:space="preserve"> — React Native (iOS 13+ &amp; Android 8+).</w:t>
      </w:r>
    </w:p>
    <w:p w:rsidR="00CE4CC2" w:rsidRDefault="003A06E5">
      <w:pPr>
        <w:pStyle w:val="Compact"/>
        <w:numPr>
          <w:ilvl w:val="0"/>
          <w:numId w:val="7"/>
        </w:numPr>
      </w:pPr>
      <w:r>
        <w:t xml:space="preserve">Application mobile </w:t>
      </w:r>
      <w:r>
        <w:rPr>
          <w:b/>
          <w:bCs/>
        </w:rPr>
        <w:t>livreur</w:t>
      </w:r>
      <w:r>
        <w:t xml:space="preserve"> — React Native (iOS 13+ &amp; Android 8+), offline-first.</w:t>
      </w:r>
    </w:p>
    <w:p w:rsidR="00CE4CC2" w:rsidRDefault="003A06E5">
      <w:pPr>
        <w:pStyle w:val="Compact"/>
        <w:numPr>
          <w:ilvl w:val="0"/>
          <w:numId w:val="7"/>
        </w:numPr>
      </w:pPr>
      <w:r>
        <w:rPr>
          <w:b/>
          <w:bCs/>
        </w:rPr>
        <w:t>PWA partenaire</w:t>
      </w:r>
      <w:r>
        <w:t xml:space="preserve"> mobile-first installable (scan QR, vérification d’identité), accessible sur smartphone sans ordinateur ni store, et </w:t>
      </w:r>
      <w:r>
        <w:rPr>
          <w:b/>
          <w:bCs/>
        </w:rPr>
        <w:t>PWA de suivi receveur</w:t>
      </w:r>
      <w:r>
        <w:t>.</w:t>
      </w:r>
    </w:p>
    <w:p w:rsidR="00CE4CC2" w:rsidRDefault="003A06E5">
      <w:pPr>
        <w:pStyle w:val="Compact"/>
        <w:numPr>
          <w:ilvl w:val="0"/>
          <w:numId w:val="7"/>
        </w:numPr>
      </w:pPr>
      <w:r>
        <w:rPr>
          <w:b/>
          <w:bCs/>
        </w:rPr>
        <w:t>Dashboard web</w:t>
      </w:r>
      <w:r>
        <w:t xml:space="preserve"> super admin + co-admins — Angular 17 (SPA).</w:t>
      </w:r>
    </w:p>
    <w:p w:rsidR="00CE4CC2" w:rsidRDefault="003A06E5">
      <w:pPr>
        <w:pStyle w:val="Compact"/>
        <w:numPr>
          <w:ilvl w:val="0"/>
          <w:numId w:val="7"/>
        </w:numPr>
      </w:pPr>
      <w:r>
        <w:rPr>
          <w:b/>
          <w:bCs/>
        </w:rPr>
        <w:t>API backend</w:t>
      </w:r>
      <w:r>
        <w:t xml:space="preserve"> — Spring Boot / Java, modules : Auth, Utilisateurs, Livraisons, Tournées, Paiements, Facturation, Notifications, Chat, Partenaires, Ramassage, B2B, Promotions, Rémunérations, Admin, Audit.</w:t>
      </w:r>
    </w:p>
    <w:p w:rsidR="00CE4CC2" w:rsidRDefault="003A06E5">
      <w:pPr>
        <w:pStyle w:val="Compact"/>
        <w:numPr>
          <w:ilvl w:val="0"/>
          <w:numId w:val="7"/>
        </w:numPr>
      </w:pPr>
      <w:r>
        <w:rPr>
          <w:b/>
          <w:bCs/>
        </w:rPr>
        <w:t>Microservice IA</w:t>
      </w:r>
      <w:r>
        <w:t xml:space="preserve"> — Python/FastAPI + OR-Tools (attribution VRP, ETA, scoring, anomalies GPS, clustering).</w:t>
      </w:r>
    </w:p>
    <w:p w:rsidR="00CE4CC2" w:rsidRDefault="003A06E5">
      <w:pPr>
        <w:pStyle w:val="Titre2"/>
      </w:pPr>
      <w:bookmarkStart w:id="86" w:name="données-et-messagerie"/>
      <w:bookmarkStart w:id="87" w:name="_Toc232734058"/>
      <w:bookmarkEnd w:id="84"/>
      <w:r>
        <w:t>12.2 Données et messagerie</w:t>
      </w:r>
      <w:bookmarkEnd w:id="87"/>
    </w:p>
    <w:p w:rsidR="00CE4CC2" w:rsidRDefault="003A06E5">
      <w:pPr>
        <w:pStyle w:val="FirstParagraph"/>
      </w:pPr>
      <w:r>
        <w:rPr>
          <w:b/>
          <w:bCs/>
        </w:rPr>
        <w:t>PostgreSQL 16 + PostGIS 3</w:t>
      </w:r>
      <w:r>
        <w:t xml:space="preserve"> (géospatial, proximité), </w:t>
      </w:r>
      <w:r>
        <w:rPr>
          <w:b/>
          <w:bCs/>
        </w:rPr>
        <w:t>Redis 7</w:t>
      </w:r>
      <w:r>
        <w:t xml:space="preserve"> (cache, files, WebSocket pub/sub). Mobile : </w:t>
      </w:r>
      <w:r>
        <w:rPr>
          <w:b/>
          <w:bCs/>
        </w:rPr>
        <w:t>SQLite + SQLCipher</w:t>
      </w:r>
      <w:r>
        <w:t xml:space="preserve"> (cache chiffré offline-first).</w:t>
      </w:r>
    </w:p>
    <w:p w:rsidR="00CE4CC2" w:rsidRDefault="003A06E5">
      <w:pPr>
        <w:pStyle w:val="Titre2"/>
      </w:pPr>
      <w:bookmarkStart w:id="88" w:name="cartographie-et-services-tiers-décision"/>
      <w:bookmarkStart w:id="89" w:name="_Toc232734059"/>
      <w:bookmarkEnd w:id="86"/>
      <w:r>
        <w:t xml:space="preserve">12.3 Cartographie et services tiers </w:t>
      </w:r>
      <w:r>
        <w:rPr>
          <w:i/>
          <w:iCs/>
        </w:rPr>
        <w:t>[Décision]</w:t>
      </w:r>
      <w:bookmarkEnd w:id="89"/>
    </w:p>
    <w:p w:rsidR="00CE4CC2" w:rsidRDefault="003A06E5">
      <w:pPr>
        <w:pStyle w:val="FirstParagraph"/>
      </w:pPr>
      <w:r>
        <w:rPr>
          <w:b/>
          <w:bCs/>
        </w:rPr>
        <w:t>Mapbox en fournisseur principal</w:t>
      </w:r>
      <w:r>
        <w:t xml:space="preserve"> (routing/matrices et ETA) pour la maîtrise des coûts au volume MVP ; </w:t>
      </w:r>
      <w:r>
        <w:rPr>
          <w:b/>
          <w:bCs/>
        </w:rPr>
        <w:t>Google Maps Distance Matrix en secours</w:t>
      </w:r>
      <w:r>
        <w:t xml:space="preserve"> (précision/qualité) en cas d’indisponibilité ou pour cas spécifiques. </w:t>
      </w:r>
      <w:r>
        <w:rPr>
          <w:b/>
          <w:bCs/>
        </w:rPr>
        <w:t>Cache des matrices de distance</w:t>
      </w:r>
      <w:r>
        <w:t xml:space="preserve"> (Redis) pour éviter les appels redondants. Autres services : Orange Money, MTN MoMo, FCM (push), passerelle SMS (agrégateur local + Infobip/Twilio en secours), WhatsApp Business (templates approuvés).</w:t>
      </w:r>
    </w:p>
    <w:p w:rsidR="00CE4CC2" w:rsidRDefault="003A06E5">
      <w:pPr>
        <w:pStyle w:val="Titre2"/>
      </w:pPr>
      <w:bookmarkStart w:id="90" w:name="Xbb04ce94283cef77686548eb0ac2a3861213da6"/>
      <w:bookmarkStart w:id="91" w:name="_Toc232734060"/>
      <w:bookmarkEnd w:id="88"/>
      <w:r>
        <w:t xml:space="preserve">12.4 Infrastructure et niveaux de service </w:t>
      </w:r>
      <w:r>
        <w:rPr>
          <w:i/>
          <w:iCs/>
        </w:rPr>
        <w:t>[Décision]</w:t>
      </w:r>
      <w:bookmarkEnd w:id="91"/>
    </w:p>
    <w:p w:rsidR="00CE4CC2" w:rsidRDefault="003A06E5">
      <w:pPr>
        <w:pStyle w:val="Compact"/>
        <w:numPr>
          <w:ilvl w:val="0"/>
          <w:numId w:val="8"/>
        </w:numPr>
      </w:pPr>
      <w:r>
        <w:rPr>
          <w:b/>
          <w:bCs/>
        </w:rPr>
        <w:t>Phase 1 (MVP)</w:t>
      </w:r>
      <w:r>
        <w:t xml:space="preserve"> : </w:t>
      </w:r>
      <w:r>
        <w:rPr>
          <w:b/>
          <w:bCs/>
        </w:rPr>
        <w:t>mono-VPS</w:t>
      </w:r>
      <w:r>
        <w:t xml:space="preserve"> Ubuntu 22.04 (4 vCPU, 8 Go RAM, 80 Go SSD), Docker + Docker Compose, NGINX reverse proxy, redémarrage automatique des conteneurs. SLA </w:t>
      </w:r>
      <w:r>
        <w:rPr>
          <w:b/>
          <w:bCs/>
        </w:rPr>
        <w:t>best effort ≈ 99,0 %</w:t>
      </w:r>
      <w:r>
        <w:t>, RTO &lt; 4 h, RPO &lt; 24 h. Sauvegardes pg_dump quotidiennes (30 j) vers Backblaze B2. Monitoring Grafana + Loki.</w:t>
      </w:r>
    </w:p>
    <w:p w:rsidR="00CE4CC2" w:rsidRDefault="003A06E5">
      <w:pPr>
        <w:pStyle w:val="Compact"/>
        <w:numPr>
          <w:ilvl w:val="0"/>
          <w:numId w:val="8"/>
        </w:numPr>
      </w:pPr>
      <w:r>
        <w:rPr>
          <w:b/>
          <w:bCs/>
        </w:rPr>
        <w:t>Phase 2 (montée en charge)</w:t>
      </w:r>
      <w:r>
        <w:t xml:space="preserve"> : </w:t>
      </w:r>
      <w:r>
        <w:rPr>
          <w:b/>
          <w:bCs/>
        </w:rPr>
        <w:t>haute disponibilité</w:t>
      </w:r>
      <w:r>
        <w:t xml:space="preserve"> — load-balancer + 2+ instances applicatives, </w:t>
      </w:r>
      <w:r>
        <w:rPr>
          <w:b/>
          <w:bCs/>
        </w:rPr>
        <w:t>PostgreSQL répliqué/managé</w:t>
      </w:r>
      <w:r>
        <w:t xml:space="preserve">, réplique Redis, déploiement multi-zones, pour viser </w:t>
      </w:r>
      <w:r>
        <w:rPr>
          <w:b/>
          <w:bCs/>
        </w:rPr>
        <w:t>≥ 99,5 %</w:t>
      </w:r>
      <w:r>
        <w:t>. Découplage progressif des modules en services autonomes.</w:t>
      </w:r>
    </w:p>
    <w:p w:rsidR="00CE4CC2" w:rsidRDefault="003A06E5">
      <w:pPr>
        <w:pStyle w:val="FirstParagraph"/>
      </w:pPr>
      <w:r>
        <w:t>CI/CD : GitHub Actions (build, tests, déploiement).</w:t>
      </w:r>
    </w:p>
    <w:p w:rsidR="00CE4CC2" w:rsidRDefault="003A06E5">
      <w:r>
        <w:lastRenderedPageBreak/>
        <w:pict>
          <v:rect id="_x0000_i1036" style="width:0;height:1.5pt" o:hralign="center" o:hrstd="t" o:hr="t"/>
        </w:pict>
      </w:r>
    </w:p>
    <w:p xmlns:a="http://schemas.openxmlformats.org/drawingml/2006/main" xmlns:pic="http://schemas.openxmlformats.org/drawingml/2006/picture">
      <w:pPr>
        <w:jc w:val="center"/>
        <w:spacing w:before="160" w:after="40"/>
      </w:pPr>
      <w:r>
        <w:drawing>
          <wp:inline distT="0" distB="0" distL="0" distR="0">
            <wp:extent cx="5669280" cy="2283229"/>
            <wp:effectExtent l="0" t="0" r="0" b="0"/>
            <wp:docPr id="1003" name="archi_technique.png"/>
            <wp:cNvGraphicFramePr>
              <a:graphicFrameLocks noChangeAspect="1"/>
            </wp:cNvGraphicFramePr>
            <a:graphic>
              <a:graphicData uri="http://schemas.openxmlformats.org/drawingml/2006/picture">
                <pic:pic>
                  <pic:nvPicPr>
                    <pic:cNvPr id="1003" name="archi_technique.png"/>
                    <pic:cNvPicPr/>
                  </pic:nvPicPr>
                  <pic:blipFill>
                    <a:blip r:embed="rId13"/>
                    <a:stretch>
                      <a:fillRect/>
                    </a:stretch>
                  </pic:blipFill>
                  <pic:spPr>
                    <a:xfrm>
                      <a:off x="0" y="0"/>
                      <a:ext cx="5669280" cy="2283229"/>
                    </a:xfrm>
                    <a:prstGeom prst="rect">
                      <a:avLst/>
                    </a:prstGeom>
                  </pic:spPr>
                </pic:pic>
              </a:graphicData>
            </a:graphic>
          </wp:inline>
        </w:drawing>
      </w:r>
    </w:p>
    <w:p>
      <w:pPr>
        <w:jc w:val="center"/>
        <w:spacing w:before="0" w:after="200"/>
      </w:pPr>
      <w:r>
        <w:rPr>
          <w:i/>
          <w:sz w:val="18"/>
          <w:szCs w:val="18"/>
          <w:color w:val="555555"/>
        </w:rPr>
        <w:t xml:space="preserve">Figure 3 — Architecture technique en couches</w:t>
      </w:r>
    </w:p>
    <w:p w:rsidR="00CE4CC2" w:rsidRDefault="003A06E5">
      <w:pPr>
        <w:pStyle w:val="Titre1"/>
      </w:pPr>
      <w:bookmarkStart w:id="92" w:name="Xdaac8a74ee537975771cf100d21a9dd8a0a979a"/>
      <w:bookmarkStart w:id="93" w:name="_Toc232734061"/>
      <w:bookmarkEnd w:id="82"/>
      <w:bookmarkEnd w:id="90"/>
      <w:r>
        <w:t xml:space="preserve">13. Modèle de données de référence (domaine) </w:t>
      </w:r>
      <w:r>
        <w:rPr>
          <w:i/>
          <w:iCs/>
        </w:rPr>
        <w:t>[Décision]</w:t>
      </w:r>
      <w:bookmarkEnd w:id="93"/>
    </w:p>
    <w:p w:rsidR="00CE4CC2" w:rsidRDefault="003A06E5">
      <w:pPr>
        <w:pStyle w:val="FirstParagraph"/>
      </w:pPr>
      <w:r>
        <w:t xml:space="preserve">Modèle conceptuel de haut niveau (les attributs listés sont indicatifs ; l’ERD détaillé relève du livrable de conception). Tables sensibles soumises au </w:t>
      </w:r>
      <w:r>
        <w:rPr>
          <w:b/>
          <w:bCs/>
        </w:rPr>
        <w:t>soft delete</w:t>
      </w:r>
      <w:r>
        <w:t xml:space="preserve"> (</w:t>
      </w:r>
      <w:r>
        <w:rPr>
          <w:rStyle w:val="VerbatimChar"/>
        </w:rPr>
        <w:t>deletedAt</w:t>
      </w:r>
      <w:r>
        <w:t>).</w:t>
      </w:r>
    </w:p>
    <w:p w:rsidR="00CE4CC2" w:rsidRDefault="003A06E5">
      <w:pPr>
        <w:pStyle w:val="Compact"/>
        <w:numPr>
          <w:ilvl w:val="0"/>
          <w:numId w:val="9"/>
        </w:numPr>
      </w:pPr>
      <w:r>
        <w:rPr>
          <w:b/>
          <w:bCs/>
        </w:rPr>
        <w:t>Utilisateur</w:t>
      </w:r>
      <w:r>
        <w:t xml:space="preserve"> </w:t>
      </w:r>
      <w:r>
        <w:rPr>
          <w:i/>
          <w:iCs/>
        </w:rPr>
        <w:t>(id, téléphone, rôle, nom, statut, hasApp, créé/maj/supprimé)</w:t>
      </w:r>
      <w:r>
        <w:t xml:space="preserve"> — spécialisé en </w:t>
      </w:r>
      <w:r>
        <w:rPr>
          <w:b/>
          <w:bCs/>
        </w:rPr>
        <w:t>Client</w:t>
      </w:r>
      <w:r>
        <w:t xml:space="preserve">, </w:t>
      </w:r>
      <w:r>
        <w:rPr>
          <w:b/>
          <w:bCs/>
        </w:rPr>
        <w:t>Livreur</w:t>
      </w:r>
      <w:r>
        <w:t xml:space="preserve">, </w:t>
      </w:r>
      <w:r>
        <w:rPr>
          <w:b/>
          <w:bCs/>
        </w:rPr>
        <w:t>Partenaire</w:t>
      </w:r>
      <w:r>
        <w:t xml:space="preserve">, </w:t>
      </w:r>
      <w:r>
        <w:rPr>
          <w:b/>
          <w:bCs/>
        </w:rPr>
        <w:t>Admin</w:t>
      </w:r>
      <w:r>
        <w:t>.</w:t>
      </w:r>
    </w:p>
    <w:p w:rsidR="00CE4CC2" w:rsidRDefault="003A06E5">
      <w:pPr>
        <w:pStyle w:val="Compact"/>
        <w:numPr>
          <w:ilvl w:val="0"/>
          <w:numId w:val="9"/>
        </w:numPr>
      </w:pPr>
      <w:r>
        <w:rPr>
          <w:b/>
          <w:bCs/>
        </w:rPr>
        <w:t>Livreur</w:t>
      </w:r>
      <w:r>
        <w:t xml:space="preserve"> </w:t>
      </w:r>
      <w:r>
        <w:rPr>
          <w:i/>
          <w:iCs/>
        </w:rPr>
        <w:t>(statutKYC, contratRef, scoreActuel, soldePrimeHebdo, enLigne, modesTransport, aPropreVehicule)</w:t>
      </w:r>
      <w:r>
        <w:t>.</w:t>
      </w:r>
    </w:p>
    <w:p w:rsidR="00CE4CC2" w:rsidRDefault="003A06E5">
      <w:pPr>
        <w:pStyle w:val="Compact"/>
        <w:numPr>
          <w:ilvl w:val="0"/>
          <w:numId w:val="9"/>
        </w:numPr>
      </w:pPr>
      <w:r>
        <w:rPr>
          <w:b/>
          <w:bCs/>
        </w:rPr>
        <w:t>ClientEntreprise</w:t>
      </w:r>
      <w:r>
        <w:t xml:space="preserve"> </w:t>
      </w:r>
      <w:r>
        <w:rPr>
          <w:i/>
          <w:iCs/>
        </w:rPr>
        <w:t>(rccm, palier, plafondCrédit, conditionsRèglement)</w:t>
      </w:r>
      <w:r>
        <w:t xml:space="preserve"> ↔ </w:t>
      </w:r>
      <w:r>
        <w:rPr>
          <w:b/>
          <w:bCs/>
        </w:rPr>
        <w:t>SousCompte</w:t>
      </w:r>
      <w:r>
        <w:t xml:space="preserve"> </w:t>
      </w:r>
      <w:r>
        <w:rPr>
          <w:i/>
          <w:iCs/>
        </w:rPr>
        <w:t>(rôle, plafondDépense)</w:t>
      </w:r>
      <w:r>
        <w:t>.</w:t>
      </w:r>
    </w:p>
    <w:p w:rsidR="00CE4CC2" w:rsidRDefault="003A06E5">
      <w:pPr>
        <w:pStyle w:val="Compact"/>
        <w:numPr>
          <w:ilvl w:val="0"/>
          <w:numId w:val="9"/>
        </w:numPr>
      </w:pPr>
      <w:r>
        <w:rPr>
          <w:b/>
          <w:bCs/>
        </w:rPr>
        <w:t>Adresse</w:t>
      </w:r>
      <w:r>
        <w:t xml:space="preserve"> </w:t>
      </w:r>
      <w:r>
        <w:rPr>
          <w:i/>
          <w:iCs/>
        </w:rPr>
        <w:t>(libellé, repères, latitude, longitude, photoUrl, zone)</w:t>
      </w:r>
      <w:r>
        <w:t xml:space="preserve"> — carnet d’adresses.</w:t>
      </w:r>
    </w:p>
    <w:p w:rsidR="00CE4CC2" w:rsidRDefault="003A06E5">
      <w:pPr>
        <w:pStyle w:val="Compact"/>
        <w:numPr>
          <w:ilvl w:val="0"/>
          <w:numId w:val="9"/>
        </w:numPr>
      </w:pPr>
      <w:r>
        <w:rPr>
          <w:b/>
          <w:bCs/>
        </w:rPr>
        <w:t>Colis</w:t>
      </w:r>
      <w:r>
        <w:t xml:space="preserve"> </w:t>
      </w:r>
      <w:r>
        <w:rPr>
          <w:i/>
          <w:iCs/>
        </w:rPr>
        <w:t>(description, poids, photoUrl, valeurDéclarée?)</w:t>
      </w:r>
      <w:r>
        <w:t>.</w:t>
      </w:r>
    </w:p>
    <w:p w:rsidR="00CE4CC2" w:rsidRDefault="003A06E5">
      <w:pPr>
        <w:pStyle w:val="Compact"/>
        <w:numPr>
          <w:ilvl w:val="0"/>
          <w:numId w:val="9"/>
        </w:numPr>
      </w:pPr>
      <w:r>
        <w:rPr>
          <w:b/>
          <w:bCs/>
        </w:rPr>
        <w:t>Livraison</w:t>
      </w:r>
      <w:r>
        <w:t xml:space="preserve"> </w:t>
      </w:r>
      <w:r>
        <w:rPr>
          <w:i/>
          <w:iCs/>
        </w:rPr>
        <w:t>(type, statut, prixDétail, distance, origine, destination, créneau?, dateProgrammée?, modePaiement, horodatages)</w:t>
      </w:r>
      <w:r>
        <w:t>.</w:t>
      </w:r>
    </w:p>
    <w:p w:rsidR="00CE4CC2" w:rsidRDefault="003A06E5">
      <w:pPr>
        <w:pStyle w:val="Compact"/>
        <w:numPr>
          <w:ilvl w:val="0"/>
          <w:numId w:val="9"/>
        </w:numPr>
      </w:pPr>
      <w:r>
        <w:rPr>
          <w:b/>
          <w:bCs/>
        </w:rPr>
        <w:t>Tronçon</w:t>
      </w:r>
      <w:r>
        <w:t xml:space="preserve"> </w:t>
      </w:r>
      <w:r>
        <w:rPr>
          <w:i/>
          <w:iCs/>
        </w:rPr>
        <w:t>(ordre, origine, destination, statut)</w:t>
      </w:r>
      <w:r>
        <w:t xml:space="preserve"> — pour inter-villes et commande inversée.</w:t>
      </w:r>
    </w:p>
    <w:p w:rsidR="00CE4CC2" w:rsidRDefault="003A06E5">
      <w:pPr>
        <w:pStyle w:val="Compact"/>
        <w:numPr>
          <w:ilvl w:val="0"/>
          <w:numId w:val="9"/>
        </w:numPr>
      </w:pPr>
      <w:r>
        <w:rPr>
          <w:b/>
          <w:bCs/>
        </w:rPr>
        <w:t>Tournée</w:t>
      </w:r>
      <w:r>
        <w:t xml:space="preserve"> </w:t>
      </w:r>
      <w:r>
        <w:rPr>
          <w:i/>
          <w:iCs/>
        </w:rPr>
        <w:t>(livreur, ordreStops, etaParStop, gainEstimé)</w:t>
      </w:r>
      <w:r>
        <w:t xml:space="preserve"> ↔ </w:t>
      </w:r>
      <w:r>
        <w:rPr>
          <w:b/>
          <w:bCs/>
        </w:rPr>
        <w:t>AffectationMission</w:t>
      </w:r>
      <w:r>
        <w:t xml:space="preserve"> </w:t>
      </w:r>
      <w:r>
        <w:rPr>
          <w:i/>
          <w:iCs/>
        </w:rPr>
        <w:t>(livraison, proposéeÀ, acceptée, timeout)</w:t>
      </w:r>
      <w:r>
        <w:t>.</w:t>
      </w:r>
    </w:p>
    <w:p w:rsidR="00CE4CC2" w:rsidRDefault="003A06E5">
      <w:pPr>
        <w:pStyle w:val="Compact"/>
        <w:numPr>
          <w:ilvl w:val="0"/>
          <w:numId w:val="9"/>
        </w:numPr>
      </w:pPr>
      <w:r>
        <w:rPr>
          <w:b/>
          <w:bCs/>
        </w:rPr>
        <w:t>JetonLivraison</w:t>
      </w:r>
      <w:r>
        <w:t xml:space="preserve"> </w:t>
      </w:r>
      <w:r>
        <w:rPr>
          <w:i/>
          <w:iCs/>
        </w:rPr>
        <w:t>(livraisonId, pin, qr, signature, expiration)</w:t>
      </w:r>
      <w:r>
        <w:t>.</w:t>
      </w:r>
    </w:p>
    <w:p w:rsidR="00CE4CC2" w:rsidRDefault="003A06E5">
      <w:pPr>
        <w:pStyle w:val="Compact"/>
        <w:numPr>
          <w:ilvl w:val="0"/>
          <w:numId w:val="9"/>
        </w:numPr>
      </w:pPr>
      <w:r>
        <w:rPr>
          <w:b/>
          <w:bCs/>
        </w:rPr>
        <w:t>PreuveLivraison</w:t>
      </w:r>
      <w:r>
        <w:t xml:space="preserve"> </w:t>
      </w:r>
      <w:r>
        <w:rPr>
          <w:i/>
          <w:iCs/>
        </w:rPr>
        <w:t>(type: photo/otp/jeton/signature, donnée, latitude, longitude, horodatage)</w:t>
      </w:r>
      <w:r>
        <w:t>.</w:t>
      </w:r>
    </w:p>
    <w:p w:rsidR="00CE4CC2" w:rsidRDefault="003A06E5">
      <w:pPr>
        <w:pStyle w:val="Compact"/>
        <w:numPr>
          <w:ilvl w:val="0"/>
          <w:numId w:val="9"/>
        </w:numPr>
      </w:pPr>
      <w:r>
        <w:rPr>
          <w:b/>
          <w:bCs/>
        </w:rPr>
        <w:t>Paiement / Transaction</w:t>
      </w:r>
      <w:r>
        <w:t xml:space="preserve"> </w:t>
      </w:r>
      <w:r>
        <w:rPr>
          <w:i/>
          <w:iCs/>
        </w:rPr>
        <w:t>(montant, mode, statut, fr015MoMo?, preuves[])</w:t>
      </w:r>
      <w:r>
        <w:t xml:space="preserve"> + </w:t>
      </w:r>
      <w:r>
        <w:rPr>
          <w:b/>
          <w:bCs/>
        </w:rPr>
        <w:t>Pourboire</w:t>
      </w:r>
      <w:r>
        <w:t>.</w:t>
      </w:r>
    </w:p>
    <w:p w:rsidR="00CE4CC2" w:rsidRDefault="003A06E5">
      <w:pPr>
        <w:pStyle w:val="Compact"/>
        <w:numPr>
          <w:ilvl w:val="0"/>
          <w:numId w:val="9"/>
        </w:numPr>
      </w:pPr>
      <w:r>
        <w:rPr>
          <w:b/>
          <w:bCs/>
        </w:rPr>
        <w:t>LotRamassage</w:t>
      </w:r>
      <w:r>
        <w:t xml:space="preserve"> </w:t>
      </w:r>
      <w:r>
        <w:rPr>
          <w:i/>
          <w:iCs/>
        </w:rPr>
        <w:t>(structure, jour, heure, statut)</w:t>
      </w:r>
      <w:r>
        <w:t xml:space="preserve"> ↔ </w:t>
      </w:r>
      <w:r>
        <w:rPr>
          <w:b/>
          <w:bCs/>
        </w:rPr>
        <w:t>LigneLot</w:t>
      </w:r>
      <w:r>
        <w:t xml:space="preserve"> </w:t>
      </w:r>
      <w:r>
        <w:rPr>
          <w:i/>
          <w:iCs/>
        </w:rPr>
        <w:t>(commande)</w:t>
      </w:r>
      <w:r>
        <w:t>.</w:t>
      </w:r>
    </w:p>
    <w:p w:rsidR="00CE4CC2" w:rsidRDefault="003A06E5">
      <w:pPr>
        <w:pStyle w:val="Compact"/>
        <w:numPr>
          <w:ilvl w:val="0"/>
          <w:numId w:val="9"/>
        </w:numPr>
      </w:pPr>
      <w:r>
        <w:rPr>
          <w:b/>
          <w:bCs/>
        </w:rPr>
        <w:t>RetraitPartenaire</w:t>
      </w:r>
      <w:r>
        <w:t xml:space="preserve"> </w:t>
      </w:r>
      <w:r>
        <w:rPr>
          <w:i/>
          <w:iCs/>
        </w:rPr>
        <w:t>(partenaire, dateDépôt, dateLimite, prolongations, statut)</w:t>
      </w:r>
      <w:r>
        <w:t>.</w:t>
      </w:r>
    </w:p>
    <w:p w:rsidR="00CE4CC2" w:rsidRDefault="003A06E5">
      <w:pPr>
        <w:pStyle w:val="Compact"/>
        <w:numPr>
          <w:ilvl w:val="0"/>
          <w:numId w:val="9"/>
        </w:numPr>
      </w:pPr>
      <w:r>
        <w:rPr>
          <w:b/>
          <w:bCs/>
        </w:rPr>
        <w:t>Pénalité / Dette</w:t>
      </w:r>
      <w:r>
        <w:t xml:space="preserve"> </w:t>
      </w:r>
      <w:r>
        <w:rPr>
          <w:i/>
          <w:iCs/>
        </w:rPr>
        <w:t>(acteur, motif, montant/points, statut, bloquante)</w:t>
      </w:r>
      <w:r>
        <w:t>.</w:t>
      </w:r>
    </w:p>
    <w:p w:rsidR="00CE4CC2" w:rsidRDefault="003A06E5">
      <w:pPr>
        <w:pStyle w:val="Compact"/>
        <w:numPr>
          <w:ilvl w:val="0"/>
          <w:numId w:val="9"/>
        </w:numPr>
      </w:pPr>
      <w:r>
        <w:rPr>
          <w:b/>
          <w:bCs/>
        </w:rPr>
        <w:t>Évaluation</w:t>
      </w:r>
      <w:r>
        <w:t xml:space="preserve"> </w:t>
      </w:r>
      <w:r>
        <w:rPr>
          <w:i/>
          <w:iCs/>
        </w:rPr>
        <w:t>(émetteur, cible, note, commentaire, sens)</w:t>
      </w:r>
      <w:r>
        <w:t>.</w:t>
      </w:r>
    </w:p>
    <w:p w:rsidR="00CE4CC2" w:rsidRDefault="003A06E5">
      <w:pPr>
        <w:pStyle w:val="Compact"/>
        <w:numPr>
          <w:ilvl w:val="0"/>
          <w:numId w:val="9"/>
        </w:numPr>
      </w:pPr>
      <w:r>
        <w:rPr>
          <w:b/>
          <w:bCs/>
        </w:rPr>
        <w:t>Promotion / CodePromo</w:t>
      </w:r>
      <w:r>
        <w:t xml:space="preserve"> </w:t>
      </w:r>
      <w:r>
        <w:rPr>
          <w:i/>
          <w:iCs/>
        </w:rPr>
        <w:t>(type, valeur, plafond, période)</w:t>
      </w:r>
      <w:r>
        <w:t xml:space="preserve"> + </w:t>
      </w:r>
      <w:r>
        <w:rPr>
          <w:b/>
          <w:bCs/>
        </w:rPr>
        <w:t>Parrainage</w:t>
      </w:r>
      <w:r>
        <w:t>.</w:t>
      </w:r>
    </w:p>
    <w:p w:rsidR="00CE4CC2" w:rsidRDefault="003A06E5">
      <w:pPr>
        <w:pStyle w:val="Compact"/>
        <w:numPr>
          <w:ilvl w:val="0"/>
          <w:numId w:val="9"/>
        </w:numPr>
      </w:pPr>
      <w:r>
        <w:rPr>
          <w:b/>
          <w:bCs/>
        </w:rPr>
        <w:t>Facture</w:t>
      </w:r>
      <w:r>
        <w:t xml:space="preserve"> </w:t>
      </w:r>
      <w:r>
        <w:rPr>
          <w:i/>
          <w:iCs/>
        </w:rPr>
        <w:t>(entreprise, période, lignes[], échéance, statut)</w:t>
      </w:r>
      <w:r>
        <w:t>.</w:t>
      </w:r>
    </w:p>
    <w:p w:rsidR="00CE4CC2" w:rsidRDefault="003A06E5">
      <w:pPr>
        <w:pStyle w:val="Compact"/>
        <w:numPr>
          <w:ilvl w:val="0"/>
          <w:numId w:val="9"/>
        </w:numPr>
      </w:pPr>
      <w:r>
        <w:rPr>
          <w:b/>
          <w:bCs/>
        </w:rPr>
        <w:t>Notification</w:t>
      </w:r>
      <w:r>
        <w:t xml:space="preserve"> </w:t>
      </w:r>
      <w:r>
        <w:rPr>
          <w:i/>
          <w:iCs/>
        </w:rPr>
        <w:t>(canal, modèle, destinataire, statut)</w:t>
      </w:r>
      <w:r>
        <w:t>.</w:t>
      </w:r>
    </w:p>
    <w:p w:rsidR="00CE4CC2" w:rsidRDefault="003A06E5">
      <w:pPr>
        <w:pStyle w:val="Compact"/>
        <w:numPr>
          <w:ilvl w:val="0"/>
          <w:numId w:val="9"/>
        </w:numPr>
      </w:pPr>
      <w:r>
        <w:rPr>
          <w:b/>
          <w:bCs/>
        </w:rPr>
        <w:t>JournalAudit</w:t>
      </w:r>
      <w:r>
        <w:t xml:space="preserve"> </w:t>
      </w:r>
      <w:r>
        <w:rPr>
          <w:i/>
          <w:iCs/>
        </w:rPr>
        <w:t>(acteur, action, horodatage, immuable)</w:t>
      </w:r>
      <w:r>
        <w:t xml:space="preserve"> + </w:t>
      </w:r>
      <w:r>
        <w:rPr>
          <w:b/>
          <w:bCs/>
        </w:rPr>
        <w:t>JournalDécisionIA</w:t>
      </w:r>
      <w:r>
        <w:t xml:space="preserve"> </w:t>
      </w:r>
      <w:r>
        <w:rPr>
          <w:i/>
          <w:iCs/>
        </w:rPr>
        <w:t>(livraison, entrées, sorties, modèleVersion)</w:t>
      </w:r>
      <w:r>
        <w:t>.</w:t>
      </w:r>
    </w:p>
    <w:p w:rsidR="00CE4CC2" w:rsidRDefault="003A06E5">
      <w:r>
        <w:pict>
          <v:rect id="_x0000_i1037" style="width:0;height:1.5pt" o:hralign="center" o:hrstd="t" o:hr="t"/>
        </w:pict>
      </w:r>
    </w:p>
    <w:p xmlns:a="http://schemas.openxmlformats.org/drawingml/2006/main" xmlns:pic="http://schemas.openxmlformats.org/drawingml/2006/picture">
      <w:pPr>
        <w:jc w:val="center"/>
        <w:spacing w:before="160" w:after="40"/>
      </w:pPr>
      <w:r>
        <w:drawing>
          <wp:inline distT="0" distB="0" distL="0" distR="0">
            <wp:extent cx="5852160" cy="2937873"/>
            <wp:effectExtent l="0" t="0" r="0" b="0"/>
            <wp:docPr id="1004" name="cct_mcd.png"/>
            <wp:cNvGraphicFramePr>
              <a:graphicFrameLocks noChangeAspect="1"/>
            </wp:cNvGraphicFramePr>
            <a:graphic>
              <a:graphicData uri="http://schemas.openxmlformats.org/drawingml/2006/picture">
                <pic:pic>
                  <pic:nvPicPr>
                    <pic:cNvPr id="1004" name="cct_mcd.png"/>
                    <pic:cNvPicPr/>
                  </pic:nvPicPr>
                  <pic:blipFill>
                    <a:blip r:embed="rId14"/>
                    <a:stretch>
                      <a:fillRect/>
                    </a:stretch>
                  </pic:blipFill>
                  <pic:spPr>
                    <a:xfrm>
                      <a:off x="0" y="0"/>
                      <a:ext cx="5852160" cy="2937873"/>
                    </a:xfrm>
                    <a:prstGeom prst="rect">
                      <a:avLst/>
                    </a:prstGeom>
                  </pic:spPr>
                </pic:pic>
              </a:graphicData>
            </a:graphic>
          </wp:inline>
        </w:drawing>
      </w:r>
    </w:p>
    <w:p>
      <w:pPr>
        <w:jc w:val="center"/>
        <w:spacing w:before="0" w:after="200"/>
      </w:pPr>
      <w:r>
        <w:rPr>
          <w:i/>
          <w:sz w:val="18"/>
          <w:szCs w:val="18"/>
          <w:color w:val="555555"/>
        </w:rPr>
        <w:t xml:space="preserve">Figure 4 — Modèle conceptuel de données du domaine</w:t>
      </w:r>
    </w:p>
    <w:p w:rsidR="00CE4CC2" w:rsidRDefault="003A06E5">
      <w:pPr>
        <w:pStyle w:val="Titre1"/>
      </w:pPr>
      <w:bookmarkStart w:id="94" w:name="sécurité-multicouche"/>
      <w:bookmarkStart w:id="95" w:name="_Toc232734062"/>
      <w:bookmarkEnd w:id="92"/>
      <w:r>
        <w:t>14. Sécurité multicouche</w:t>
      </w:r>
      <w:bookmarkEnd w:id="95"/>
    </w:p>
    <w:p w:rsidR="00CE4CC2" w:rsidRDefault="003A06E5">
      <w:pPr>
        <w:pStyle w:val="FirstParagraph"/>
      </w:pPr>
      <w:r>
        <w:rPr>
          <w:b/>
          <w:bCs/>
        </w:rPr>
        <w:t>Mobile :</w:t>
      </w:r>
      <w:r>
        <w:t xml:space="preserve"> certificate pinning (anti-MITM) ; détection root/jailbreak (couche dissuasive → désactivation des fonctions sensibles) ; </w:t>
      </w:r>
      <w:r>
        <w:rPr>
          <w:b/>
          <w:bCs/>
        </w:rPr>
        <w:t>détection + masquage</w:t>
      </w:r>
      <w:r>
        <w:t xml:space="preserve"> des captures d’écran sur les écrans paiement/OTP (l’interdiction stricte n’étant pas garantie par iOS) ; chiffrement local SQLCipher (AES-256). </w:t>
      </w:r>
      <w:r>
        <w:rPr>
          <w:b/>
          <w:bCs/>
        </w:rPr>
        <w:t>API :</w:t>
      </w:r>
      <w:r>
        <w:t xml:space="preserve"> rate limiting par IP et par compte ; WAF (injections SQL, XSS, CSRF) ; validation stricte des entrées (class-validator) ; journaux d’audit immuables ; accès SSH par clé uniquement, fail2ban. </w:t>
      </w:r>
      <w:r>
        <w:rPr>
          <w:b/>
          <w:bCs/>
        </w:rPr>
        <w:lastRenderedPageBreak/>
        <w:t>Fichiers/Infra :</w:t>
      </w:r>
      <w:r>
        <w:t xml:space="preserve"> scan ClamAV à chaque upload (photos + fichiers ramassage) ; types acceptés jpg, png, pdf, csv, xlsx (max 10 Mo) ; réseau Docker isolé ; NGINX point d’entrée unique ; tests de pénétration semestriels. </w:t>
      </w:r>
      <w:r>
        <w:rPr>
          <w:b/>
          <w:bCs/>
        </w:rPr>
        <w:t>Authentification :</w:t>
      </w:r>
      <w:r>
        <w:t xml:space="preserve"> privilégier l’approbation </w:t>
      </w:r>
      <w:r>
        <w:rPr>
          <w:b/>
          <w:bCs/>
        </w:rPr>
        <w:t>in-app/push</w:t>
      </w:r>
      <w:r>
        <w:t xml:space="preserve"> ; réserver l’OTP-SMS aux receveurs sans app (l’OTP-SMS étant la forme de 2FA la plus exposée au SIM-swap).</w:t>
      </w:r>
    </w:p>
    <w:p w:rsidR="00CE4CC2" w:rsidRDefault="003A06E5">
      <w:r>
        <w:pict>
          <v:rect id="_x0000_i1038" style="width:0;height:1.5pt" o:hralign="center" o:hrstd="t" o:hr="t"/>
        </w:pict>
      </w:r>
    </w:p>
    <w:p w:rsidR="00CE4CC2" w:rsidRDefault="003A06E5">
      <w:pPr>
        <w:pStyle w:val="Titre1"/>
      </w:pPr>
      <w:bookmarkStart w:id="96" w:name="Xce93f26c8e9b7cfcb6fc610768ec67ab1113d37"/>
      <w:bookmarkStart w:id="97" w:name="_Toc232734063"/>
      <w:bookmarkEnd w:id="94"/>
      <w:r>
        <w:t>15. Cadre juridique, conformité et protection des données</w:t>
      </w:r>
      <w:bookmarkEnd w:id="97"/>
    </w:p>
    <w:p w:rsidR="00CE4CC2" w:rsidRDefault="003A06E5">
      <w:pPr>
        <w:pStyle w:val="Titre2"/>
      </w:pPr>
      <w:bookmarkStart w:id="98" w:name="textes-applicables"/>
      <w:bookmarkStart w:id="99" w:name="_Toc232734064"/>
      <w:r>
        <w:t>15.1 Textes applicables</w:t>
      </w:r>
      <w:bookmarkEnd w:id="99"/>
    </w:p>
    <w:tbl>
      <w:tblPr>
        <w:tblStyle w:val="Table"/>
        <w:tblW w:w="5000" w:type="pct"/>
        <w:tblLook w:val="0020" w:firstRow="1" w:lastRow="0" w:firstColumn="0" w:lastColumn="0" w:noHBand="0" w:noVBand="0"/>
      </w:tblPr>
      <w:tblGrid>
        <w:gridCol w:w="2795"/>
        <w:gridCol w:w="2067"/>
        <w:gridCol w:w="4380"/>
      </w:tblGrid>
      <w:tr w:rsidR="00CE4CC2" w:rsidTr="00CE4CC2">
        <w:trPr>
          <w:cnfStyle w:val="100000000000" w:firstRow="1" w:lastRow="0" w:firstColumn="0" w:lastColumn="0" w:oddVBand="0" w:evenVBand="0" w:oddHBand="0" w:evenHBand="0" w:firstRowFirstColumn="0" w:firstRowLastColumn="0" w:lastRowFirstColumn="0" w:lastRowLastColumn="0"/>
          <w:tblHeader/>
        </w:trPr>
        <w:tc>
          <w:tcPr>
            <w:tcW w:w="0" w:type="auto"/>
          </w:tcPr>
          <w:p w:rsidR="00CE4CC2" w:rsidRDefault="003A06E5">
            <w:pPr>
              <w:pStyle w:val="Compact"/>
            </w:pPr>
            <w:r>
              <w:t>Texte</w:t>
            </w:r>
          </w:p>
        </w:tc>
        <w:tc>
          <w:tcPr>
            <w:tcW w:w="0" w:type="auto"/>
          </w:tcPr>
          <w:p w:rsidR="00CE4CC2" w:rsidRDefault="003A06E5">
            <w:pPr>
              <w:pStyle w:val="Compact"/>
            </w:pPr>
            <w:r>
              <w:t>Domaine</w:t>
            </w:r>
          </w:p>
        </w:tc>
        <w:tc>
          <w:tcPr>
            <w:tcW w:w="0" w:type="auto"/>
          </w:tcPr>
          <w:p w:rsidR="00CE4CC2" w:rsidRDefault="003A06E5">
            <w:pPr>
              <w:pStyle w:val="Compact"/>
            </w:pPr>
            <w:r>
              <w:t>Implications ASAP</w:t>
            </w:r>
          </w:p>
        </w:tc>
      </w:tr>
      <w:tr w:rsidR="00CE4CC2">
        <w:tc>
          <w:tcPr>
            <w:tcW w:w="0" w:type="auto"/>
          </w:tcPr>
          <w:p w:rsidR="00CE4CC2" w:rsidRDefault="003A06E5">
            <w:pPr>
              <w:pStyle w:val="Compact"/>
            </w:pPr>
            <w:r>
              <w:t>Loi N°2010/012 du 21/12/2010</w:t>
            </w:r>
          </w:p>
        </w:tc>
        <w:tc>
          <w:tcPr>
            <w:tcW w:w="0" w:type="auto"/>
          </w:tcPr>
          <w:p w:rsidR="00CE4CC2" w:rsidRDefault="003A06E5">
            <w:pPr>
              <w:pStyle w:val="Compact"/>
            </w:pPr>
            <w:r>
              <w:t>Cybersécurité</w:t>
            </w:r>
          </w:p>
        </w:tc>
        <w:tc>
          <w:tcPr>
            <w:tcW w:w="0" w:type="auto"/>
          </w:tcPr>
          <w:p w:rsidR="00CE4CC2" w:rsidRDefault="003A06E5">
            <w:pPr>
              <w:pStyle w:val="Compact"/>
            </w:pPr>
            <w:r>
              <w:t>Sécurisation des données, journaux d’audit, responsabilité en cas de violation.</w:t>
            </w:r>
          </w:p>
        </w:tc>
      </w:tr>
      <w:tr w:rsidR="00CE4CC2">
        <w:tc>
          <w:tcPr>
            <w:tcW w:w="0" w:type="auto"/>
          </w:tcPr>
          <w:p w:rsidR="00CE4CC2" w:rsidRDefault="003A06E5">
            <w:pPr>
              <w:pStyle w:val="Compact"/>
            </w:pPr>
            <w:r>
              <w:t>Loi N°2010/021 du 21/12/2010</w:t>
            </w:r>
          </w:p>
        </w:tc>
        <w:tc>
          <w:tcPr>
            <w:tcW w:w="0" w:type="auto"/>
          </w:tcPr>
          <w:p w:rsidR="00CE4CC2" w:rsidRDefault="003A06E5">
            <w:pPr>
              <w:pStyle w:val="Compact"/>
            </w:pPr>
            <w:r>
              <w:t>Commerce électronique</w:t>
            </w:r>
          </w:p>
        </w:tc>
        <w:tc>
          <w:tcPr>
            <w:tcW w:w="0" w:type="auto"/>
          </w:tcPr>
          <w:p w:rsidR="00CE4CC2" w:rsidRDefault="003A06E5">
            <w:pPr>
              <w:pStyle w:val="Compact"/>
            </w:pPr>
            <w:r>
              <w:t xml:space="preserve">CGU claires, </w:t>
            </w:r>
            <w:r>
              <w:rPr>
                <w:b/>
                <w:bCs/>
              </w:rPr>
              <w:t>valeur probante</w:t>
            </w:r>
            <w:r>
              <w:t xml:space="preserve"> des transactions et signatures électroniques.</w:t>
            </w:r>
          </w:p>
        </w:tc>
      </w:tr>
      <w:tr w:rsidR="00CE4CC2">
        <w:tc>
          <w:tcPr>
            <w:tcW w:w="0" w:type="auto"/>
          </w:tcPr>
          <w:p w:rsidR="00CE4CC2" w:rsidRDefault="003A06E5">
            <w:pPr>
              <w:pStyle w:val="Compact"/>
            </w:pPr>
            <w:r>
              <w:t>Acte uniforme OHADA (droit comptable)</w:t>
            </w:r>
          </w:p>
        </w:tc>
        <w:tc>
          <w:tcPr>
            <w:tcW w:w="0" w:type="auto"/>
          </w:tcPr>
          <w:p w:rsidR="00CE4CC2" w:rsidRDefault="003A06E5">
            <w:pPr>
              <w:pStyle w:val="Compact"/>
            </w:pPr>
            <w:r>
              <w:t>Comptabilité</w:t>
            </w:r>
          </w:p>
        </w:tc>
        <w:tc>
          <w:tcPr>
            <w:tcW w:w="0" w:type="auto"/>
          </w:tcPr>
          <w:p w:rsidR="00CE4CC2" w:rsidRDefault="003A06E5">
            <w:pPr>
              <w:pStyle w:val="Compact"/>
            </w:pPr>
            <w:r>
              <w:rPr>
                <w:b/>
                <w:bCs/>
              </w:rPr>
              <w:t>Conservation des pièces comptables (durée légale longue, usuellement 10 ans).</w:t>
            </w:r>
          </w:p>
        </w:tc>
      </w:tr>
      <w:tr w:rsidR="00CE4CC2">
        <w:tc>
          <w:tcPr>
            <w:tcW w:w="0" w:type="auto"/>
          </w:tcPr>
          <w:p w:rsidR="00CE4CC2" w:rsidRDefault="003A06E5">
            <w:pPr>
              <w:pStyle w:val="Compact"/>
            </w:pPr>
            <w:r>
              <w:t>Réglementation BEAC/COBAC</w:t>
            </w:r>
          </w:p>
        </w:tc>
        <w:tc>
          <w:tcPr>
            <w:tcW w:w="0" w:type="auto"/>
          </w:tcPr>
          <w:p w:rsidR="00CE4CC2" w:rsidRDefault="003A06E5">
            <w:pPr>
              <w:pStyle w:val="Compact"/>
            </w:pPr>
            <w:r>
              <w:t>Monnaie électronique</w:t>
            </w:r>
          </w:p>
        </w:tc>
        <w:tc>
          <w:tcPr>
            <w:tcW w:w="0" w:type="auto"/>
          </w:tcPr>
          <w:p w:rsidR="00CE4CC2" w:rsidRDefault="003A06E5">
            <w:pPr>
              <w:pStyle w:val="Compact"/>
            </w:pPr>
            <w:r>
              <w:t>Conformité Mobile Money, plafonds, traçabilité.</w:t>
            </w:r>
          </w:p>
        </w:tc>
      </w:tr>
    </w:tbl>
    <w:p w:rsidR="00CE4CC2" w:rsidRDefault="003A06E5">
      <w:pPr>
        <w:pStyle w:val="Titre2"/>
      </w:pPr>
      <w:bookmarkStart w:id="100" w:name="X71d7e05bbc1d77db37c524cfd324a2716cf9a46"/>
      <w:bookmarkStart w:id="101" w:name="_Toc232734065"/>
      <w:bookmarkEnd w:id="98"/>
      <w:r>
        <w:t xml:space="preserve">15.2 Protection des données et durées de conservation </w:t>
      </w:r>
      <w:r>
        <w:rPr>
          <w:i/>
          <w:iCs/>
        </w:rPr>
        <w:t>[Décision]</w:t>
      </w:r>
      <w:bookmarkEnd w:id="101"/>
    </w:p>
    <w:p w:rsidR="00CE4CC2" w:rsidRDefault="003A06E5">
      <w:pPr>
        <w:pStyle w:val="Compact"/>
        <w:numPr>
          <w:ilvl w:val="0"/>
          <w:numId w:val="10"/>
        </w:numPr>
      </w:pPr>
      <w:r>
        <w:t xml:space="preserve">Consentement explicite (CGU + politique de confidentialité) à l’inscription ; collecte minimale ; droits d’accès, rectification et </w:t>
      </w:r>
      <w:r>
        <w:rPr>
          <w:b/>
          <w:bCs/>
        </w:rPr>
        <w:t>effacement</w:t>
      </w:r>
      <w:r>
        <w:t xml:space="preserve"> depuis le profil.</w:t>
      </w:r>
    </w:p>
    <w:p w:rsidR="00CE4CC2" w:rsidRDefault="003A06E5">
      <w:pPr>
        <w:pStyle w:val="Compact"/>
        <w:numPr>
          <w:ilvl w:val="0"/>
          <w:numId w:val="10"/>
        </w:numPr>
      </w:pPr>
      <w:r>
        <w:t xml:space="preserve">Chiffrement AES-256 au repos, TLS 1.3 en transit. Numéros des receveurs tiers utilisés </w:t>
      </w:r>
      <w:r>
        <w:rPr>
          <w:b/>
          <w:bCs/>
        </w:rPr>
        <w:t>uniquement</w:t>
      </w:r>
      <w:r>
        <w:t xml:space="preserve"> pour la livraison concernée, avec écran de consentement minimal sur la page de suivi.</w:t>
      </w:r>
    </w:p>
    <w:p w:rsidR="00CE4CC2" w:rsidRDefault="003A06E5">
      <w:pPr>
        <w:pStyle w:val="Compact"/>
        <w:numPr>
          <w:ilvl w:val="0"/>
          <w:numId w:val="10"/>
        </w:numPr>
      </w:pPr>
      <w:r>
        <w:rPr>
          <w:b/>
          <w:bCs/>
        </w:rPr>
        <w:t>Durées de conservation :</w:t>
      </w:r>
      <w:r>
        <w:t xml:space="preserve"> données opérationnelles </w:t>
      </w:r>
      <w:r>
        <w:rPr>
          <w:b/>
          <w:bCs/>
        </w:rPr>
        <w:t>3 ans</w:t>
      </w:r>
      <w:r>
        <w:t xml:space="preserve"> ; </w:t>
      </w:r>
      <w:r>
        <w:rPr>
          <w:b/>
          <w:bCs/>
        </w:rPr>
        <w:t>pièces comptables et financières (transactions, factures, preuves de paiement) ~10 ans (OHADA)</w:t>
      </w:r>
      <w:r>
        <w:t xml:space="preserve"> ; </w:t>
      </w:r>
      <w:r>
        <w:rPr>
          <w:b/>
          <w:bCs/>
        </w:rPr>
        <w:t xml:space="preserve">registres de paie </w:t>
      </w:r>
      <w:bookmarkStart w:id="102" w:name="_GoBack"/>
      <w:bookmarkEnd w:id="102"/>
      <w:r>
        <w:t xml:space="preserve">selon la durée légale du travail ; conversations </w:t>
      </w:r>
      <w:r>
        <w:rPr>
          <w:b/>
          <w:bCs/>
        </w:rPr>
        <w:t>1 an</w:t>
      </w:r>
      <w:r>
        <w:t>.</w:t>
      </w:r>
    </w:p>
    <w:p w:rsidR="00CE4CC2" w:rsidRDefault="003A06E5">
      <w:pPr>
        <w:pStyle w:val="Compact"/>
        <w:numPr>
          <w:ilvl w:val="0"/>
          <w:numId w:val="10"/>
        </w:numPr>
      </w:pPr>
      <w:r>
        <w:rPr>
          <w:b/>
          <w:bCs/>
        </w:rPr>
        <w:t>Politique d’effacement :</w:t>
      </w:r>
      <w:r>
        <w:t xml:space="preserve"> sur demande, les </w:t>
      </w:r>
      <w:r>
        <w:rPr>
          <w:b/>
          <w:bCs/>
        </w:rPr>
        <w:t>PII</w:t>
      </w:r>
      <w:r>
        <w:t xml:space="preserve"> sont anonymisées ; les enregistrements légalement obligatoires (comptables, RH) sont </w:t>
      </w:r>
      <w:r>
        <w:rPr>
          <w:b/>
          <w:bCs/>
        </w:rPr>
        <w:t>conservés sous forme anonymisée/pseudonymisée</w:t>
      </w:r>
      <w:r>
        <w:t>. La politique de confidentialité informe l’utilisateur de cette distinction.</w:t>
      </w:r>
    </w:p>
    <w:p w:rsidR="00CE4CC2" w:rsidRDefault="003A06E5">
      <w:pPr>
        <w:pStyle w:val="FirstParagraph"/>
      </w:pPr>
      <w:r>
        <w:rPr>
          <w:i/>
          <w:iCs/>
        </w:rPr>
        <w:t>(Les durées sont indicatives et doivent être confirmées par un conseil juridique avant mise en production.)</w:t>
      </w:r>
    </w:p>
    <w:p w:rsidR="00CE4CC2" w:rsidRDefault="003A06E5">
      <w:r>
        <w:pict>
          <v:rect id="_x0000_i1039" style="width:0;height:1.5pt" o:hralign="center" o:hrstd="t" o:hr="t"/>
        </w:pict>
      </w:r>
    </w:p>
    <w:p w:rsidR="00CE4CC2" w:rsidRDefault="003A06E5">
      <w:pPr>
        <w:pStyle w:val="Titre1"/>
      </w:pPr>
      <w:bookmarkStart w:id="103" w:name="gestion-des-risques-iso-27005"/>
      <w:bookmarkStart w:id="104" w:name="_Toc232734066"/>
      <w:bookmarkEnd w:id="96"/>
      <w:bookmarkEnd w:id="100"/>
      <w:r>
        <w:t>16. Gestion des risques (ISO 27005)</w:t>
      </w:r>
      <w:bookmarkEnd w:id="104"/>
    </w:p>
    <w:tbl>
      <w:tblPr>
        <w:tblStyle w:val="Table"/>
        <w:tblW w:w="5000" w:type="pct"/>
        <w:tblLook w:val="0020" w:firstRow="1" w:lastRow="0" w:firstColumn="0" w:lastColumn="0" w:noHBand="0" w:noVBand="0"/>
      </w:tblPr>
      <w:tblGrid>
        <w:gridCol w:w="2639"/>
        <w:gridCol w:w="1251"/>
        <w:gridCol w:w="1043"/>
        <w:gridCol w:w="4309"/>
      </w:tblGrid>
      <w:tr w:rsidR="00CE4CC2" w:rsidTr="00CE4CC2">
        <w:trPr>
          <w:cnfStyle w:val="100000000000" w:firstRow="1" w:lastRow="0" w:firstColumn="0" w:lastColumn="0" w:oddVBand="0" w:evenVBand="0" w:oddHBand="0" w:evenHBand="0" w:firstRowFirstColumn="0" w:firstRowLastColumn="0" w:lastRowFirstColumn="0" w:lastRowLastColumn="0"/>
          <w:tblHeader/>
        </w:trPr>
        <w:tc>
          <w:tcPr>
            <w:tcW w:w="0" w:type="auto"/>
          </w:tcPr>
          <w:p w:rsidR="00CE4CC2" w:rsidRDefault="003A06E5">
            <w:pPr>
              <w:pStyle w:val="Compact"/>
            </w:pPr>
            <w:r>
              <w:t>Risque</w:t>
            </w:r>
          </w:p>
        </w:tc>
        <w:tc>
          <w:tcPr>
            <w:tcW w:w="0" w:type="auto"/>
          </w:tcPr>
          <w:p w:rsidR="00CE4CC2" w:rsidRDefault="003A06E5">
            <w:pPr>
              <w:pStyle w:val="Compact"/>
            </w:pPr>
            <w:r>
              <w:t>Prob.</w:t>
            </w:r>
          </w:p>
        </w:tc>
        <w:tc>
          <w:tcPr>
            <w:tcW w:w="0" w:type="auto"/>
          </w:tcPr>
          <w:p w:rsidR="00CE4CC2" w:rsidRDefault="003A06E5">
            <w:pPr>
              <w:pStyle w:val="Compact"/>
            </w:pPr>
            <w:r>
              <w:t>Impact</w:t>
            </w:r>
          </w:p>
        </w:tc>
        <w:tc>
          <w:tcPr>
            <w:tcW w:w="0" w:type="auto"/>
          </w:tcPr>
          <w:p w:rsidR="00CE4CC2" w:rsidRDefault="003A06E5">
            <w:pPr>
              <w:pStyle w:val="Compact"/>
            </w:pPr>
            <w:r>
              <w:t>Mitigation</w:t>
            </w:r>
          </w:p>
        </w:tc>
      </w:tr>
      <w:tr w:rsidR="00CE4CC2">
        <w:tc>
          <w:tcPr>
            <w:tcW w:w="0" w:type="auto"/>
          </w:tcPr>
          <w:p w:rsidR="00CE4CC2" w:rsidRDefault="003A06E5">
            <w:pPr>
              <w:pStyle w:val="Compact"/>
            </w:pPr>
            <w:r>
              <w:t xml:space="preserve">Coupure </w:t>
              <w:lastRenderedPageBreak/>
              <w:t>réseau/ENEO en mission</w:t>
            </w:r>
          </w:p>
        </w:tc>
        <w:tc>
          <w:tcPr>
            <w:tcW w:w="0" w:type="auto"/>
          </w:tcPr>
          <w:p w:rsidR="00CE4CC2" w:rsidRDefault="003A06E5">
            <w:pPr>
              <w:pStyle w:val="Compact"/>
            </w:pPr>
            <w:r>
              <w:lastRenderedPageBreak/>
              <w:t>Élevée</w:t>
            </w:r>
          </w:p>
        </w:tc>
        <w:tc>
          <w:tcPr>
            <w:tcW w:w="0" w:type="auto"/>
          </w:tcPr>
          <w:p w:rsidR="00CE4CC2" w:rsidRDefault="003A06E5">
            <w:pPr>
              <w:pStyle w:val="Compact"/>
            </w:pPr>
            <w:r>
              <w:t>Moyen</w:t>
            </w:r>
          </w:p>
        </w:tc>
        <w:tc>
          <w:tcPr>
            <w:tcW w:w="0" w:type="auto"/>
          </w:tcPr>
          <w:p w:rsidR="00CE4CC2" w:rsidRDefault="003A06E5">
            <w:pPr>
              <w:pStyle w:val="Compact"/>
            </w:pPr>
            <w:r>
              <w:t xml:space="preserve">Offline-first : cache chiffré, GPS + </w:t>
              <w:lastRenderedPageBreak/>
              <w:t>jeton signé sans internet, sync différée.</w:t>
            </w:r>
          </w:p>
        </w:tc>
      </w:tr>
      <w:tr w:rsidR="00CE4CC2">
        <w:tc>
          <w:tcPr>
            <w:tcW w:w="0" w:type="auto"/>
          </w:tcPr>
          <w:p w:rsidR="00CE4CC2" w:rsidRDefault="003A06E5">
            <w:pPr>
              <w:pStyle w:val="Compact"/>
            </w:pPr>
            <w:r>
              <w:lastRenderedPageBreak/>
              <w:t>Indisponibilité API Mobile Money</w:t>
            </w:r>
          </w:p>
        </w:tc>
        <w:tc>
          <w:tcPr>
            <w:tcW w:w="0" w:type="auto"/>
          </w:tcPr>
          <w:p w:rsidR="00CE4CC2" w:rsidRDefault="003A06E5">
            <w:pPr>
              <w:pStyle w:val="Compact"/>
            </w:pPr>
            <w:r>
              <w:t>Moyenne</w:t>
            </w:r>
          </w:p>
        </w:tc>
        <w:tc>
          <w:tcPr>
            <w:tcW w:w="0" w:type="auto"/>
          </w:tcPr>
          <w:p w:rsidR="00CE4CC2" w:rsidRDefault="003A06E5">
            <w:pPr>
              <w:pStyle w:val="Compact"/>
            </w:pPr>
            <w:r>
              <w:t>Élevé</w:t>
            </w:r>
          </w:p>
        </w:tc>
        <w:tc>
          <w:tcPr>
            <w:tcW w:w="0" w:type="auto"/>
          </w:tcPr>
          <w:p w:rsidR="00CE4CC2" w:rsidRDefault="003A06E5">
            <w:pPr>
              <w:pStyle w:val="Compact"/>
            </w:pPr>
            <w:r>
              <w:t>Repli espèces automatique, notification, retry 5 min.</w:t>
            </w:r>
          </w:p>
        </w:tc>
      </w:tr>
      <w:tr w:rsidR="00CE4CC2">
        <w:tc>
          <w:tcPr>
            <w:tcW w:w="0" w:type="auto"/>
          </w:tcPr>
          <w:p w:rsidR="00CE4CC2" w:rsidRDefault="003A06E5">
            <w:pPr>
              <w:pStyle w:val="Compact"/>
            </w:pPr>
            <w:r>
              <w:t>GPS désactivé en mission</w:t>
            </w:r>
          </w:p>
        </w:tc>
        <w:tc>
          <w:tcPr>
            <w:tcW w:w="0" w:type="auto"/>
          </w:tcPr>
          <w:p w:rsidR="00CE4CC2" w:rsidRDefault="003A06E5">
            <w:pPr>
              <w:pStyle w:val="Compact"/>
            </w:pPr>
            <w:r>
              <w:t>Moyenne</w:t>
            </w:r>
          </w:p>
        </w:tc>
        <w:tc>
          <w:tcPr>
            <w:tcW w:w="0" w:type="auto"/>
          </w:tcPr>
          <w:p w:rsidR="00CE4CC2" w:rsidRDefault="003A06E5">
            <w:pPr>
              <w:pStyle w:val="Compact"/>
            </w:pPr>
            <w:r>
              <w:t>Élevé</w:t>
            </w:r>
          </w:p>
        </w:tc>
        <w:tc>
          <w:tcPr>
            <w:tcW w:w="0" w:type="auto"/>
          </w:tcPr>
          <w:p w:rsidR="00CE4CC2" w:rsidRDefault="003A06E5">
            <w:pPr>
              <w:pStyle w:val="Compact"/>
            </w:pPr>
            <w:r>
              <w:t>Alerte &gt; 5 min, réassignation + pénalité &gt; 15 min (§9.3).</w:t>
            </w:r>
          </w:p>
        </w:tc>
      </w:tr>
      <w:tr w:rsidR="00CE4CC2">
        <w:tc>
          <w:tcPr>
            <w:tcW w:w="0" w:type="auto"/>
          </w:tcPr>
          <w:p w:rsidR="00CE4CC2" w:rsidRDefault="003A06E5">
            <w:pPr>
              <w:pStyle w:val="Compact"/>
            </w:pPr>
            <w:r>
              <w:t>Tension offline ↔ confirmation</w:t>
            </w:r>
          </w:p>
        </w:tc>
        <w:tc>
          <w:tcPr>
            <w:tcW w:w="0" w:type="auto"/>
          </w:tcPr>
          <w:p w:rsidR="00CE4CC2" w:rsidRDefault="003A06E5">
            <w:pPr>
              <w:pStyle w:val="Compact"/>
            </w:pPr>
            <w:r>
              <w:t>Moyenne</w:t>
            </w:r>
          </w:p>
        </w:tc>
        <w:tc>
          <w:tcPr>
            <w:tcW w:w="0" w:type="auto"/>
          </w:tcPr>
          <w:p w:rsidR="00CE4CC2" w:rsidRDefault="003A06E5">
            <w:pPr>
              <w:pStyle w:val="Compact"/>
            </w:pPr>
            <w:r>
              <w:t>Élevé</w:t>
            </w:r>
          </w:p>
        </w:tc>
        <w:tc>
          <w:tcPr>
            <w:tcW w:w="0" w:type="auto"/>
          </w:tcPr>
          <w:p w:rsidR="00CE4CC2" w:rsidRDefault="003A06E5">
            <w:pPr>
              <w:pStyle w:val="Compact"/>
            </w:pPr>
            <w:r>
              <w:t>Jeton signé vérifiable hors-ligne ; preuves rapprochées à la synchro (§10.3).</w:t>
            </w:r>
          </w:p>
        </w:tc>
      </w:tr>
      <w:tr w:rsidR="00CE4CC2">
        <w:tc>
          <w:tcPr>
            <w:tcW w:w="0" w:type="auto"/>
          </w:tcPr>
          <w:p w:rsidR="00CE4CC2" w:rsidRDefault="003A06E5">
            <w:pPr>
              <w:pStyle w:val="Compact"/>
            </w:pPr>
            <w:r>
              <w:t>Fraude paiement espèces</w:t>
            </w:r>
          </w:p>
        </w:tc>
        <w:tc>
          <w:tcPr>
            <w:tcW w:w="0" w:type="auto"/>
          </w:tcPr>
          <w:p w:rsidR="00CE4CC2" w:rsidRDefault="003A06E5">
            <w:pPr>
              <w:pStyle w:val="Compact"/>
            </w:pPr>
            <w:r>
              <w:t>Faible</w:t>
            </w:r>
          </w:p>
        </w:tc>
        <w:tc>
          <w:tcPr>
            <w:tcW w:w="0" w:type="auto"/>
          </w:tcPr>
          <w:p w:rsidR="00CE4CC2" w:rsidRDefault="003A06E5">
            <w:pPr>
              <w:pStyle w:val="Compact"/>
            </w:pPr>
            <w:r>
              <w:t>Élevé</w:t>
            </w:r>
          </w:p>
        </w:tc>
        <w:tc>
          <w:tcPr>
            <w:tcW w:w="0" w:type="auto"/>
          </w:tcPr>
          <w:p w:rsidR="00CE4CC2" w:rsidRDefault="003A06E5">
            <w:pPr>
              <w:pStyle w:val="Compact"/>
            </w:pPr>
            <w:r>
              <w:t>Triple traçabilité (photo + montant + jeton/OTP) ; blocage si discordance.</w:t>
            </w:r>
          </w:p>
        </w:tc>
      </w:tr>
      <w:tr w:rsidR="00CE4CC2">
        <w:tc>
          <w:tcPr>
            <w:tcW w:w="0" w:type="auto"/>
          </w:tcPr>
          <w:p w:rsidR="00CE4CC2" w:rsidRDefault="003A06E5">
            <w:pPr>
              <w:pStyle w:val="Compact"/>
            </w:pPr>
            <w:r>
              <w:t>Abandon de mission</w:t>
            </w:r>
          </w:p>
        </w:tc>
        <w:tc>
          <w:tcPr>
            <w:tcW w:w="0" w:type="auto"/>
          </w:tcPr>
          <w:p w:rsidR="00CE4CC2" w:rsidRDefault="003A06E5">
            <w:pPr>
              <w:pStyle w:val="Compact"/>
            </w:pPr>
            <w:r>
              <w:t>Faible</w:t>
            </w:r>
          </w:p>
        </w:tc>
        <w:tc>
          <w:tcPr>
            <w:tcW w:w="0" w:type="auto"/>
          </w:tcPr>
          <w:p w:rsidR="00CE4CC2" w:rsidRDefault="003A06E5">
            <w:pPr>
              <w:pStyle w:val="Compact"/>
            </w:pPr>
            <w:r>
              <w:t>Élevé</w:t>
            </w:r>
          </w:p>
        </w:tc>
        <w:tc>
          <w:tcPr>
            <w:tcW w:w="0" w:type="auto"/>
          </w:tcPr>
          <w:p w:rsidR="00CE4CC2" w:rsidRDefault="003A06E5">
            <w:pPr>
              <w:pStyle w:val="Compact"/>
            </w:pPr>
            <w:r>
              <w:t>Réassignation IA, pénalité −30 pts, procédure RH si récidive.</w:t>
            </w:r>
          </w:p>
        </w:tc>
      </w:tr>
      <w:tr w:rsidR="00CE4CC2">
        <w:tc>
          <w:tcPr>
            <w:tcW w:w="0" w:type="auto"/>
          </w:tcPr>
          <w:p w:rsidR="00CE4CC2" w:rsidRDefault="003A06E5">
            <w:pPr>
              <w:pStyle w:val="Compact"/>
            </w:pPr>
            <w:r>
              <w:t>Faux livreurs (inscription)</w:t>
            </w:r>
          </w:p>
        </w:tc>
        <w:tc>
          <w:tcPr>
            <w:tcW w:w="0" w:type="auto"/>
          </w:tcPr>
          <w:p w:rsidR="00CE4CC2" w:rsidRDefault="003A06E5">
            <w:pPr>
              <w:pStyle w:val="Compact"/>
            </w:pPr>
            <w:r>
              <w:t>Faible</w:t>
            </w:r>
          </w:p>
        </w:tc>
        <w:tc>
          <w:tcPr>
            <w:tcW w:w="0" w:type="auto"/>
          </w:tcPr>
          <w:p w:rsidR="00CE4CC2" w:rsidRDefault="003A06E5">
            <w:pPr>
              <w:pStyle w:val="Compact"/>
            </w:pPr>
            <w:r>
              <w:t>Élevé</w:t>
            </w:r>
          </w:p>
        </w:tc>
        <w:tc>
          <w:tcPr>
            <w:tcW w:w="0" w:type="auto"/>
          </w:tcPr>
          <w:p w:rsidR="00CE4CC2" w:rsidRDefault="003A06E5">
            <w:pPr>
              <w:pStyle w:val="Compact"/>
            </w:pPr>
            <w:r>
              <w:t>KYC obligatoire (pièce + contrat signé), validation manuelle.</w:t>
            </w:r>
          </w:p>
        </w:tc>
      </w:tr>
      <w:tr w:rsidR="00CE4CC2">
        <w:tc>
          <w:tcPr>
            <w:tcW w:w="0" w:type="auto"/>
          </w:tcPr>
          <w:p w:rsidR="00CE4CC2" w:rsidRDefault="003A06E5">
            <w:pPr>
              <w:pStyle w:val="Compact"/>
            </w:pPr>
            <w:r>
              <w:t>Coût services tiers sous-estimé</w:t>
            </w:r>
          </w:p>
        </w:tc>
        <w:tc>
          <w:tcPr>
            <w:tcW w:w="0" w:type="auto"/>
          </w:tcPr>
          <w:p w:rsidR="00CE4CC2" w:rsidRDefault="003A06E5">
            <w:pPr>
              <w:pStyle w:val="Compact"/>
            </w:pPr>
            <w:r>
              <w:t>Moyenne</w:t>
            </w:r>
          </w:p>
        </w:tc>
        <w:tc>
          <w:tcPr>
            <w:tcW w:w="0" w:type="auto"/>
          </w:tcPr>
          <w:p w:rsidR="00CE4CC2" w:rsidRDefault="003A06E5">
            <w:pPr>
              <w:pStyle w:val="Compact"/>
            </w:pPr>
            <w:r>
              <w:t>Moyen</w:t>
            </w:r>
          </w:p>
        </w:tc>
        <w:tc>
          <w:tcPr>
            <w:tcW w:w="0" w:type="auto"/>
          </w:tcPr>
          <w:p w:rsidR="00CE4CC2" w:rsidRDefault="003A06E5">
            <w:pPr>
              <w:pStyle w:val="Compact"/>
            </w:pPr>
            <w:r>
              <w:t>Hypothèses de volume explicites (§6.3), Mapbox primaire, cache, suivi budgétaire.</w:t>
            </w:r>
          </w:p>
        </w:tc>
      </w:tr>
      <w:tr w:rsidR="00CE4CC2">
        <w:tc>
          <w:tcPr>
            <w:tcW w:w="0" w:type="auto"/>
          </w:tcPr>
          <w:p w:rsidR="00CE4CC2" w:rsidRDefault="003A06E5">
            <w:pPr>
              <w:pStyle w:val="Compact"/>
            </w:pPr>
            <w:r>
              <w:t>Requalification du statut livreur</w:t>
            </w:r>
          </w:p>
        </w:tc>
        <w:tc>
          <w:tcPr>
            <w:tcW w:w="0" w:type="auto"/>
          </w:tcPr>
          <w:p w:rsidR="00CE4CC2" w:rsidRDefault="003A06E5">
            <w:pPr>
              <w:pStyle w:val="Compact"/>
            </w:pPr>
            <w:r>
              <w:t>Faible</w:t>
            </w:r>
          </w:p>
        </w:tc>
        <w:tc>
          <w:tcPr>
            <w:tcW w:w="0" w:type="auto"/>
          </w:tcPr>
          <w:p w:rsidR="00CE4CC2" w:rsidRDefault="003A06E5">
            <w:pPr>
              <w:pStyle w:val="Compact"/>
            </w:pPr>
            <w:r>
              <w:t>Élevé</w:t>
            </w:r>
          </w:p>
        </w:tc>
        <w:tc>
          <w:tcPr>
            <w:tcW w:w="0" w:type="auto"/>
          </w:tcPr>
          <w:p w:rsidR="00CE4CC2" w:rsidRDefault="003A06E5">
            <w:pPr>
              <w:pStyle w:val="Compact"/>
            </w:pPr>
            <w:r>
              <w:t xml:space="preserve">Modèle </w:t>
            </w:r>
            <w:r>
              <w:rPr>
                <w:b/>
                <w:bCs/>
              </w:rPr>
              <w:t>salaire de base + prime</w:t>
            </w:r>
            <w:r>
              <w:t xml:space="preserve"> conforme Code du travail (§11.1).</w:t>
            </w:r>
          </w:p>
        </w:tc>
      </w:tr>
      <w:tr w:rsidR="00CE4CC2">
        <w:tc>
          <w:tcPr>
            <w:tcW w:w="0" w:type="auto"/>
          </w:tcPr>
          <w:p w:rsidR="00CE4CC2" w:rsidRDefault="003A06E5">
            <w:pPr>
              <w:pStyle w:val="Compact"/>
            </w:pPr>
            <w:r>
              <w:t>Violation de données</w:t>
            </w:r>
          </w:p>
        </w:tc>
        <w:tc>
          <w:tcPr>
            <w:tcW w:w="0" w:type="auto"/>
          </w:tcPr>
          <w:p w:rsidR="00CE4CC2" w:rsidRDefault="003A06E5">
            <w:pPr>
              <w:pStyle w:val="Compact"/>
            </w:pPr>
            <w:r>
              <w:t>Très faible</w:t>
            </w:r>
          </w:p>
        </w:tc>
        <w:tc>
          <w:tcPr>
            <w:tcW w:w="0" w:type="auto"/>
          </w:tcPr>
          <w:p w:rsidR="00CE4CC2" w:rsidRDefault="003A06E5">
            <w:pPr>
              <w:pStyle w:val="Compact"/>
            </w:pPr>
            <w:r>
              <w:t>Critique</w:t>
            </w:r>
          </w:p>
        </w:tc>
        <w:tc>
          <w:tcPr>
            <w:tcW w:w="0" w:type="auto"/>
          </w:tcPr>
          <w:p w:rsidR="00CE4CC2" w:rsidRDefault="003A06E5">
            <w:pPr>
              <w:pStyle w:val="Compact"/>
            </w:pPr>
            <w:r>
              <w:t>AES-256, TLS 1.3, audit, WAF, pen-tests semestriels.</w:t>
            </w:r>
          </w:p>
        </w:tc>
      </w:tr>
      <w:tr w:rsidR="00CE4CC2">
        <w:tc>
          <w:tcPr>
            <w:tcW w:w="0" w:type="auto"/>
          </w:tcPr>
          <w:p w:rsidR="00CE4CC2" w:rsidRDefault="003A06E5">
            <w:pPr>
              <w:pStyle w:val="Compact"/>
            </w:pPr>
            <w:r>
              <w:t>Défaillance serveur (mono-VPS)</w:t>
            </w:r>
          </w:p>
        </w:tc>
        <w:tc>
          <w:tcPr>
            <w:tcW w:w="0" w:type="auto"/>
          </w:tcPr>
          <w:p w:rsidR="00CE4CC2" w:rsidRDefault="003A06E5">
            <w:pPr>
              <w:pStyle w:val="Compact"/>
            </w:pPr>
            <w:r>
              <w:t>Faible</w:t>
            </w:r>
          </w:p>
        </w:tc>
        <w:tc>
          <w:tcPr>
            <w:tcW w:w="0" w:type="auto"/>
          </w:tcPr>
          <w:p w:rsidR="00CE4CC2" w:rsidRDefault="003A06E5">
            <w:pPr>
              <w:pStyle w:val="Compact"/>
            </w:pPr>
            <w:r>
              <w:t>Critique</w:t>
            </w:r>
          </w:p>
        </w:tc>
        <w:tc>
          <w:tcPr>
            <w:tcW w:w="0" w:type="auto"/>
          </w:tcPr>
          <w:p w:rsidR="00CE4CC2" w:rsidRDefault="003A06E5">
            <w:pPr>
              <w:pStyle w:val="Compact"/>
            </w:pPr>
            <w:r>
              <w:t>SLA aligné (§12.4), backup quotidien, RTO &lt; 4 h ; HA en Phase 2.</w:t>
            </w:r>
          </w:p>
        </w:tc>
      </w:tr>
      <w:tr w:rsidR="00CE4CC2">
        <w:tc>
          <w:tcPr>
            <w:tcW w:w="0" w:type="auto"/>
          </w:tcPr>
          <w:p w:rsidR="00CE4CC2" w:rsidRDefault="003A06E5">
            <w:pPr>
              <w:pStyle w:val="Compact"/>
            </w:pPr>
            <w:r>
              <w:t>Intrusion / cyberattaque</w:t>
            </w:r>
          </w:p>
        </w:tc>
        <w:tc>
          <w:tcPr>
            <w:tcW w:w="0" w:type="auto"/>
          </w:tcPr>
          <w:p w:rsidR="00CE4CC2" w:rsidRDefault="003A06E5">
            <w:pPr>
              <w:pStyle w:val="Compact"/>
            </w:pPr>
            <w:r>
              <w:t>Très faible</w:t>
            </w:r>
          </w:p>
        </w:tc>
        <w:tc>
          <w:tcPr>
            <w:tcW w:w="0" w:type="auto"/>
          </w:tcPr>
          <w:p w:rsidR="00CE4CC2" w:rsidRDefault="003A06E5">
            <w:pPr>
              <w:pStyle w:val="Compact"/>
            </w:pPr>
            <w:r>
              <w:t>Critique</w:t>
            </w:r>
          </w:p>
        </w:tc>
        <w:tc>
          <w:tcPr>
            <w:tcW w:w="0" w:type="auto"/>
          </w:tcPr>
          <w:p w:rsidR="00CE4CC2" w:rsidRDefault="003A06E5">
            <w:pPr>
              <w:pStyle w:val="Compact"/>
            </w:pPr>
            <w:r>
              <w:t>WAF, fail2ban, rate limiting, certificate pinning, scan uploads.</w:t>
            </w:r>
          </w:p>
        </w:tc>
      </w:tr>
      <w:tr w:rsidR="00CE4CC2">
        <w:tc>
          <w:tcPr>
            <w:tcW w:w="0" w:type="auto"/>
          </w:tcPr>
          <w:p w:rsidR="00CE4CC2" w:rsidRDefault="003A06E5">
            <w:pPr>
              <w:pStyle w:val="Compact"/>
            </w:pPr>
            <w:r>
              <w:t>Lot ramassage non confirmé à temps</w:t>
            </w:r>
          </w:p>
        </w:tc>
        <w:tc>
          <w:tcPr>
            <w:tcW w:w="0" w:type="auto"/>
          </w:tcPr>
          <w:p w:rsidR="00CE4CC2" w:rsidRDefault="003A06E5">
            <w:pPr>
              <w:pStyle w:val="Compact"/>
            </w:pPr>
            <w:r>
              <w:t>Faible</w:t>
            </w:r>
          </w:p>
        </w:tc>
        <w:tc>
          <w:tcPr>
            <w:tcW w:w="0" w:type="auto"/>
          </w:tcPr>
          <w:p w:rsidR="00CE4CC2" w:rsidRDefault="003A06E5">
            <w:pPr>
              <w:pStyle w:val="Compact"/>
            </w:pPr>
            <w:r>
              <w:t>Moyen</w:t>
            </w:r>
          </w:p>
        </w:tc>
        <w:tc>
          <w:tcPr>
            <w:tcW w:w="0" w:type="auto"/>
          </w:tcPr>
          <w:p w:rsidR="00CE4CC2" w:rsidRDefault="003A06E5">
            <w:pPr>
              <w:pStyle w:val="Compact"/>
            </w:pPr>
            <w:r>
              <w:t>Report automatique + bascule manuelle (§9.5).</w:t>
            </w:r>
          </w:p>
        </w:tc>
      </w:tr>
    </w:tbl>
    <w:p w:rsidR="00CE4CC2" w:rsidRDefault="003A06E5">
      <w:r>
        <w:pict>
          <v:rect id="_x0000_i1040" style="width:0;height:1.5pt" o:hralign="center" o:hrstd="t" o:hr="t"/>
        </w:pict>
      </w:r>
    </w:p>
    <w:p w:rsidR="00CE4CC2" w:rsidRDefault="003A06E5">
      <w:pPr>
        <w:pStyle w:val="Titre1"/>
      </w:pPr>
      <w:bookmarkStart w:id="105" w:name="démarche-et-organisation"/>
      <w:bookmarkStart w:id="106" w:name="_Toc232734067"/>
      <w:bookmarkEnd w:id="103"/>
      <w:r>
        <w:t>17. Démarche et organisation</w:t>
      </w:r>
      <w:bookmarkEnd w:id="106"/>
    </w:p>
    <w:p w:rsidR="00CE4CC2" w:rsidRDefault="003A06E5">
      <w:pPr>
        <w:pStyle w:val="Titre2"/>
      </w:pPr>
      <w:bookmarkStart w:id="107" w:name="méthode"/>
      <w:bookmarkStart w:id="108" w:name="_Toc232734068"/>
      <w:r>
        <w:t>17.1 Méthode</w:t>
      </w:r>
      <w:bookmarkEnd w:id="108"/>
    </w:p>
    <w:p w:rsidR="00CE4CC2" w:rsidRDefault="003A06E5">
      <w:pPr>
        <w:pStyle w:val="FirstParagraph"/>
      </w:pPr>
      <w:r>
        <w:rPr>
          <w:b/>
          <w:bCs/>
        </w:rPr>
        <w:t>2TUP + UML 2.x</w:t>
      </w:r>
      <w:r>
        <w:t xml:space="preserve"> ; </w:t>
      </w:r>
      <w:r>
        <w:rPr>
          <w:b/>
          <w:bCs/>
        </w:rPr>
        <w:t>SCRUM</w:t>
      </w:r>
      <w:r>
        <w:t>, sprints de 2 semaines ; tests automatisés (couverture ≥ 70 %) ; revues de code et CI/CD systématiques.</w:t>
      </w:r>
    </w:p>
    <w:p w:rsidR="00CE4CC2" w:rsidRDefault="003A06E5">
      <w:pPr>
        <w:pStyle w:val="Titre2"/>
      </w:pPr>
      <w:bookmarkStart w:id="109" w:name="équipe"/>
      <w:bookmarkStart w:id="110" w:name="_Toc232734069"/>
      <w:bookmarkEnd w:id="107"/>
      <w:r>
        <w:t>17.2 Équipe</w:t>
      </w:r>
      <w:bookmarkEnd w:id="110"/>
    </w:p>
    <w:tbl>
      <w:tblPr>
        <w:tblStyle w:val="Table"/>
        <w:tblW w:w="5000" w:type="pct"/>
        <w:tblLook w:val="0020" w:firstRow="1" w:lastRow="0" w:firstColumn="0" w:lastColumn="0" w:noHBand="0" w:noVBand="0"/>
      </w:tblPr>
      <w:tblGrid>
        <w:gridCol w:w="2883"/>
        <w:gridCol w:w="6359"/>
      </w:tblGrid>
      <w:tr w:rsidR="00CE4CC2" w:rsidTr="00CE4CC2">
        <w:trPr>
          <w:cnfStyle w:val="100000000000" w:firstRow="1" w:lastRow="0" w:firstColumn="0" w:lastColumn="0" w:oddVBand="0" w:evenVBand="0" w:oddHBand="0" w:evenHBand="0" w:firstRowFirstColumn="0" w:firstRowLastColumn="0" w:lastRowFirstColumn="0" w:lastRowLastColumn="0"/>
          <w:tblHeader/>
        </w:trPr>
        <w:tc>
          <w:tcPr>
            <w:tcW w:w="0" w:type="auto"/>
          </w:tcPr>
          <w:p w:rsidR="00CE4CC2" w:rsidRDefault="003A06E5">
            <w:pPr>
              <w:pStyle w:val="Compact"/>
            </w:pPr>
            <w:r>
              <w:t>Rôle</w:t>
            </w:r>
          </w:p>
        </w:tc>
        <w:tc>
          <w:tcPr>
            <w:tcW w:w="0" w:type="auto"/>
          </w:tcPr>
          <w:p w:rsidR="00CE4CC2" w:rsidRDefault="003A06E5">
            <w:pPr>
              <w:pStyle w:val="Compact"/>
            </w:pPr>
            <w:r>
              <w:t>Responsabilités</w:t>
            </w:r>
          </w:p>
        </w:tc>
      </w:tr>
      <w:tr w:rsidR="00CE4CC2">
        <w:tc>
          <w:tcPr>
            <w:tcW w:w="0" w:type="auto"/>
          </w:tcPr>
          <w:p w:rsidR="00CE4CC2" w:rsidRDefault="003A06E5">
            <w:pPr>
              <w:pStyle w:val="Compact"/>
            </w:pPr>
            <w:r>
              <w:t>Super Admin / Porteur de projet</w:t>
            </w:r>
          </w:p>
        </w:tc>
        <w:tc>
          <w:tcPr>
            <w:tcW w:w="0" w:type="auto"/>
          </w:tcPr>
          <w:p w:rsidR="00CE4CC2" w:rsidRDefault="003A06E5">
            <w:pPr>
              <w:pStyle w:val="Compact"/>
            </w:pPr>
            <w:r>
              <w:t>Vision produit, modèle économique, décisions stratégiques, finances, paramétrage IA.</w:t>
            </w:r>
          </w:p>
        </w:tc>
      </w:tr>
      <w:tr w:rsidR="00CE4CC2">
        <w:tc>
          <w:tcPr>
            <w:tcW w:w="0" w:type="auto"/>
          </w:tcPr>
          <w:p w:rsidR="00CE4CC2" w:rsidRDefault="003A06E5">
            <w:pPr>
              <w:pStyle w:val="Compact"/>
            </w:pPr>
            <w:r>
              <w:t>Co-Admin 1</w:t>
            </w:r>
          </w:p>
        </w:tc>
        <w:tc>
          <w:tcPr>
            <w:tcW w:w="0" w:type="auto"/>
          </w:tcPr>
          <w:p w:rsidR="00CE4CC2" w:rsidRDefault="003A06E5">
            <w:pPr>
              <w:pStyle w:val="Compact"/>
            </w:pPr>
            <w:r>
              <w:t>Exploitation, support clients/livreurs, litiges, partenaires.</w:t>
            </w:r>
          </w:p>
        </w:tc>
      </w:tr>
      <w:tr w:rsidR="00CE4CC2">
        <w:tc>
          <w:tcPr>
            <w:tcW w:w="0" w:type="auto"/>
          </w:tcPr>
          <w:p w:rsidR="00CE4CC2" w:rsidRDefault="003A06E5">
            <w:pPr>
              <w:pStyle w:val="Compact"/>
            </w:pPr>
            <w:r>
              <w:t>Co-Admin 2</w:t>
            </w:r>
          </w:p>
        </w:tc>
        <w:tc>
          <w:tcPr>
            <w:tcW w:w="0" w:type="auto"/>
          </w:tcPr>
          <w:p w:rsidR="00CE4CC2" w:rsidRDefault="003A06E5">
            <w:pPr>
              <w:pStyle w:val="Compact"/>
            </w:pPr>
            <w:r>
              <w:t>Validation KYC, comptes entreprise, monitoring, support escalade.</w:t>
            </w:r>
          </w:p>
        </w:tc>
      </w:tr>
      <w:tr w:rsidR="00CE4CC2">
        <w:tc>
          <w:tcPr>
            <w:tcW w:w="0" w:type="auto"/>
          </w:tcPr>
          <w:p w:rsidR="00CE4CC2" w:rsidRDefault="003A06E5">
            <w:pPr>
              <w:pStyle w:val="Compact"/>
            </w:pPr>
            <w:r>
              <w:lastRenderedPageBreak/>
              <w:t>Chef de projet technique</w:t>
            </w:r>
          </w:p>
        </w:tc>
        <w:tc>
          <w:tcPr>
            <w:tcW w:w="0" w:type="auto"/>
          </w:tcPr>
          <w:p w:rsidR="00CE4CC2" w:rsidRDefault="003A06E5">
            <w:pPr>
              <w:pStyle w:val="Compact"/>
            </w:pPr>
            <w:r>
              <w:t>Coordination, planning, CI/CD, revues.</w:t>
            </w:r>
          </w:p>
        </w:tc>
      </w:tr>
      <w:tr w:rsidR="00CE4CC2">
        <w:tc>
          <w:tcPr>
            <w:tcW w:w="0" w:type="auto"/>
          </w:tcPr>
          <w:p w:rsidR="00CE4CC2" w:rsidRDefault="003A06E5">
            <w:pPr>
              <w:pStyle w:val="Compact"/>
            </w:pPr>
            <w:r>
              <w:t>Développeur Backend (×2)</w:t>
            </w:r>
          </w:p>
        </w:tc>
        <w:tc>
          <w:tcPr>
            <w:tcW w:w="0" w:type="auto"/>
          </w:tcPr>
          <w:p w:rsidR="00CE4CC2" w:rsidRDefault="003A06E5">
            <w:pPr>
              <w:pStyle w:val="Compact"/>
            </w:pPr>
            <w:r>
              <w:t>API NestJS, modules métier, tests.</w:t>
            </w:r>
          </w:p>
        </w:tc>
      </w:tr>
      <w:tr w:rsidR="00CE4CC2">
        <w:tc>
          <w:tcPr>
            <w:tcW w:w="0" w:type="auto"/>
          </w:tcPr>
          <w:p w:rsidR="00CE4CC2" w:rsidRDefault="003A06E5">
            <w:pPr>
              <w:pStyle w:val="Compact"/>
            </w:pPr>
            <w:r>
              <w:t>Développeur Frontend Mobile (×2)</w:t>
            </w:r>
          </w:p>
        </w:tc>
        <w:tc>
          <w:tcPr>
            <w:tcW w:w="0" w:type="auto"/>
          </w:tcPr>
          <w:p w:rsidR="00CE4CC2" w:rsidRDefault="003A06E5">
            <w:pPr>
              <w:pStyle w:val="Compact"/>
            </w:pPr>
            <w:r>
              <w:t>Flutter client + livreur, offline-first, intégration API.</w:t>
            </w:r>
          </w:p>
        </w:tc>
      </w:tr>
      <w:tr w:rsidR="00CE4CC2">
        <w:tc>
          <w:tcPr>
            <w:tcW w:w="0" w:type="auto"/>
          </w:tcPr>
          <w:p w:rsidR="00CE4CC2" w:rsidRDefault="003A06E5">
            <w:pPr>
              <w:pStyle w:val="Compact"/>
            </w:pPr>
            <w:r>
              <w:t>Développeur Frontend Web</w:t>
            </w:r>
          </w:p>
        </w:tc>
        <w:tc>
          <w:tcPr>
            <w:tcW w:w="0" w:type="auto"/>
          </w:tcPr>
          <w:p w:rsidR="00CE4CC2" w:rsidRDefault="003A06E5">
            <w:pPr>
              <w:pStyle w:val="Compact"/>
            </w:pPr>
            <w:r>
              <w:t>Next.js (dashboard) + PWA partenaire/receveur.</w:t>
            </w:r>
          </w:p>
        </w:tc>
      </w:tr>
      <w:tr w:rsidR="00CE4CC2">
        <w:tc>
          <w:tcPr>
            <w:tcW w:w="0" w:type="auto"/>
          </w:tcPr>
          <w:p w:rsidR="00CE4CC2" w:rsidRDefault="003A06E5">
            <w:pPr>
              <w:pStyle w:val="Compact"/>
            </w:pPr>
            <w:r>
              <w:t>Ingénieur IA</w:t>
            </w:r>
          </w:p>
        </w:tc>
        <w:tc>
          <w:tcPr>
            <w:tcW w:w="0" w:type="auto"/>
          </w:tcPr>
          <w:p w:rsidR="00CE4CC2" w:rsidRDefault="003A06E5">
            <w:pPr>
              <w:pStyle w:val="Compact"/>
            </w:pPr>
            <w:r>
              <w:t>FastAPI, OR-Tools, ETA, scoring, anomalies GPS, clustering.</w:t>
            </w:r>
          </w:p>
        </w:tc>
      </w:tr>
      <w:tr w:rsidR="00CE4CC2">
        <w:tc>
          <w:tcPr>
            <w:tcW w:w="0" w:type="auto"/>
          </w:tcPr>
          <w:p w:rsidR="00CE4CC2" w:rsidRDefault="003A06E5">
            <w:pPr>
              <w:pStyle w:val="Compact"/>
            </w:pPr>
            <w:r>
              <w:t>Responsable BDD</w:t>
            </w:r>
          </w:p>
        </w:tc>
        <w:tc>
          <w:tcPr>
            <w:tcW w:w="0" w:type="auto"/>
          </w:tcPr>
          <w:p w:rsidR="00CE4CC2" w:rsidRDefault="003A06E5">
            <w:pPr>
              <w:pStyle w:val="Compact"/>
            </w:pPr>
            <w:r>
              <w:t>PostgreSQL/PostGIS, migrations, optimisation, backups.</w:t>
            </w:r>
          </w:p>
        </w:tc>
      </w:tr>
      <w:tr w:rsidR="00CE4CC2">
        <w:tc>
          <w:tcPr>
            <w:tcW w:w="0" w:type="auto"/>
          </w:tcPr>
          <w:p w:rsidR="00CE4CC2" w:rsidRDefault="003A06E5">
            <w:pPr>
              <w:pStyle w:val="Compact"/>
            </w:pPr>
            <w:r>
              <w:t>Responsable QA</w:t>
            </w:r>
          </w:p>
        </w:tc>
        <w:tc>
          <w:tcPr>
            <w:tcW w:w="0" w:type="auto"/>
          </w:tcPr>
          <w:p w:rsidR="00CE4CC2" w:rsidRDefault="003A06E5">
            <w:pPr>
              <w:pStyle w:val="Compact"/>
            </w:pPr>
            <w:r>
              <w:t>Tests, sécurité, documentation OpenAPI.</w:t>
            </w:r>
          </w:p>
        </w:tc>
      </w:tr>
    </w:tbl>
    <w:p w:rsidR="00CE4CC2" w:rsidRDefault="003A06E5">
      <w:r>
        <w:pict>
          <v:rect id="_x0000_i1041" style="width:0;height:1.5pt" o:hralign="center" o:hrstd="t" o:hr="t"/>
        </w:pict>
      </w:r>
    </w:p>
    <w:p w:rsidR="00CE4CC2" w:rsidRDefault="003A06E5">
      <w:pPr>
        <w:pStyle w:val="Titre1"/>
      </w:pPr>
      <w:bookmarkStart w:id="111" w:name="ressources-et-budget-prévisionnel"/>
      <w:bookmarkStart w:id="112" w:name="_Toc232734070"/>
      <w:bookmarkEnd w:id="105"/>
      <w:bookmarkEnd w:id="109"/>
      <w:r>
        <w:t>18. Ressources et budget prévisionnel</w:t>
      </w:r>
      <w:bookmarkEnd w:id="112"/>
    </w:p>
    <w:p w:rsidR="00CE4CC2" w:rsidRDefault="003A06E5">
      <w:pPr>
        <w:pStyle w:val="Titre2"/>
      </w:pPr>
      <w:bookmarkStart w:id="113" w:name="ressources-matérielles-et-logicielles"/>
      <w:bookmarkStart w:id="114" w:name="_Toc232734071"/>
      <w:r>
        <w:t>18.1 Ressources matérielles et logicielles</w:t>
      </w:r>
      <w:bookmarkEnd w:id="114"/>
    </w:p>
    <w:p w:rsidR="00CE4CC2" w:rsidRDefault="003A06E5">
      <w:pPr>
        <w:pStyle w:val="FirstParagraph"/>
      </w:pPr>
      <w:r>
        <w:t>Postes de travail (16 Go RAM recommandé) ; smartphones Android 8+ / iOS 13+ ; connexion ≥ 10 Mbps ; VS Code (+ extensions) ; Git/GitHub Actions ; Docker ; React Native, Spring Boot/Java, Angular, FastAPI/Python, OR-Tools, Grafana+Loki ; Mapbox (+ Google Maps secours) ; Figma ; ClamAV.</w:t>
      </w:r>
    </w:p>
    <w:p w:rsidR="00CE4CC2" w:rsidRDefault="003A06E5">
      <w:pPr>
        <w:pStyle w:val="Titre2"/>
      </w:pPr>
      <w:bookmarkStart w:id="115" w:name="X1269f84c2baf3581f20fba925b8c628d953c57a"/>
      <w:bookmarkStart w:id="116" w:name="_Toc232734072"/>
      <w:bookmarkEnd w:id="113"/>
      <w:r>
        <w:t xml:space="preserve">18.2 Budget mensuel — </w:t>
      </w:r>
      <w:r>
        <w:rPr>
          <w:i/>
          <w:iCs/>
        </w:rPr>
        <w:t>hypothèse 50–150 livraisons/jour</w:t>
      </w:r>
      <w:r>
        <w:t xml:space="preserve"> </w:t>
      </w:r>
      <w:r>
        <w:rPr>
          <w:i/>
          <w:iCs/>
        </w:rPr>
        <w:t>[Décision]</w:t>
      </w:r>
      <w:bookmarkEnd w:id="116"/>
    </w:p>
    <w:tbl>
      <w:tblPr>
        <w:tblStyle w:val="Table"/>
        <w:tblW w:w="5000" w:type="pct"/>
        <w:tblLook w:val="0020" w:firstRow="1" w:lastRow="0" w:firstColumn="0" w:lastColumn="0" w:noHBand="0" w:noVBand="0"/>
      </w:tblPr>
      <w:tblGrid>
        <w:gridCol w:w="2918"/>
        <w:gridCol w:w="1909"/>
        <w:gridCol w:w="4415"/>
      </w:tblGrid>
      <w:tr w:rsidR="00CE4CC2" w:rsidTr="00CE4CC2">
        <w:trPr>
          <w:cnfStyle w:val="100000000000" w:firstRow="1" w:lastRow="0" w:firstColumn="0" w:lastColumn="0" w:oddVBand="0" w:evenVBand="0" w:oddHBand="0" w:evenHBand="0" w:firstRowFirstColumn="0" w:firstRowLastColumn="0" w:lastRowFirstColumn="0" w:lastRowLastColumn="0"/>
          <w:tblHeader/>
        </w:trPr>
        <w:tc>
          <w:tcPr>
            <w:tcW w:w="0" w:type="auto"/>
          </w:tcPr>
          <w:p w:rsidR="00CE4CC2" w:rsidRDefault="003A06E5">
            <w:pPr>
              <w:pStyle w:val="Compact"/>
            </w:pPr>
            <w:r>
              <w:t>Poste</w:t>
            </w:r>
          </w:p>
        </w:tc>
        <w:tc>
          <w:tcPr>
            <w:tcW w:w="0" w:type="auto"/>
          </w:tcPr>
          <w:p w:rsidR="00CE4CC2" w:rsidRDefault="003A06E5">
            <w:pPr>
              <w:pStyle w:val="Compact"/>
            </w:pPr>
            <w:r>
              <w:t>Estimation MVP (XAF/mois)</w:t>
            </w:r>
          </w:p>
        </w:tc>
        <w:tc>
          <w:tcPr>
            <w:tcW w:w="0" w:type="auto"/>
          </w:tcPr>
          <w:p w:rsidR="00CE4CC2" w:rsidRDefault="003A06E5">
            <w:pPr>
              <w:pStyle w:val="Compact"/>
            </w:pPr>
            <w:r>
              <w:t>Hypothèse / maîtrise des coûts</w:t>
            </w:r>
          </w:p>
        </w:tc>
      </w:tr>
      <w:tr w:rsidR="00CE4CC2">
        <w:tc>
          <w:tcPr>
            <w:tcW w:w="0" w:type="auto"/>
          </w:tcPr>
          <w:p w:rsidR="00CE4CC2" w:rsidRDefault="003A06E5">
            <w:pPr>
              <w:pStyle w:val="Compact"/>
            </w:pPr>
            <w:r>
              <w:t>VPS production</w:t>
            </w:r>
          </w:p>
        </w:tc>
        <w:tc>
          <w:tcPr>
            <w:tcW w:w="0" w:type="auto"/>
          </w:tcPr>
          <w:p w:rsidR="00CE4CC2" w:rsidRDefault="003A06E5">
            <w:pPr>
              <w:pStyle w:val="Compact"/>
            </w:pPr>
            <w:r>
              <w:t>15 000 – 30 000</w:t>
            </w:r>
          </w:p>
        </w:tc>
        <w:tc>
          <w:tcPr>
            <w:tcW w:w="0" w:type="auto"/>
          </w:tcPr>
          <w:p w:rsidR="00CE4CC2" w:rsidRDefault="003A06E5">
            <w:pPr>
              <w:pStyle w:val="Compact"/>
            </w:pPr>
            <w:r>
              <w:t>Mono-VPS Phase 1</w:t>
            </w:r>
          </w:p>
        </w:tc>
      </w:tr>
      <w:tr w:rsidR="00CE4CC2">
        <w:tc>
          <w:tcPr>
            <w:tcW w:w="0" w:type="auto"/>
          </w:tcPr>
          <w:p w:rsidR="00CE4CC2" w:rsidRDefault="003A06E5">
            <w:pPr>
              <w:pStyle w:val="Compact"/>
            </w:pPr>
            <w:r>
              <w:t>Cartographie (Mapbox primaire + Google secours)</w:t>
            </w:r>
          </w:p>
        </w:tc>
        <w:tc>
          <w:tcPr>
            <w:tcW w:w="0" w:type="auto"/>
          </w:tcPr>
          <w:p w:rsidR="00CE4CC2" w:rsidRDefault="003A06E5">
            <w:pPr>
              <w:pStyle w:val="Compact"/>
            </w:pPr>
            <w:r>
              <w:t>5 000 – 20 000</w:t>
            </w:r>
          </w:p>
        </w:tc>
        <w:tc>
          <w:tcPr>
            <w:tcW w:w="0" w:type="auto"/>
          </w:tcPr>
          <w:p w:rsidR="00CE4CC2" w:rsidRDefault="003A06E5">
            <w:pPr>
              <w:pStyle w:val="Compact"/>
            </w:pPr>
            <w:r>
              <w:t xml:space="preserve">Mapbox au volume MVP + </w:t>
            </w:r>
            <w:r>
              <w:rPr>
                <w:b/>
                <w:bCs/>
              </w:rPr>
              <w:t>cache des matrices</w:t>
            </w:r>
            <w:r>
              <w:t xml:space="preserve"> ; Google en secours</w:t>
            </w:r>
          </w:p>
        </w:tc>
      </w:tr>
      <w:tr w:rsidR="00CE4CC2">
        <w:tc>
          <w:tcPr>
            <w:tcW w:w="0" w:type="auto"/>
          </w:tcPr>
          <w:p w:rsidR="00CE4CC2" w:rsidRDefault="003A06E5">
            <w:pPr>
              <w:pStyle w:val="Compact"/>
            </w:pPr>
            <w:r>
              <w:t>SMS (OTP non-app + relances)</w:t>
            </w:r>
          </w:p>
        </w:tc>
        <w:tc>
          <w:tcPr>
            <w:tcW w:w="0" w:type="auto"/>
          </w:tcPr>
          <w:p w:rsidR="00CE4CC2" w:rsidRDefault="003A06E5">
            <w:pPr>
              <w:pStyle w:val="Compact"/>
            </w:pPr>
            <w:r>
              <w:rPr>
                <w:b/>
                <w:bCs/>
              </w:rPr>
              <w:t>40 000 – 70 000</w:t>
            </w:r>
          </w:p>
        </w:tc>
        <w:tc>
          <w:tcPr>
            <w:tcW w:w="0" w:type="auto"/>
          </w:tcPr>
          <w:p w:rsidR="00CE4CC2" w:rsidRDefault="003A06E5">
            <w:pPr>
              <w:pStyle w:val="Compact"/>
            </w:pPr>
            <w:r>
              <w:rPr>
                <w:b/>
                <w:bCs/>
              </w:rPr>
              <w:t>Poste variable principal</w:t>
            </w:r>
            <w:r>
              <w:t xml:space="preserve"> ; agrégateur local, priorité push/in-app/WhatsApp pour réduire le volume SMS</w:t>
            </w:r>
          </w:p>
        </w:tc>
      </w:tr>
      <w:tr w:rsidR="00CE4CC2">
        <w:tc>
          <w:tcPr>
            <w:tcW w:w="0" w:type="auto"/>
          </w:tcPr>
          <w:p w:rsidR="00CE4CC2" w:rsidRDefault="003A06E5">
            <w:pPr>
              <w:pStyle w:val="Compact"/>
            </w:pPr>
            <w:r>
              <w:t>Frais Mobile Money (encaissements + primes)</w:t>
            </w:r>
          </w:p>
        </w:tc>
        <w:tc>
          <w:tcPr>
            <w:tcW w:w="0" w:type="auto"/>
          </w:tcPr>
          <w:p w:rsidR="00CE4CC2" w:rsidRDefault="003A06E5">
            <w:pPr>
              <w:pStyle w:val="Compact"/>
            </w:pPr>
            <w:r>
              <w:t>Variable (selon volume)</w:t>
            </w:r>
          </w:p>
        </w:tc>
        <w:tc>
          <w:tcPr>
            <w:tcW w:w="0" w:type="auto"/>
          </w:tcPr>
          <w:p w:rsidR="00CE4CC2" w:rsidRDefault="003A06E5">
            <w:pPr>
              <w:pStyle w:val="Compact"/>
            </w:pPr>
            <w:r>
              <w:t>Porté au compte de résultat (§11.3)</w:t>
            </w:r>
          </w:p>
        </w:tc>
      </w:tr>
      <w:tr w:rsidR="00CE4CC2">
        <w:tc>
          <w:tcPr>
            <w:tcW w:w="0" w:type="auto"/>
          </w:tcPr>
          <w:p w:rsidR="00CE4CC2" w:rsidRDefault="003A06E5">
            <w:pPr>
              <w:pStyle w:val="Compact"/>
            </w:pPr>
            <w:r>
              <w:t>Stockage distant (Backblaze B2)</w:t>
            </w:r>
          </w:p>
        </w:tc>
        <w:tc>
          <w:tcPr>
            <w:tcW w:w="0" w:type="auto"/>
          </w:tcPr>
          <w:p w:rsidR="00CE4CC2" w:rsidRDefault="003A06E5">
            <w:pPr>
              <w:pStyle w:val="Compact"/>
            </w:pPr>
            <w:r>
              <w:t>Faible</w:t>
            </w:r>
          </w:p>
        </w:tc>
        <w:tc>
          <w:tcPr>
            <w:tcW w:w="0" w:type="auto"/>
          </w:tcPr>
          <w:p w:rsidR="00CE4CC2" w:rsidRDefault="003A06E5">
            <w:pPr>
              <w:pStyle w:val="Compact"/>
            </w:pPr>
            <w:r>
              <w:t>Sauvegardes 30 j</w:t>
            </w:r>
          </w:p>
        </w:tc>
      </w:tr>
    </w:tbl>
    <w:p w:rsidR="00CE4CC2" w:rsidRDefault="003A06E5">
      <w:pPr>
        <w:pStyle w:val="Normalcentr"/>
      </w:pPr>
      <w:r>
        <w:t xml:space="preserve">Les budgets cartographie et SMS de la v1.2 (~3 000 et ~5 000 XAF) sous-estimaient le volume réel ; ils sont ici recalculés et </w:t>
      </w:r>
      <w:r>
        <w:rPr>
          <w:b/>
          <w:bCs/>
        </w:rPr>
        <w:t>dépendent linéairement du volume</w:t>
      </w:r>
      <w:r>
        <w:t>. Le SMS est le premier levier d’optimisation (préférer push/in-app/WhatsApp).</w:t>
      </w:r>
    </w:p>
    <w:p w:rsidR="00CE4CC2" w:rsidRDefault="003A06E5">
      <w:r>
        <w:lastRenderedPageBreak/>
        <w:pict>
          <v:rect id="_x0000_i1042" style="width:0;height:1.5pt" o:hralign="center" o:hrstd="t" o:hr="t"/>
        </w:pict>
      </w:r>
    </w:p>
    <w:p w:rsidR="00CE4CC2" w:rsidRDefault="003A06E5">
      <w:pPr>
        <w:pStyle w:val="Titre1"/>
      </w:pPr>
      <w:bookmarkStart w:id="117" w:name="plan-de-livraison-roadmap"/>
      <w:bookmarkStart w:id="118" w:name="_Toc232734073"/>
      <w:bookmarkEnd w:id="111"/>
      <w:bookmarkEnd w:id="115"/>
      <w:r>
        <w:t>19. Plan de livraison (roadmap)</w:t>
      </w:r>
      <w:bookmarkEnd w:id="118"/>
    </w:p>
    <w:p w:rsidR="00CE4CC2" w:rsidRDefault="003A06E5">
      <w:pPr>
        <w:pStyle w:val="Compact"/>
        <w:numPr>
          <w:ilvl w:val="0"/>
          <w:numId w:val="11"/>
        </w:numPr>
      </w:pPr>
      <w:r>
        <w:rPr>
          <w:b/>
          <w:bCs/>
        </w:rPr>
        <w:t>Phase 1 — MVP (présent CCT)</w:t>
      </w:r>
      <w:r>
        <w:t xml:space="preserve"> : périmètre §5.4 sur mono-VPS, Yaoundé.</w:t>
      </w:r>
    </w:p>
    <w:p w:rsidR="00CE4CC2" w:rsidRDefault="003A06E5">
      <w:pPr>
        <w:pStyle w:val="Compact"/>
        <w:numPr>
          <w:ilvl w:val="0"/>
          <w:numId w:val="11"/>
        </w:numPr>
      </w:pPr>
      <w:r>
        <w:rPr>
          <w:b/>
          <w:bCs/>
        </w:rPr>
        <w:t>Phase 2 — Consolidation</w:t>
      </w:r>
      <w:r>
        <w:t xml:space="preserve"> : haute disponibilité (§12.4) ; </w:t>
      </w:r>
      <w:r>
        <w:rPr>
          <w:b/>
          <w:bCs/>
        </w:rPr>
        <w:t>module Encaissement &amp; Reversement</w:t>
      </w:r>
      <w:r>
        <w:t xml:space="preserve"> (vrai COD marchand, BEAC/COBAC) ; </w:t>
      </w:r>
      <w:r>
        <w:rPr>
          <w:b/>
          <w:bCs/>
        </w:rPr>
        <w:t>livraison inter-villes jusqu’au receveur</w:t>
      </w:r>
      <w:r>
        <w:t xml:space="preserve"> (livreurs locaux en destination) ; </w:t>
      </w:r>
      <w:r>
        <w:rPr>
          <w:b/>
          <w:bCs/>
        </w:rPr>
        <w:t>programme de fidélité</w:t>
      </w:r>
      <w:r>
        <w:t xml:space="preserve"> et </w:t>
      </w:r>
      <w:r>
        <w:rPr>
          <w:b/>
          <w:bCs/>
        </w:rPr>
        <w:t>parrainage avancé</w:t>
      </w:r>
      <w:r>
        <w:t xml:space="preserve"> ; </w:t>
      </w:r>
      <w:r>
        <w:rPr>
          <w:b/>
          <w:bCs/>
        </w:rPr>
        <w:t>assurance colis optionnelle</w:t>
      </w:r>
      <w:r>
        <w:t>.</w:t>
      </w:r>
    </w:p>
    <w:p w:rsidR="00CE4CC2" w:rsidRDefault="003A06E5">
      <w:pPr>
        <w:pStyle w:val="Compact"/>
        <w:numPr>
          <w:ilvl w:val="0"/>
          <w:numId w:val="11"/>
        </w:numPr>
      </w:pPr>
      <w:r>
        <w:rPr>
          <w:b/>
          <w:bCs/>
        </w:rPr>
        <w:t>Phase 3 — Expansion</w:t>
      </w:r>
      <w:r>
        <w:t xml:space="preserve"> : </w:t>
      </w:r>
      <w:r>
        <w:rPr>
          <w:b/>
          <w:bCs/>
        </w:rPr>
        <w:t>mutualisation « livraison de quartier »</w:t>
      </w:r>
      <w:r>
        <w:t xml:space="preserve"> (pooling consommateur via VRP) ; </w:t>
      </w:r>
      <w:r>
        <w:rPr>
          <w:b/>
          <w:bCs/>
        </w:rPr>
        <w:t>mode USSD</w:t>
      </w:r>
      <w:r>
        <w:t xml:space="preserve"> (téléphones non smartphones) ; </w:t>
      </w:r>
      <w:r>
        <w:rPr>
          <w:b/>
          <w:bCs/>
        </w:rPr>
        <w:t>API v2</w:t>
      </w:r>
      <w:r>
        <w:t xml:space="preserve"> ; </w:t>
      </w:r>
      <w:r>
        <w:rPr>
          <w:b/>
          <w:bCs/>
        </w:rPr>
        <w:t>extension multi-villes</w:t>
      </w:r>
      <w:r>
        <w:t xml:space="preserve"> (Douala, puis autres) ; ouverture marketplace aux commerçants partenaires.</w:t>
      </w:r>
    </w:p>
    <w:p w:rsidR="00CE4CC2" w:rsidRDefault="003A06E5">
      <w:r>
        <w:pict>
          <v:rect id="_x0000_i1043" style="width:0;height:1.5pt" o:hralign="center" o:hrstd="t" o:hr="t"/>
        </w:pict>
      </w:r>
    </w:p>
    <w:p w:rsidR="00CE4CC2" w:rsidRDefault="003A06E5">
      <w:pPr>
        <w:pStyle w:val="Titre1"/>
      </w:pPr>
      <w:bookmarkStart w:id="119" w:name="critères-dacceptation-definition-of-done"/>
      <w:bookmarkStart w:id="120" w:name="_Toc232734074"/>
      <w:bookmarkEnd w:id="117"/>
      <w:r>
        <w:t>20. Critères d’acceptation (Definition of Done)</w:t>
      </w:r>
      <w:bookmarkEnd w:id="120"/>
    </w:p>
    <w:p w:rsidR="00CE4CC2" w:rsidRDefault="003A06E5">
      <w:pPr>
        <w:pStyle w:val="FirstParagraph"/>
      </w:pPr>
      <w:r>
        <w:t xml:space="preserve">Une fonctionnalité est « terminée » lorsque : (1) les exigences fonctionnelles associées sont implémentées et conformes aux règles de gestion (§9, §10) ; (2) les tests automatisés passent et la </w:t>
      </w:r>
      <w:r>
        <w:rPr>
          <w:b/>
          <w:bCs/>
        </w:rPr>
        <w:t>couverture ≥ 70 %</w:t>
      </w:r>
      <w:r>
        <w:t xml:space="preserve"> est maintenue ; (3) l’endpoint est documenté dans l’</w:t>
      </w:r>
      <w:r>
        <w:rPr>
          <w:b/>
          <w:bCs/>
        </w:rPr>
        <w:t>OpenAPI</w:t>
      </w:r>
      <w:r>
        <w:t xml:space="preserve"> généré ; (4) les contrôles de sécurité applicables (validation des entrées, autorisations par rôle, journal d’audit) sont en place ; (5) le comportement </w:t>
      </w:r>
      <w:r>
        <w:rPr>
          <w:b/>
          <w:bCs/>
        </w:rPr>
        <w:t>offline</w:t>
      </w:r>
      <w:r>
        <w:t xml:space="preserve"> (le cas échéant) et la </w:t>
      </w:r>
      <w:r>
        <w:rPr>
          <w:b/>
          <w:bCs/>
        </w:rPr>
        <w:t>synchronisation</w:t>
      </w:r>
      <w:r>
        <w:t xml:space="preserve"> sont vérifiés ; (6) la revue de code est validée et la CI est verte.</w:t>
      </w:r>
    </w:p>
    <w:p w:rsidR="00CE4CC2" w:rsidRDefault="003A06E5">
      <w:r>
        <w:pict>
          <v:rect id="_x0000_i1044" style="width:0;height:1.5pt" o:hralign="center" o:hrstd="t" o:hr="t"/>
        </w:pict>
      </w:r>
    </w:p>
    <w:p w:rsidR="00CE4CC2" w:rsidRDefault="003A06E5">
      <w:pPr>
        <w:pStyle w:val="Titre1"/>
      </w:pPr>
      <w:bookmarkStart w:id="121" w:name="annexes"/>
      <w:bookmarkStart w:id="122" w:name="_Toc232734075"/>
      <w:bookmarkEnd w:id="119"/>
      <w:r>
        <w:t>21. Annexes</w:t>
      </w:r>
      <w:bookmarkEnd w:id="122"/>
    </w:p>
    <w:p w:rsidR="00CE4CC2" w:rsidRDefault="003A06E5">
      <w:pPr>
        <w:pStyle w:val="Compact"/>
        <w:numPr>
          <w:ilvl w:val="0"/>
          <w:numId w:val="12"/>
        </w:numPr>
      </w:pPr>
      <w:r>
        <w:rPr>
          <w:b/>
          <w:bCs/>
        </w:rPr>
        <w:t>Annexe A1 — Architecture de déploiement</w:t>
      </w:r>
      <w:r>
        <w:t xml:space="preserve"> (à reprendre depuis la v1.2, mise à jour Mapbox primaire + Phase 1/Phase 2).</w:t>
      </w:r>
    </w:p>
    <w:p w:rsidR="00CE4CC2" w:rsidRDefault="003A06E5">
      <w:pPr>
        <w:pStyle w:val="Compact"/>
        <w:numPr>
          <w:ilvl w:val="0"/>
          <w:numId w:val="12"/>
        </w:numPr>
      </w:pPr>
      <w:r>
        <w:rPr>
          <w:b/>
          <w:bCs/>
        </w:rPr>
        <w:t>Annexe A2 — Flux livraison programmée et système de ramassage</w:t>
      </w:r>
      <w:r>
        <w:t>.</w:t>
      </w:r>
    </w:p>
    <w:p w:rsidR="00CE4CC2" w:rsidRDefault="003A06E5">
      <w:pPr>
        <w:pStyle w:val="Compact"/>
        <w:numPr>
          <w:ilvl w:val="0"/>
          <w:numId w:val="12"/>
        </w:numPr>
      </w:pPr>
      <w:r>
        <w:rPr>
          <w:b/>
          <w:bCs/>
        </w:rPr>
        <w:t>Annexe A3 — Diagramme d’états des livraisons</w:t>
      </w:r>
      <w:r>
        <w:t xml:space="preserve"> (§10) à formaliser en UML.</w:t>
      </w:r>
    </w:p>
    <w:p w:rsidR="00CE4CC2" w:rsidRDefault="003A06E5">
      <w:pPr>
        <w:pStyle w:val="Compact"/>
        <w:numPr>
          <w:ilvl w:val="0"/>
          <w:numId w:val="12"/>
        </w:numPr>
      </w:pPr>
      <w:r>
        <w:rPr>
          <w:b/>
          <w:bCs/>
        </w:rPr>
        <w:t>Annexe A4 — Diagrammes de cas d’utilisation et de séquence système (DSS)</w:t>
      </w:r>
      <w:r>
        <w:t xml:space="preserve"> par module (livrable de conception).</w:t>
      </w:r>
    </w:p>
    <w:p w:rsidR="00CE4CC2" w:rsidRDefault="003A06E5">
      <w:r>
        <w:pict>
          <v:rect id="_x0000_i1045" style="width:0;height:1.5pt" o:hralign="center" o:hrstd="t" o:hr="t"/>
        </w:pict>
      </w:r>
    </w:p>
    <w:p w:rsidR="00CE4CC2" w:rsidRDefault="003A06E5">
      <w:pPr>
        <w:pStyle w:val="FirstParagraph"/>
      </w:pPr>
      <w:r>
        <w:rPr>
          <w:i/>
          <w:iCs/>
        </w:rPr>
        <w:t>— Fin du Cahier des Charges Technique — ASAP v2.0 —</w:t>
      </w:r>
      <w:bookmarkEnd w:id="121"/>
    </w:p>
    <w:sectPr w:rsidR="00CE4CC2">
      <w:footerReference w:type="default" r:id="rId8"/>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2F04" w:rsidRDefault="00A22F04">
      <w:pPr>
        <w:spacing w:after="0"/>
      </w:pPr>
      <w:r>
        <w:separator/>
      </w:r>
    </w:p>
  </w:endnote>
  <w:endnote w:type="continuationSeparator" w:id="0">
    <w:p w:rsidR="00A22F04" w:rsidRDefault="00A22F0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06E5" w:rsidRDefault="003A06E5">
    <w:pPr>
      <w:pBdr>
        <w:top w:val="single" w:sz="4" w:space="4" w:color="4F81BD"/>
      </w:pBdr>
      <w:tabs>
        <w:tab w:val="center" w:pos="4513"/>
        <w:tab w:val="right" w:pos="9026"/>
      </w:tabs>
      <w:rPr>
        <w:color w:val="808080"/>
        <w:sz w:val="16"/>
      </w:rPr>
    </w:pPr>
    <w:r>
      <w:rPr>
        <w:color w:val="808080"/>
        <w:sz w:val="16"/>
      </w:rPr>
      <w:t>ASAP — Cahier des Charges Technique v2.0</w:t>
    </w:r>
    <w:r>
      <w:rPr>
        <w:color w:val="808080"/>
        <w:sz w:val="16"/>
      </w:rPr>
      <w:tab/>
    </w:r>
    <w:r>
      <w:rPr>
        <w:color w:val="808080"/>
        <w:sz w:val="16"/>
      </w:rPr>
      <w:tab/>
      <w:t xml:space="preserve">Page </w:t>
    </w:r>
    <w:r>
      <w:rPr>
        <w:color w:val="808080"/>
        <w:sz w:val="16"/>
      </w:rPr>
      <w:fldChar w:fldCharType="begin"/>
    </w:r>
    <w:r>
      <w:rPr>
        <w:color w:val="808080"/>
        <w:sz w:val="16"/>
      </w:rPr>
      <w:instrText xml:space="preserve"> PAGE </w:instrText>
    </w:r>
    <w:r>
      <w:rPr>
        <w:color w:val="808080"/>
        <w:sz w:val="16"/>
      </w:rPr>
      <w:fldChar w:fldCharType="separate"/>
    </w:r>
    <w:r w:rsidR="004F36AA">
      <w:rPr>
        <w:noProof/>
        <w:color w:val="808080"/>
        <w:sz w:val="16"/>
      </w:rPr>
      <w:t>22</w:t>
    </w:r>
    <w:r>
      <w:rPr>
        <w:color w:val="808080"/>
        <w:sz w:val="16"/>
      </w:rPr>
      <w:fldChar w:fldCharType="end"/>
    </w:r>
    <w:r>
      <w:rPr>
        <w:color w:val="808080"/>
        <w:sz w:val="16"/>
      </w:rPr>
      <w:t xml:space="preserve"> / </w:t>
    </w:r>
    <w:r>
      <w:rPr>
        <w:color w:val="808080"/>
        <w:sz w:val="16"/>
      </w:rPr>
      <w:fldChar w:fldCharType="begin"/>
    </w:r>
    <w:r>
      <w:rPr>
        <w:color w:val="808080"/>
        <w:sz w:val="16"/>
      </w:rPr>
      <w:instrText xml:space="preserve"> NUMPAGES </w:instrText>
    </w:r>
    <w:r>
      <w:rPr>
        <w:color w:val="808080"/>
        <w:sz w:val="16"/>
      </w:rPr>
      <w:fldChar w:fldCharType="separate"/>
    </w:r>
    <w:r w:rsidR="004F36AA">
      <w:rPr>
        <w:noProof/>
        <w:color w:val="808080"/>
        <w:sz w:val="16"/>
      </w:rPr>
      <w:t>22</w:t>
    </w:r>
    <w:r>
      <w:rPr>
        <w:color w:val="808080"/>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2F04" w:rsidRDefault="00A22F04">
      <w:r>
        <w:separator/>
      </w:r>
    </w:p>
  </w:footnote>
  <w:footnote w:type="continuationSeparator" w:id="0">
    <w:p w:rsidR="00A22F04" w:rsidRDefault="00A22F0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0"/>
    <w:multiLevelType w:val="multilevel"/>
    <w:tmpl w:val="199A9F8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nsid w:val="0000A991"/>
    <w:multiLevelType w:val="multilevel"/>
    <w:tmpl w:val="B9CC42E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nsid w:val="00A99411"/>
    <w:multiLevelType w:val="multilevel"/>
    <w:tmpl w:val="899ED45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CE4CC2"/>
    <w:rsid w:val="002C76A6"/>
    <w:rsid w:val="003A06E5"/>
    <w:rsid w:val="004F36AA"/>
    <w:rsid w:val="007D152D"/>
    <w:rsid w:val="00844BD9"/>
    <w:rsid w:val="00A22F04"/>
    <w:rsid w:val="00AA6E38"/>
    <w:rsid w:val="00C40A50"/>
    <w:rsid w:val="00CE4CC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fr" w:eastAsia="en-US" w:bidi="ar-SA"/>
      </w:rPr>
    </w:rPrDefault>
    <w:pPrDefault>
      <w:pPr>
        <w:spacing w:after="200"/>
      </w:pPr>
    </w:pPrDefault>
  </w:docDefaults>
  <w:latentStyles w:defLockedState="0" w:defUIPriority="0" w:defSemiHidden="0" w:defUnhideWhenUsed="0" w:defQFormat="0" w:count="267">
    <w:lsdException w:name="toc 1" w:uiPriority="39"/>
    <w:lsdException w:name="toc 2" w:uiPriority="39"/>
    <w:lsdException w:name="Hyperlink" w:uiPriority="99"/>
  </w:latentStyles>
  <w:style w:type="paragraph" w:default="1" w:styleId="Normal">
    <w:name w:val="Normal"/>
    <w:qFormat/>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M1">
    <w:name w:val="toc 1"/>
    <w:basedOn w:val="Normal"/>
    <w:next w:val="Normal"/>
    <w:autoRedefine/>
    <w:uiPriority w:val="39"/>
    <w:rsid w:val="003A06E5"/>
    <w:pPr>
      <w:spacing w:after="100"/>
    </w:pPr>
  </w:style>
  <w:style w:type="paragraph" w:styleId="TM2">
    <w:name w:val="toc 2"/>
    <w:basedOn w:val="Normal"/>
    <w:next w:val="Normal"/>
    <w:autoRedefine/>
    <w:uiPriority w:val="39"/>
    <w:rsid w:val="003A06E5"/>
    <w:pPr>
      <w:spacing w:after="100"/>
      <w:ind w:left="240"/>
    </w:pPr>
  </w:style>
  <w:style w:type="paragraph" w:styleId="Textedebulles">
    <w:name w:val="Balloon Text"/>
    <w:basedOn w:val="Normal"/>
    <w:link w:val="TextedebullesCar"/>
    <w:rsid w:val="003A06E5"/>
    <w:pPr>
      <w:spacing w:after="0"/>
    </w:pPr>
    <w:rPr>
      <w:rFonts w:ascii="Tahoma" w:hAnsi="Tahoma" w:cs="Tahoma"/>
      <w:sz w:val="16"/>
      <w:szCs w:val="16"/>
    </w:rPr>
  </w:style>
  <w:style w:type="character" w:customStyle="1" w:styleId="TextedebullesCar">
    <w:name w:val="Texte de bulles Car"/>
    <w:basedOn w:val="Policepardfaut"/>
    <w:link w:val="Textedebulles"/>
    <w:rsid w:val="003A06E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cct_usecase.png"/><Relationship Id="rId12" Type="http://schemas.openxmlformats.org/officeDocument/2006/relationships/image" Target="media/cct_etats.png"/><Relationship Id="rId13" Type="http://schemas.openxmlformats.org/officeDocument/2006/relationships/image" Target="media/archi_technique.png"/><Relationship Id="rId14" Type="http://schemas.openxmlformats.org/officeDocument/2006/relationships/image" Target="media/cct_mc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22</Pages>
  <Words>7165</Words>
  <Characters>39410</Characters>
  <Application>Microsoft Office Word</Application>
  <DocSecurity>0</DocSecurity>
  <Lines>328</Lines>
  <Paragraphs>92</Paragraphs>
  <ScaleCrop>false</ScaleCrop>
  <HeadingPairs>
    <vt:vector size="2" baseType="variant">
      <vt:variant>
        <vt:lpstr>Titre</vt:lpstr>
      </vt:variant>
      <vt:variant>
        <vt:i4>1</vt:i4>
      </vt:variant>
    </vt:vector>
  </HeadingPairs>
  <TitlesOfParts>
    <vt:vector size="1" baseType="lpstr">
      <vt:lpstr>Cahier des Charges Technique — ASAP</vt:lpstr>
    </vt:vector>
  </TitlesOfParts>
  <Company/>
  <LinksUpToDate>false</LinksUpToDate>
  <CharactersWithSpaces>46483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Technique — ASAP</dc:title>
  <dc:creator>Équipe ASAP — ISI ING3 · Institut Universitaire Saint Jean, Yaoundé</dc:creator>
  <cp:keywords/>
  <cp:lastModifiedBy>MAMADOU  BAKARI</cp:lastModifiedBy>
  <cp:revision>2</cp:revision>
  <dcterms:created xsi:type="dcterms:W3CDTF">2026-06-16T23:53:00Z</dcterms:created>
  <dcterms:modified xsi:type="dcterms:W3CDTF">2026-06-19T05:02:00Z</dcterms:modified>
  <dc:language>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Juin 2026</vt:lpwstr>
  </property>
  <property fmtid="{D5CDD505-2E9C-101B-9397-08002B2CF9AE}" pid="3" name="subtitle">
    <vt:lpwstr>Plateforme intelligente de livraison, mise en relation et optimisation logistique — Version 2.0 (refonte de conception)</vt:lpwstr>
  </property>
</Properties>
</file>