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ASAP — Matrice Cours → Projet</w:t>
      </w:r>
    </w:p>
    <w:p>
      <w:r>
        <w:rPr>
          <w:i/>
          <w:sz w:val="21"/>
        </w:rPr>
        <w:t>Comment la plateforme ASAP (livraison on-demand, Yaoundé) consolide les cours de l'année ISI ING3</w:t>
      </w:r>
    </w:p>
    <w:p>
      <w:r>
        <w:rPr>
          <w:sz w:val="18"/>
        </w:rPr>
        <w:t>Document de synthèse — 6 octobre 2026. Statuts : Déjà fait · Partiel · À venir · Optionnel.</w:t>
      </w:r>
    </w:p>
    <w:p>
      <w:r>
        <w:rPr>
          <w:b/>
        </w:rPr>
        <w:t xml:space="preserve">Stack de référence : </w:t>
      </w:r>
      <w:r>
        <w:t>Backend Spring Boot/Java · Mobile React Native · Dashboard Angular · IA Python/FastAPI + OR-Tools · PostgreSQL+PostGIS · Docker/VPS · CI/CD GitHub Actions.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Cours</w:t>
            </w:r>
          </w:p>
        </w:tc>
        <w:tc>
          <w:tcPr>
            <w:tcW w:type="dxa" w:w="2736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Où ça se branche dans ASAP</w:t>
            </w:r>
          </w:p>
        </w:tc>
        <w:tc>
          <w:tcPr>
            <w:tcW w:type="dxa" w:w="3744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Mise en pratique concrète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Dev mobile (React Native)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18"/>
              </w:rPr>
              <w:t>apps/mobile — app client + app livreur (offline-first)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Navigation, gestion d'état, appels API REST+JWT, cartes, cache hors-ligne (SQLite)</w:t>
            </w:r>
          </w:p>
        </w:tc>
        <w:tc>
          <w:tcPr>
            <w:tcW w:type="dxa" w:w="1584"/>
            <w:shd w:val="clear" w:fill="DDEBF7"/>
          </w:tcPr>
          <w:p>
            <w:r>
              <w:rPr>
                <w:rFonts w:ascii="Arial" w:hAnsi="Arial"/>
                <w:sz w:val="18"/>
              </w:rPr>
              <w:t>À venir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Architecture web (Angular)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18"/>
              </w:rPr>
              <w:t>apps/dashboard — console super-admin / co-admins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Composants, services, routing, RxJS, consommation API, RBAC côté UI</w:t>
            </w:r>
          </w:p>
        </w:tc>
        <w:tc>
          <w:tcPr>
            <w:tcW w:type="dxa" w:w="1584"/>
            <w:shd w:val="clear" w:fill="DDEBF7"/>
          </w:tcPr>
          <w:p>
            <w:r>
              <w:rPr>
                <w:rFonts w:ascii="Arial" w:hAnsi="Arial"/>
                <w:sz w:val="18"/>
              </w:rPr>
              <w:t>À venir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Recherche opérationnelle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18"/>
              </w:rPr>
              <w:t>services/ai — OR-Tools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Attribution des tournées (VRP), affectation optimale livreur↔course, fenêtres de temps, ETA</w:t>
            </w:r>
          </w:p>
        </w:tc>
        <w:tc>
          <w:tcPr>
            <w:tcW w:type="dxa" w:w="1584"/>
            <w:shd w:val="clear" w:fill="DDEBF7"/>
          </w:tcPr>
          <w:p>
            <w:r>
              <w:rPr>
                <w:rFonts w:ascii="Arial" w:hAnsi="Arial"/>
                <w:sz w:val="18"/>
              </w:rPr>
              <w:t>À venir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Analyse de données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18"/>
              </w:rPr>
              <w:t>services/ai + dashboard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Scoring livreurs, détection d'anomalies GPS, clustering de zones, prévision de demande, KPIs</w:t>
            </w:r>
          </w:p>
        </w:tc>
        <w:tc>
          <w:tcPr>
            <w:tcW w:type="dxa" w:w="1584"/>
            <w:shd w:val="clear" w:fill="DDEBF7"/>
          </w:tcPr>
          <w:p>
            <w:r>
              <w:rPr>
                <w:rFonts w:ascii="Arial" w:hAnsi="Arial"/>
                <w:sz w:val="18"/>
              </w:rPr>
              <w:t>À venir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CI/CD pro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18"/>
              </w:rPr>
              <w:t>.github/workflows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Pipeline build → tests → déploiement, qualité de code, couverture ≥ 70 %</w:t>
            </w:r>
          </w:p>
        </w:tc>
        <w:tc>
          <w:tcPr>
            <w:tcW w:type="dxa" w:w="1584"/>
            <w:shd w:val="clear" w:fill="FFEB9C"/>
          </w:tcPr>
          <w:p>
            <w:r>
              <w:rPr>
                <w:rFonts w:ascii="Arial" w:hAnsi="Arial"/>
                <w:sz w:val="18"/>
              </w:rPr>
              <w:t>Squelette → à étoffer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Méthodes agiles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18"/>
              </w:rPr>
              <w:t>Gestion de projet (SCRUM)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Sprints de 2 semaines, backlog, user stories, Definition of Done (§17/§20)</w:t>
            </w:r>
          </w:p>
        </w:tc>
        <w:tc>
          <w:tcPr>
            <w:tcW w:type="dxa" w:w="1584"/>
            <w:shd w:val="clear" w:fill="FFEB9C"/>
          </w:tcPr>
          <w:p>
            <w:r>
              <w:rPr>
                <w:rFonts w:ascii="Arial" w:hAnsi="Arial"/>
                <w:sz w:val="18"/>
              </w:rPr>
              <w:t>Cadré → à appliquer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Marketing digital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18"/>
              </w:rPr>
              <w:t>Go-to-market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Acquisition, ASO/SEO, parrainage + codes promo, funnel de conversion, analytics</w:t>
            </w:r>
          </w:p>
        </w:tc>
        <w:tc>
          <w:tcPr>
            <w:tcW w:type="dxa" w:w="1584"/>
            <w:shd w:val="clear" w:fill="DDEBF7"/>
          </w:tcPr>
          <w:p>
            <w:r>
              <w:rPr>
                <w:rFonts w:ascii="Arial" w:hAnsi="Arial"/>
                <w:sz w:val="18"/>
              </w:rPr>
              <w:t>À venir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Analyse financière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18"/>
              </w:rPr>
              <w:t>Modèle économique (§11/§18)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Commissions 80/20, prime hebdo, budget prévisionnel, projections, seuil de rentabilité</w:t>
            </w:r>
          </w:p>
        </w:tc>
        <w:tc>
          <w:tcPr>
            <w:tcW w:type="dxa" w:w="1584"/>
            <w:shd w:val="clear" w:fill="FFEB9C"/>
          </w:tcPr>
          <w:p>
            <w:r>
              <w:rPr>
                <w:rFonts w:ascii="Arial" w:hAnsi="Arial"/>
                <w:sz w:val="18"/>
              </w:rPr>
              <w:t>Partiel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Architecture des SI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18"/>
              </w:rPr>
              <w:t>Mono-repo + CCT + diagrammes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Découpage en couches, séparation API/IA/front, cohérence du SI</w:t>
            </w:r>
          </w:p>
        </w:tc>
        <w:tc>
          <w:tcPr>
            <w:tcW w:type="dxa" w:w="1584"/>
            <w:shd w:val="clear" w:fill="C6EFCE"/>
          </w:tcPr>
          <w:p>
            <w:r>
              <w:rPr>
                <w:rFonts w:ascii="Arial" w:hAnsi="Arial"/>
                <w:sz w:val="18"/>
              </w:rPr>
              <w:t>Déjà fait (socle)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Algorithmique avancé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18"/>
              </w:rPr>
              <w:t>Moteur métier (backend)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Tarification 5 étapes, machine à états 22 statuts, score composite, graphes / plus courts chemins</w:t>
            </w:r>
          </w:p>
        </w:tc>
        <w:tc>
          <w:tcPr>
            <w:tcW w:type="dxa" w:w="1584"/>
            <w:shd w:val="clear" w:fill="DDEBF7"/>
          </w:tcPr>
          <w:p>
            <w:r>
              <w:rPr>
                <w:rFonts w:ascii="Arial" w:hAnsi="Arial"/>
                <w:sz w:val="18"/>
              </w:rPr>
              <w:t>À venir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Cloud, Virtualization &amp; DataCenters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18"/>
              </w:rPr>
              <w:t>infra/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Docker + Compose, VPS Ubuntu, NGINX, conteneurs, haute dispo (phase 2), sauvegardes</w:t>
            </w:r>
          </w:p>
        </w:tc>
        <w:tc>
          <w:tcPr>
            <w:tcW w:type="dxa" w:w="1584"/>
            <w:shd w:val="clear" w:fill="FFEB9C"/>
          </w:tcPr>
          <w:p>
            <w:r>
              <w:rPr>
                <w:rFonts w:ascii="Arial" w:hAnsi="Arial"/>
                <w:sz w:val="18"/>
              </w:rPr>
              <w:t>Partiel (prévu §12.4)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Sécurité informatique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18"/>
              </w:rPr>
              <w:t>Transverse (§14/§15/§16)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JWT + BCrypt + RBAC (déjà codés), sécurité multicouche, RGPD, ISO 27005, pinning, chiffrement</w:t>
            </w:r>
          </w:p>
        </w:tc>
        <w:tc>
          <w:tcPr>
            <w:tcW w:type="dxa" w:w="1584"/>
            <w:shd w:val="clear" w:fill="FFEB9C"/>
          </w:tcPr>
          <w:p>
            <w:r>
              <w:rPr>
                <w:rFonts w:ascii="Arial" w:hAnsi="Arial"/>
                <w:sz w:val="18"/>
              </w:rPr>
              <w:t>Partiel (fait + à venir)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Compilation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18"/>
              </w:rPr>
              <w:t>Moteur de règles (option)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Mini-langage (DSL) pour les règles tarif/promo : lexer → parser → AST → interpréteur</w:t>
            </w:r>
          </w:p>
        </w:tc>
        <w:tc>
          <w:tcPr>
            <w:tcW w:type="dxa" w:w="1584"/>
            <w:shd w:val="clear" w:fill="E6E6E6"/>
          </w:tcPr>
          <w:p>
            <w:r>
              <w:rPr>
                <w:rFonts w:ascii="Arial" w:hAnsi="Arial"/>
                <w:sz w:val="18"/>
              </w:rPr>
              <w:t>Optionnel / avancé</w:t>
            </w:r>
          </w:p>
        </w:tc>
      </w:tr>
    </w:tbl>
    <w:p/>
    <w:p>
      <w:r>
        <w:rPr>
          <w:b/>
        </w:rPr>
        <w:t xml:space="preserve">Lecture d'ensemble. </w:t>
      </w:r>
      <w:r>
        <w:t>11 des 13 cours se branchent naturellement sur ASAP, et deux sont déjà entamés (Architecture des SI via le socle ; Sécurité via l'authentification JWT/BCrypt/RBAC). La Compilation est le seul cours sans ancrage spontané : l'angle proposé est un moteur de règles doté d'un petit langage dédié, à n'ajouter que si tu veux explicitement le valoriser.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