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CC2" w:rsidRDefault="003A06E5">
      <w:pPr>
        <w:pStyle w:val="Titre"/>
      </w:pPr>
      <w:r>
        <w:t>Cahier des Charges Technique — LivrApp</w:t>
      </w:r>
    </w:p>
    <w:p w:rsidR="00CE4CC2" w:rsidRDefault="003A06E5">
      <w:pPr>
        <w:pStyle w:val="Sous-titre"/>
      </w:pPr>
      <w:r>
        <w:t>Plateforme intelligente de livraison, mise en relation et optimisation logistique — Version 2.0 (refonte de conception)</w:t>
      </w:r>
    </w:p>
    <w:p w:rsidR="00CE4CC2" w:rsidRDefault="003A06E5">
      <w:pPr>
        <w:pStyle w:val="Author"/>
      </w:pPr>
      <w:r>
        <w:t>Équipe LivrApp — ISI ING3 · Institut Universitaire Saint Jean, Yaoundé</w:t>
      </w:r>
    </w:p>
    <w:p w:rsidR="00CE4CC2" w:rsidRDefault="003A06E5">
      <w:pPr>
        <w:pStyle w:val="Date"/>
      </w:pPr>
      <w:r>
        <w:t>Juin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17312522"/>
        <w:docPartObj>
          <w:docPartGallery w:val="Table of Contents"/>
          <w:docPartUnique/>
        </w:docPartObj>
      </w:sdtPr>
      <w:sdtContent>
        <w:p w:rsidR="00CE4CC2" w:rsidRDefault="003A06E5">
          <w:pPr>
            <w:pStyle w:val="En-ttedetabledesmatires"/>
          </w:pPr>
          <w:r>
            <w:t>Table of Contents</w:t>
          </w:r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\o "1-2" \h \z \u</w:instrText>
            <w:fldChar w:fldCharType="separate"/>
          </w:r>
          <w:hyperlink w:anchor="_Toc232734015" w:history="1">
            <w:r>
              <w:rPr>
                <w:rStyle w:val="Lienhypertexte"/>
                <w:noProof/>
              </w:rPr>
              <w:t>1. Fiche de contrôle du document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_Toc232734015 \h </w:instrText>
              <w:fldChar w:fldCharType="separate"/>
              <w:t>3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16" w:history="1">
            <w:r>
              <w:rPr>
                <w:rStyle w:val="Lienhypertexte"/>
                <w:noProof/>
              </w:rPr>
              <w:t>2. Introduction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_Toc232734016 \h </w:instrText>
              <w:fldChar w:fldCharType="separate"/>
              <w:t>3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17" w:history="1">
            <w:r>
              <w:rPr>
                <w:rStyle w:val="Lienhypertexte"/>
                <w:noProof/>
              </w:rPr>
              <w:t>2.1 Objet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_Toc232734017 \h </w:instrText>
              <w:fldChar w:fldCharType="separate"/>
              <w:t>3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18" w:history="1">
            <w:r>
              <w:rPr>
                <w:rStyle w:val="Lienhypertexte"/>
                <w:noProof/>
              </w:rPr>
              <w:t>2.2 Périmètre du document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_Toc232734018 \h </w:instrText>
              <w:fldChar w:fldCharType="separate"/>
              <w:t>3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19" w:history="1">
            <w:r>
              <w:rPr>
                <w:rStyle w:val="Lienhypertexte"/>
                <w:noProof/>
              </w:rPr>
              <w:t>2.3 Documents de référence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_Toc232734019 \h </w:instrText>
              <w:fldChar w:fldCharType="separate"/>
              <w:t>3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20" w:history="1">
            <w:r>
              <w:rPr>
                <w:rStyle w:val="Lienhypertexte"/>
                <w:noProof/>
              </w:rPr>
              <w:t>3. Liste des sigles et abréviations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_Toc232734020 \h </w:instrText>
              <w:fldChar w:fldCharType="separate"/>
              <w:t>4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21" w:history="1">
            <w:r>
              <w:rPr>
                <w:rStyle w:val="Lienhypertexte"/>
                <w:noProof/>
              </w:rPr>
              <w:t>4. Glossaire métier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_Toc232734021 \h </w:instrText>
              <w:fldChar w:fldCharType="separate"/>
              <w:t>5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22" w:history="1">
            <w:r>
              <w:rPr>
                <w:rStyle w:val="Lienhypertexte"/>
                <w:noProof/>
              </w:rPr>
              <w:t>5. Présentation générale du projet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_Toc232734022 \h </w:instrText>
              <w:fldChar w:fldCharType="separate"/>
              <w:t>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3" w:history="1">
            <w:r>
              <w:rPr>
                <w:rStyle w:val="Lienhypertexte"/>
                <w:noProof/>
              </w:rPr>
              <w:t>5.1 Vision et positionnement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_Toc232734023 \h </w:instrText>
              <w:fldChar w:fldCharType="separate"/>
              <w:t>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4" w:history="1">
            <w:r>
              <w:rPr>
                <w:rStyle w:val="Lienhypertexte"/>
                <w:noProof/>
              </w:rPr>
              <w:t>5.2 Acteurs et rôles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_Toc232734024 \h </w:instrText>
              <w:fldChar w:fldCharType="separate"/>
              <w:t>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5" w:history="1">
            <w:r>
              <w:rPr>
                <w:rStyle w:val="Lienhypertexte"/>
                <w:noProof/>
              </w:rPr>
              <w:t>5.3 Types d’opérations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_Toc232734025 \h </w:instrText>
              <w:fldChar w:fldCharType="separate"/>
              <w:t>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6" w:history="1">
            <w:r>
              <w:rPr>
                <w:rStyle w:val="Lienhypertexte"/>
                <w:noProof/>
              </w:rPr>
              <w:t xml:space="preserve">5.4 Périmètre MVP (Phase 1) —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_Toc232734026 \h </w:instrText>
              <w:fldChar w:fldCharType="separate"/>
              <w:t>7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27" w:history="1">
            <w:r>
              <w:rPr>
                <w:rStyle w:val="Lienhypertexte"/>
                <w:noProof/>
              </w:rPr>
              <w:t>6. Contexte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_Toc232734027 \h </w:instrText>
              <w:fldChar w:fldCharType="separate"/>
              <w:t>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8" w:history="1">
            <w:r>
              <w:rPr>
                <w:rStyle w:val="Lienhypertexte"/>
                <w:noProof/>
              </w:rPr>
              <w:t>6.1 Contexte opérationnel camerounais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_Toc232734028 \h </w:instrText>
              <w:fldChar w:fldCharType="separate"/>
              <w:t>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29" w:history="1">
            <w:r>
              <w:rPr>
                <w:rStyle w:val="Lienhypertexte"/>
                <w:noProof/>
              </w:rPr>
              <w:t>6.2 Contexte académique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_Toc232734029 \h </w:instrText>
              <w:fldChar w:fldCharType="separate"/>
              <w:t>8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0" w:history="1">
            <w:r>
              <w:rPr>
                <w:rStyle w:val="Lienhypertexte"/>
                <w:noProof/>
              </w:rPr>
              <w:t xml:space="preserve">6.3 Hypothèses et contraintes de dimensionnement —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_Toc232734030 \h </w:instrText>
              <w:fldChar w:fldCharType="separate"/>
              <w:t>8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31" w:history="1">
            <w:r>
              <w:rPr>
                <w:rStyle w:val="Lienhypertexte"/>
                <w:noProof/>
              </w:rPr>
              <w:t>7. Exigences fonctionnelles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_Toc232734031 \h </w:instrText>
              <w:fldChar w:fldCharType="separate"/>
              <w:t>8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2" w:history="1">
            <w:r>
              <w:rPr>
                <w:rStyle w:val="Lienhypertexte"/>
                <w:noProof/>
              </w:rPr>
              <w:t>7.1 Comptes, identité et sécurité d’accès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_Toc232734032 \h </w:instrText>
              <w:fldChar w:fldCharType="separate"/>
              <w:t>8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3" w:history="1">
            <w:r>
              <w:rPr>
                <w:rStyle w:val="Lienhypertexte"/>
                <w:noProof/>
              </w:rPr>
              <w:t>7.2 Commande et opérations de livraison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_Toc232734033 \h </w:instrText>
              <w:fldChar w:fldCharType="separate"/>
              <w:t>8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4" w:history="1">
            <w:r>
              <w:rPr>
                <w:rStyle w:val="Lienhypertexte"/>
                <w:noProof/>
              </w:rPr>
              <w:t>7.3 Affectation, suivi et confirmation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_Toc232734034 \h </w:instrText>
              <w:fldChar w:fldCharType="separate"/>
              <w:t>9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5" w:history="1">
            <w:r>
              <w:rPr>
                <w:rStyle w:val="Lienhypertexte"/>
                <w:noProof/>
              </w:rPr>
              <w:t>7.4 Paiement et facturation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_Toc232734035 \h </w:instrText>
              <w:fldChar w:fldCharType="separate"/>
              <w:t>10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6" w:history="1">
            <w:r>
              <w:rPr>
                <w:rStyle w:val="Lienhypertexte"/>
                <w:noProof/>
              </w:rPr>
              <w:t>7.5 Communication, évaluation, historique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_Toc232734036 \h </w:instrText>
              <w:fldChar w:fldCharType="separate"/>
              <w:t>10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37" w:history="1">
            <w:r>
              <w:rPr>
                <w:rStyle w:val="Lienhypertexte"/>
                <w:noProof/>
              </w:rPr>
              <w:t>7.6 Administration et pilotage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_Toc232734037 \h </w:instrText>
              <w:fldChar w:fldCharType="separate"/>
              <w:t>10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38" w:history="1">
            <w:r>
              <w:rPr>
                <w:rStyle w:val="Lienhypertexte"/>
                <w:noProof/>
              </w:rPr>
              <w:t>8. Exigences non fonctionnelles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_Toc232734038 \h </w:instrText>
              <w:fldChar w:fldCharType="separate"/>
              <w:t>11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39" w:history="1">
            <w:r>
              <w:rPr>
                <w:rStyle w:val="Lienhypertexte"/>
                <w:noProof/>
              </w:rPr>
              <w:t>9. Règles de gestion (formalisées)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_Toc232734039 \h </w:instrText>
              <w:fldChar w:fldCharType="separate"/>
              <w:t>12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0" w:history="1">
            <w:r>
              <w:rPr>
                <w:rStyle w:val="Lienhypertexte"/>
                <w:noProof/>
              </w:rPr>
              <w:t xml:space="preserve">9.1 Tarification — formule canonique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_Toc232734040 \h </w:instrText>
              <w:fldChar w:fldCharType="separate"/>
              <w:t>12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1" w:history="1">
            <w:r>
              <w:rPr>
                <w:rStyle w:val="Lienhypertexte"/>
                <w:noProof/>
              </w:rPr>
              <w:t xml:space="preserve">9.2 Score composite d’attribution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_Toc232734041 \h </w:instrText>
              <w:fldChar w:fldCharType="separate"/>
              <w:t>12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2" w:history="1">
            <w:r>
              <w:rPr>
                <w:rStyle w:val="Lienhypertexte"/>
                <w:noProof/>
              </w:rPr>
              <w:t xml:space="preserve">9.3 Pénalités et échelle GPS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_Toc232734042 \h </w:instrText>
              <w:fldChar w:fldCharType="separate"/>
              <w:t>13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3" w:history="1">
            <w:r>
              <w:rPr>
                <w:rStyle w:val="Lienhypertexte"/>
                <w:noProof/>
              </w:rPr>
              <w:t>9.4 Retrait partenaire (§7.3 BF10/BF19)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_Toc232734043 \h </w:instrText>
              <w:fldChar w:fldCharType="separate"/>
              <w:t>13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4" w:history="1">
            <w:r>
              <w:rPr>
                <w:rStyle w:val="Lienhypertexte"/>
                <w:noProof/>
              </w:rPr>
              <w:t>9.5 Ramassage hebdomadaire (§7.2 BF11)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_Toc232734044 \h </w:instrText>
              <w:fldChar w:fldCharType="separate"/>
              <w:t>13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45" w:history="1">
            <w:r>
              <w:rPr>
                <w:rStyle w:val="Lienhypertexte"/>
                <w:noProof/>
              </w:rPr>
              <w:t xml:space="preserve">10. Machine à états des livraisons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_Toc232734045 \h </w:instrText>
              <w:fldChar w:fldCharType="separate"/>
              <w:t>14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6" w:history="1">
            <w:r>
              <w:rPr>
                <w:rStyle w:val="Lienhypertexte"/>
                <w:noProof/>
              </w:rPr>
              <w:t>10.1 États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_Toc232734046 \h </w:instrText>
              <w:fldChar w:fldCharType="separate"/>
              <w:t>14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7" w:history="1">
            <w:r>
              <w:rPr>
                <w:rStyle w:val="Lienhypertexte"/>
                <w:noProof/>
              </w:rPr>
              <w:t>10.2 Transitions principales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_Toc232734047 \h </w:instrText>
              <w:fldChar w:fldCharType="separate"/>
              <w:t>14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8" w:history="1">
            <w:r>
              <w:rPr>
                <w:rStyle w:val="Lienhypertexte"/>
                <w:noProof/>
              </w:rPr>
              <w:t xml:space="preserve">10.3 Confirmation hors-ligne (résolution de la tension offline ↔ OTP)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_Toc232734048 \h </w:instrText>
              <w:fldChar w:fldCharType="separate"/>
              <w:t>15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49" w:history="1">
            <w:r>
              <w:rPr>
                <w:rStyle w:val="Lienhypertexte"/>
                <w:noProof/>
              </w:rPr>
              <w:t xml:space="preserve">10.4 Résolution des conflits de synchronisation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_Toc232734049 \h </w:instrText>
              <w:fldChar w:fldCharType="separate"/>
              <w:t>15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50" w:history="1">
            <w:r>
              <w:rPr>
                <w:rStyle w:val="Lienhypertexte"/>
                <w:noProof/>
              </w:rPr>
              <w:t>11. Modèle économique et rémunération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_Toc232734050 \h </w:instrText>
              <w:fldChar w:fldCharType="separate"/>
              <w:t>16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1" w:history="1">
            <w:r>
              <w:rPr>
                <w:rStyle w:val="Lienhypertexte"/>
                <w:noProof/>
              </w:rPr>
              <w:t xml:space="preserve">11.1 Statut des livreurs </w:t>
            </w:r>
            <w:r>
              <w:rPr>
                <w:rStyle w:val="Lienhypertexte"/>
                <w:i/>
                <w:iCs/>
                <w:noProof/>
              </w:rPr>
              <w:t>[Décision — lève la contradiction salarié/commission]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_Toc232734051 \h </w:instrText>
              <w:fldChar w:fldCharType="separate"/>
              <w:t>16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2" w:history="1">
            <w:r>
              <w:rPr>
                <w:rStyle w:val="Lienhypertexte"/>
                <w:noProof/>
              </w:rPr>
              <w:t xml:space="preserve">11.2 Calcul de la prime (BF38)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_Toc232734052 \h </w:instrText>
              <w:fldChar w:fldCharType="separate"/>
              <w:t>16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3" w:history="1">
            <w:r>
              <w:rPr>
                <w:rStyle w:val="Lienhypertexte"/>
                <w:noProof/>
              </w:rPr>
              <w:t xml:space="preserve">11.3 Structure des revenus de la plateforme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_Toc232734053 \h </w:instrText>
              <w:fldChar w:fldCharType="separate"/>
              <w:t>16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4" w:history="1">
            <w:r>
              <w:rPr>
                <w:rStyle w:val="Lienhypertexte"/>
                <w:noProof/>
              </w:rPr>
              <w:t xml:space="preserve">11.4 Clients entreprise (B2B)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_Toc232734054 \h </w:instrText>
              <w:fldChar w:fldCharType="separate"/>
              <w:t>16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5" w:history="1">
            <w:r>
              <w:rPr>
                <w:rStyle w:val="Lienhypertexte"/>
                <w:noProof/>
              </w:rPr>
              <w:t xml:space="preserve">11.5 Périmètre COD et module futur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_Toc232734055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56" w:history="1">
            <w:r>
              <w:rPr>
                <w:rStyle w:val="Lienhypertexte"/>
                <w:noProof/>
              </w:rPr>
              <w:t>12. Architecture technique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_Toc232734056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7" w:history="1">
            <w:r>
              <w:rPr>
                <w:rStyle w:val="Lienhypertexte"/>
                <w:noProof/>
              </w:rPr>
              <w:t>12.1 Écosystème applicatif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_Toc232734057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8" w:history="1">
            <w:r>
              <w:rPr>
                <w:rStyle w:val="Lienhypertexte"/>
                <w:noProof/>
              </w:rPr>
              <w:t>12.2 Données et messagerie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_Toc232734058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59" w:history="1">
            <w:r>
              <w:rPr>
                <w:rStyle w:val="Lienhypertexte"/>
                <w:noProof/>
              </w:rPr>
              <w:t xml:space="preserve">12.3 Cartographie et services tiers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_Toc232734059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60" w:history="1">
            <w:r>
              <w:rPr>
                <w:rStyle w:val="Lienhypertexte"/>
                <w:noProof/>
              </w:rPr>
              <w:t xml:space="preserve">12.4 Infrastructure et niveaux de service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_Toc232734060 \h </w:instrText>
              <w:fldChar w:fldCharType="separate"/>
              <w:t>17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61" w:history="1">
            <w:r>
              <w:rPr>
                <w:rStyle w:val="Lienhypertexte"/>
                <w:noProof/>
              </w:rPr>
              <w:t xml:space="preserve">13. Modèle de données de référence (domaine)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_Toc232734061 \h </w:instrText>
              <w:fldChar w:fldCharType="separate"/>
              <w:t>18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62" w:history="1">
            <w:r>
              <w:rPr>
                <w:rStyle w:val="Lienhypertexte"/>
                <w:noProof/>
              </w:rPr>
              <w:t>14. Sécurité multicouche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_Toc232734062 \h </w:instrText>
              <w:fldChar w:fldCharType="separate"/>
              <w:t>19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63" w:history="1">
            <w:r>
              <w:rPr>
                <w:rStyle w:val="Lienhypertexte"/>
                <w:noProof/>
              </w:rPr>
              <w:t>15. Cadre juridique, conformité et protection des données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_Toc232734063 \h </w:instrText>
              <w:fldChar w:fldCharType="separate"/>
              <w:t>19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64" w:history="1">
            <w:r>
              <w:rPr>
                <w:rStyle w:val="Lienhypertexte"/>
                <w:noProof/>
              </w:rPr>
              <w:t>15.1 Textes applicables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_Toc232734064 \h </w:instrText>
              <w:fldChar w:fldCharType="separate"/>
              <w:t>19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65" w:history="1">
            <w:r>
              <w:rPr>
                <w:rStyle w:val="Lienhypertexte"/>
                <w:noProof/>
              </w:rPr>
              <w:t xml:space="preserve">15.2 Protection des données et durées de conservation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_Toc232734065 \h </w:instrText>
              <w:fldChar w:fldCharType="separate"/>
              <w:t>19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66" w:history="1">
            <w:r>
              <w:rPr>
                <w:rStyle w:val="Lienhypertexte"/>
                <w:noProof/>
              </w:rPr>
              <w:t>16. Gestion des risques (ISO 27005)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_Toc232734066 \h </w:instrText>
              <w:fldChar w:fldCharType="separate"/>
              <w:t>20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67" w:history="1">
            <w:r>
              <w:rPr>
                <w:rStyle w:val="Lienhypertexte"/>
                <w:noProof/>
              </w:rPr>
              <w:t>17. Démarche et organisation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_Toc232734067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68" w:history="1">
            <w:r>
              <w:rPr>
                <w:rStyle w:val="Lienhypertexte"/>
                <w:noProof/>
              </w:rPr>
              <w:t>17.1 Méthode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_Toc232734068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69" w:history="1">
            <w:r>
              <w:rPr>
                <w:rStyle w:val="Lienhypertexte"/>
                <w:noProof/>
              </w:rPr>
              <w:t>17.2 Équipe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_Toc232734069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70" w:history="1">
            <w:r>
              <w:rPr>
                <w:rStyle w:val="Lienhypertexte"/>
                <w:noProof/>
              </w:rPr>
              <w:t>18. Ressources et budget prévisionnel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_Toc232734070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71" w:history="1">
            <w:r>
              <w:rPr>
                <w:rStyle w:val="Lienhypertexte"/>
                <w:noProof/>
              </w:rPr>
              <w:t>18.1 Ressources matérielles et logicielles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_Toc232734071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2734072" w:history="1">
            <w:r>
              <w:rPr>
                <w:rStyle w:val="Lienhypertexte"/>
                <w:noProof/>
              </w:rPr>
              <w:t xml:space="preserve">18.2 Budget mensuel — </w:t>
            </w:r>
            <w:r>
              <w:rPr>
                <w:rStyle w:val="Lienhypertexte"/>
                <w:i/>
                <w:iCs/>
                <w:noProof/>
              </w:rPr>
              <w:t>hypothèse 50–150 livraisons/jour</w:t>
            </w:r>
            <w:r>
              <w:rPr>
                <w:rStyle w:val="Lienhypertexte"/>
                <w:noProof/>
              </w:rPr>
              <w:t xml:space="preserve"> </w:t>
            </w:r>
            <w:r>
              <w:rPr>
                <w:rStyle w:val="Lienhypertexte"/>
                <w:i/>
                <w:iCs/>
                <w:noProof/>
              </w:rPr>
              <w:t>[Décision]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_Toc232734072 \h </w:instrText>
              <w:fldChar w:fldCharType="separate"/>
              <w:t>21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73" w:history="1">
            <w:r>
              <w:rPr>
                <w:rStyle w:val="Lienhypertexte"/>
                <w:noProof/>
              </w:rPr>
              <w:t>19. Plan de livraison (roadmap)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_Toc232734073 \h </w:instrText>
              <w:fldChar w:fldCharType="separate"/>
              <w:t>22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74" w:history="1">
            <w:r>
              <w:rPr>
                <w:rStyle w:val="Lienhypertexte"/>
                <w:noProof/>
              </w:rPr>
              <w:t>20. Critères d’acceptation (Definition of Done)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_Toc232734074 \h </w:instrText>
              <w:fldChar w:fldCharType="separate"/>
              <w:t>22</w:t>
              <w:fldChar w:fldCharType="end"/>
            </w:r>
          </w:hyperlink>
        </w:p>
        <w:p w:rsidR="003A06E5" w:rsidRDefault="003A06E5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2734075" w:history="1">
            <w:r>
              <w:rPr>
                <w:rStyle w:val="Lienhypertexte"/>
                <w:noProof/>
              </w:rPr>
              <w:t>21. Annexes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_Toc232734075 \h </w:instrText>
              <w:fldChar w:fldCharType="separate"/>
              <w:t>22</w:t>
              <w:fldChar w:fldCharType="end"/>
            </w:r>
          </w:hyperlink>
        </w:p>
        <w:p w:rsidR="00CE4CC2" w:rsidRDefault="003A06E5">
          <w:r>
            <w:fldChar w:fldCharType="end"/>
          </w:r>
        </w:p>
      </w:sdtContent>
    </w:sdt>
    <w:p w:rsidR="00CE4CC2" w:rsidRDefault="003A06E5">
      <w:r>
        <w:br w:type="page"/>
      </w:r>
    </w:p>
    <w:p w:rsidR="00CE4CC2" w:rsidRDefault="003A06E5">
      <w:pPr>
        <w:pStyle w:val="Titre1"/>
      </w:pPr>
      <w:bookmarkStart w:id="0" w:name="fiche-de-contrôle-du-document"/>
      <w:bookmarkStart w:id="1" w:name="_Toc232734015"/>
      <w:r>
        <w:lastRenderedPageBreak/>
        <w:t>1. Fiche de contrôle du document</w:t>
      </w:r>
      <w:bookmarkEnd w:id="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60"/>
        <w:gridCol w:w="7882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Champ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Valeur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Référence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LivrApp-CCT-2.0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Statut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Version finale de conception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2.0 (refonte) — remplace et annule la v1.2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Juin 2026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Cadre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Projet de fin de formation ISI ING3 — Note de Service N° 2025-003/ISJ/DA/ISI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Public visé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Équipe de développement, encadreurs, jury, parties prenantes métier</w:t>
            </w:r>
          </w:p>
        </w:tc>
      </w:tr>
    </w:tbl>
    <w:p w:rsidR="00CE4CC2" w:rsidRDefault="003A06E5">
      <w:pPr>
        <w:pStyle w:val="Corpsdetexte"/>
      </w:pPr>
      <w:r>
        <w:rPr>
          <w:b/>
          <w:bCs/>
        </w:rPr>
        <w:t>Note de révision.</w:t>
      </w:r>
      <w:r>
        <w:t xml:space="preserve"> Cette version 2.0 reprend l’intégralité du périmètre de la v1.2 et lève les ambiguïtés et incohérences identifiées lors de la revue technique : clarification du statut et de la rémunération des livreurs, périmètre exact de l’encaissement cash/COD, résolution de la tension </w:t>
      </w:r>
      <w:r>
        <w:rPr>
          <w:i/>
          <w:iCs/>
        </w:rPr>
        <w:t>offline-first ↔ confirmation OTP</w:t>
      </w:r>
      <w:r>
        <w:t xml:space="preserve">, alignement du niveau de service sur l’infrastructure réellement provisionnée, budgets services tiers recalculés sur des hypothèses de volume, conformité OHADA pour la conservation des données, machine à états complète, formules de tarification et de scoring canoniques, et ajout d’un modèle de données de référence. Les décisions d’ingénierie sont signalées par la mention </w:t>
      </w:r>
      <w:r>
        <w:rPr>
          <w:b/>
          <w:bCs/>
        </w:rPr>
        <w:t>[Décision]</w:t>
      </w:r>
      <w:r>
        <w:t xml:space="preserve"> et sont opposables à la conception.</w:t>
      </w:r>
    </w:p>
    <w:p w:rsidR="00CE4CC2" w:rsidRDefault="003A06E5">
      <w:r>
        <w:pict>
          <v:rect id="_x0000_i1025" style="width:0;height:1.5pt" o:hralign="center" o:hrstd="t" o:hr="t"/>
        </w:pict>
      </w:r>
    </w:p>
    <w:p w:rsidR="00CE4CC2" w:rsidRDefault="003A06E5">
      <w:pPr>
        <w:pStyle w:val="Titre1"/>
      </w:pPr>
      <w:bookmarkStart w:id="2" w:name="introduction"/>
      <w:bookmarkStart w:id="3" w:name="_Toc232734016"/>
      <w:bookmarkEnd w:id="0"/>
      <w:r>
        <w:t>2. Introduction</w:t>
      </w:r>
      <w:bookmarkEnd w:id="3"/>
    </w:p>
    <w:p w:rsidR="00CE4CC2" w:rsidRDefault="003A06E5">
      <w:pPr>
        <w:pStyle w:val="Titre2"/>
      </w:pPr>
      <w:bookmarkStart w:id="4" w:name="objet"/>
      <w:bookmarkStart w:id="5" w:name="_Toc232734017"/>
      <w:r>
        <w:t>2.1 Objet</w:t>
      </w:r>
      <w:bookmarkEnd w:id="5"/>
    </w:p>
    <w:p w:rsidR="00CE4CC2" w:rsidRDefault="003A06E5">
      <w:pPr>
        <w:pStyle w:val="FirstParagraph"/>
      </w:pPr>
      <w:r>
        <w:t xml:space="preserve">Le présent Cahier des Charges Technique (CCT) définit, de manière complète et non ambiguë, les exigences fonctionnelles, non fonctionnelles, les règles de gestion, l’architecture cible et les contraintes du système </w:t>
      </w:r>
      <w:r>
        <w:rPr>
          <w:b/>
          <w:bCs/>
        </w:rPr>
        <w:t>LivrApp</w:t>
      </w:r>
      <w:r>
        <w:t>, afin de permettre une conception (UML, modèle de données, API) et une réalisation fidèles.</w:t>
      </w:r>
    </w:p>
    <w:p w:rsidR="00CE4CC2" w:rsidRDefault="003A06E5">
      <w:pPr>
        <w:pStyle w:val="Titre2"/>
      </w:pPr>
      <w:bookmarkStart w:id="6" w:name="périmètre-du-document"/>
      <w:bookmarkStart w:id="7" w:name="_Toc232734018"/>
      <w:bookmarkEnd w:id="4"/>
      <w:r>
        <w:t>2.2 Périmètre du document</w:t>
      </w:r>
      <w:bookmarkEnd w:id="7"/>
    </w:p>
    <w:p w:rsidR="00CE4CC2" w:rsidRDefault="003A06E5">
      <w:pPr>
        <w:pStyle w:val="FirstParagraph"/>
      </w:pPr>
      <w:r>
        <w:t xml:space="preserve">Le CCT couvre le </w:t>
      </w:r>
      <w:r>
        <w:rPr>
          <w:b/>
          <w:bCs/>
        </w:rPr>
        <w:t>périmètre MVP (Phase 1)</w:t>
      </w:r>
      <w:r>
        <w:t xml:space="preserve"> livrable dans le cadre du projet, ainsi que la </w:t>
      </w:r>
      <w:r>
        <w:rPr>
          <w:b/>
          <w:bCs/>
        </w:rPr>
        <w:t>trajectoire d’évolution (Phases 2 et 3)</w:t>
      </w:r>
      <w:r>
        <w:t xml:space="preserve"> afin que les choix d’architecture du MVP ne ferment pas les portes des extensions. Le périmètre MVP est défini sans équivoque au §5.4 ; tout ce qui n’y figure pas relève de la roadmap (§19).</w:t>
      </w:r>
    </w:p>
    <w:p w:rsidR="00CE4CC2" w:rsidRDefault="003A06E5">
      <w:pPr>
        <w:pStyle w:val="Titre2"/>
      </w:pPr>
      <w:bookmarkStart w:id="8" w:name="documents-de-référence"/>
      <w:bookmarkStart w:id="9" w:name="_Toc232734019"/>
      <w:bookmarkEnd w:id="6"/>
      <w:r>
        <w:t>2.3 Documents de référence</w:t>
      </w:r>
      <w:bookmarkEnd w:id="9"/>
    </w:p>
    <w:p w:rsidR="00CE4CC2" w:rsidRDefault="003A06E5">
      <w:pPr>
        <w:pStyle w:val="FirstParagraph"/>
      </w:pPr>
      <w:r>
        <w:t>Note de Service N° 2025-003/ISJ/DA/ISI ; standards UML 2.x, OpenAPI 3.0, ISO 27005 ; lois camerounaises N°2010/012 et N°2010/021 ; Code du travail camerounais ; Acte uniforme OHADA relatif au droit comptable ; réglementation BEAC/COBAC sur la monnaie électronique.</w:t>
      </w:r>
    </w:p>
    <w:p w:rsidR="00CE4CC2" w:rsidRDefault="003A06E5">
      <w:r>
        <w:pict>
          <v:rect id="_x0000_i1026" style="width:0;height:1.5pt" o:hralign="center" o:hrstd="t" o:hr="t"/>
        </w:pict>
      </w:r>
    </w:p>
    <w:p w:rsidR="00CE4CC2" w:rsidRDefault="003A06E5">
      <w:pPr>
        <w:pStyle w:val="Titre1"/>
      </w:pPr>
      <w:bookmarkStart w:id="10" w:name="liste-des-sigles-et-abréviations"/>
      <w:bookmarkStart w:id="11" w:name="_Toc232734020"/>
      <w:bookmarkEnd w:id="2"/>
      <w:bookmarkEnd w:id="8"/>
      <w:r>
        <w:lastRenderedPageBreak/>
        <w:t>3. Liste des sigles et abréviations</w:t>
      </w:r>
      <w:bookmarkEnd w:id="1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08"/>
        <w:gridCol w:w="7534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Sigle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Signification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2TUP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Two Track Unified Process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Advanced Encryption Standard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Application Programming Interface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B2B / B2C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Business to Business / Business to Consumer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BDD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Base de Données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BEAC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Banque des États de l’Afrique Centrale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 / BNF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Besoin Fonctionnel / Besoin Non Fonctionnel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CCT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Cahier des Charges Technique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CDD / CDI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Contrat à Durée Déterminée / Indéterminée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Continuous Integration / Continuous Deployment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CNPS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Caisse Nationale de Prévoyance Sociale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COBAC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Commission Bancaire de l’Afrique Centrale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Cash On Delivery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CGU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Conditions Générales d’Utilisation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DoD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Definition of Done (critères d’acceptation)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DSS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Diagramme de Séquence Système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ETA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Estimated Time of Arrival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FCM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Firebase Cloud Messaging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GPS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Global Positioning System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Haute Disponibilité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HTTPS / TLS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HyperText Transfer Protocol Secure / Transport Layer Security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Intelligence Artificielle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JSON Web Token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Key Performance Indicator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KYC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Know Your Customer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MITM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Man In The Middle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MoMo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Mobile Money (MTN)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MVP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Minimum Viable Product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OHADA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Organisation pour l’Harmonisation en Afrique du Droit des Affaires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OR-Tools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Operations Research Tools (Google)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OTP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One Time Password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PII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Personally Identifiable Information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PostGIS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Extension géospatiale de PostgreSQL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PWA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Progressive Web App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QR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Quick Response code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RCCM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Registre du Commerce et du Crédit Mobilier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REST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Representational State Transfer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RTO / RPO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Recovery Time / Point Objective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SLA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Service Level Agreement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SMIG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Salaire Minimum Interprofessionnel Garanti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SMS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Short Message Service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SQL / SGBD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Structured Query Language / Système de Gestion de BDD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UML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Unified Modeling Language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UTC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Coordinated Universal Time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VRP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Vehicle Routing Problem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WAF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Web Application Firewall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XAF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Franc CFA d’Afrique Centrale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XSS / CSRF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Cross-Site Scripting / Cross-Site Request Forgery</w:t>
            </w:r>
          </w:p>
        </w:tc>
      </w:tr>
    </w:tbl>
    <w:p w:rsidR="00CE4CC2" w:rsidRDefault="003A06E5">
      <w:r>
        <w:pict>
          <v:rect id="_x0000_i1027" style="width:0;height:1.5pt" o:hralign="center" o:hrstd="t" o:hr="t"/>
        </w:pict>
      </w:r>
    </w:p>
    <w:p w:rsidR="00CE4CC2" w:rsidRDefault="003A06E5">
      <w:pPr>
        <w:pStyle w:val="Titre1"/>
      </w:pPr>
      <w:bookmarkStart w:id="12" w:name="glossaire-métier"/>
      <w:bookmarkStart w:id="13" w:name="_Toc232734021"/>
      <w:bookmarkEnd w:id="10"/>
      <w:r>
        <w:t>4. Glossaire métier</w:t>
      </w:r>
      <w:bookmarkEnd w:id="1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19"/>
        <w:gridCol w:w="7423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Terme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Définition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Agent IA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Microservice d’intelligence : attribution (VRP), ETA, scoring livreur, détection d’anomalies GPS, tarification, clustering ramassage.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Carnet d’adresses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Lieux enregistrés par l’utilisateur (libellé, repères, pin GPS, photo du bâtiment) pour commander en deux gestes.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Cash On Delivery. En MVP, désigne </w:t>
            </w:r>
            <w:r>
              <w:rPr>
                <w:b/>
                <w:bCs/>
              </w:rPr>
              <w:t>exclusivement le paiement en espèces des frais de livraison</w:t>
            </w:r>
            <w:r>
              <w:t xml:space="preserve"> par le receveur. L’encaissement de la valeur marchande pour le compte d’un vendeur relève de la Phase 2 (module Encaissement &amp; Reversement).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Commande inversée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Le livreur récupère un colis chez un tiers pour le ramener au client ou en hub.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Géo-clôture (geofence)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Zone circulaire (rayon paramétrable, défaut 150 m) autour d’un point ; son franchissement déclenche des règles serveur (ex. chrono d’attente).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Jeton de livraison signé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Code (PIN + QR) cryptographiquement signé par le serveur, émis à l’affectation ; permet la </w:t>
            </w:r>
            <w:r>
              <w:rPr>
                <w:b/>
                <w:bCs/>
              </w:rPr>
              <w:t>confirmation hors-ligne</w:t>
            </w:r>
            <w:r>
              <w:t xml:space="preserve"> par vérification de signature locale.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Lot de ramassage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Ensemble des commandes d’une structure pour un jour de ramassage hebdomadaire fixe.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Palier tarifaire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Niveau de réduction automatique selon le volume du mois précédent : Standard, Business (−10 %), Premium (−20 %).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Pénalité / Dette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Frais imputés à un acteur fautif, enregistrés comme dette ; </w:t>
            </w:r>
            <w:r>
              <w:rPr>
                <w:b/>
                <w:bCs/>
              </w:rPr>
              <w:t>bloquants</w:t>
            </w:r>
            <w:r>
              <w:t xml:space="preserve"> : aucune nouvelle commande tant que la dette n’est pas réglée.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Prime de performance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Part variable de la rémunération du livreur salarié, indexée sur la valeur produite et le score qualité, versée hebdomadairement par MoMo.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Receveur </w:t>
              <w:lastRenderedPageBreak/>
              <w:t>(Receiver)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 xml:space="preserve">Destinataire d’un colis. </w:t>
            </w:r>
            <w:r>
              <w:rPr>
                <w:rStyle w:val="VerbatimChar"/>
              </w:rPr>
              <w:t>hasApp=true</w:t>
            </w:r>
            <w:r>
              <w:t xml:space="preserve"> → notification push ; </w:t>
            </w:r>
            <w:r>
              <w:rPr>
                <w:rStyle w:val="VerbatimChar"/>
              </w:rPr>
              <w:lastRenderedPageBreak/>
              <w:t>hasApp=false</w:t>
            </w:r>
            <w:r>
              <w:t xml:space="preserve"> → flux SMS + jeton signé / page de suivi web.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Score composite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Indicateur 0–100 d’aptitude à l’attribution (voir formule §9.2).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Soft delete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Suppression logique (champ </w:t>
            </w:r>
            <w:r>
              <w:rPr>
                <w:rStyle w:val="VerbatimChar"/>
              </w:rPr>
              <w:t>deletedAt</w:t>
            </w:r>
            <w:r>
              <w:t>) ; combinée à l’anonymisation des PII pour respecter le droit à l’effacement tout en conservant les enregistrements légalement obligatoires.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Super admin / Co-admin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Porteur du projet (droits maximaux) / administrateurs opérationnels (droits restreints, sans accès finances consolidées, modèle économique, création d’admins, logs sécurité).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Tournée optimisée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Lot de 1 à 3 livraisons affectées à un livreur, ordonnancées par l’Agent IA (OR-Tools / VRP).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Triple traçabilité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Sécurisation de l’encaissement espèces : photo des billets + montant déclaré + validation par jeton/OTP.</w:t>
            </w:r>
          </w:p>
        </w:tc>
      </w:tr>
    </w:tbl>
    <w:p w:rsidR="00CE4CC2" w:rsidRDefault="003A06E5">
      <w:r>
        <w:pict>
          <v:rect id="_x0000_i1028" style="width:0;height:1.5pt" o:hralign="center" o:hrstd="t" o:hr="t"/>
        </w:pict>
      </w:r>
    </w:p>
    <w:p w:rsidR="00CE4CC2" w:rsidRDefault="003A06E5">
      <w:pPr>
        <w:pStyle w:val="Titre1"/>
      </w:pPr>
      <w:bookmarkStart w:id="14" w:name="présentation-générale-du-projet"/>
      <w:bookmarkStart w:id="15" w:name="_Toc232734022"/>
      <w:bookmarkEnd w:id="12"/>
      <w:r>
        <w:t>5. Présentation générale du projet</w:t>
      </w:r>
      <w:bookmarkEnd w:id="15"/>
    </w:p>
    <w:p w:rsidR="00CE4CC2" w:rsidRDefault="003A06E5">
      <w:pPr>
        <w:pStyle w:val="Titre2"/>
      </w:pPr>
      <w:bookmarkStart w:id="16" w:name="vision-et-positionnement"/>
      <w:bookmarkStart w:id="17" w:name="_Toc232734023"/>
      <w:r>
        <w:t>5.1 Vision et positionnement</w:t>
      </w:r>
      <w:bookmarkEnd w:id="17"/>
    </w:p>
    <w:p w:rsidR="00CE4CC2" w:rsidRDefault="003A06E5">
      <w:pPr>
        <w:pStyle w:val="FirstParagraph"/>
      </w:pPr>
      <w:r>
        <w:t xml:space="preserve">LivrApp est une </w:t>
      </w:r>
      <w:r>
        <w:rPr>
          <w:b/>
          <w:bCs/>
        </w:rPr>
        <w:t>plateforme de livraison on-demand opérée comme un opérateur logistique structuré</w:t>
      </w:r>
      <w:r>
        <w:t xml:space="preserve"> à Yaoundé. Elle met en relation des clients (particuliers et entreprises), des </w:t>
      </w:r>
      <w:r>
        <w:rPr>
          <w:b/>
          <w:bCs/>
        </w:rPr>
        <w:t>livreurs</w:t>
      </w:r>
      <w:r>
        <w:t xml:space="preserve">, et des </w:t>
      </w:r>
      <w:r>
        <w:rPr>
          <w:b/>
          <w:bCs/>
        </w:rPr>
        <w:t>points partenaires</w:t>
      </w:r>
      <w:r>
        <w:t xml:space="preserve"> de retrait, avec une couche d’</w:t>
      </w:r>
      <w:r>
        <w:rPr>
          <w:b/>
          <w:bCs/>
        </w:rPr>
        <w:t>optimisation par IA</w:t>
      </w:r>
      <w:r>
        <w:t xml:space="preserve"> (attribution, tournées, ETA) et une conception </w:t>
      </w:r>
      <w:r>
        <w:rPr>
          <w:b/>
          <w:bCs/>
        </w:rPr>
        <w:t>résiliente aux coupures réseau et électriques</w:t>
      </w:r>
      <w:r>
        <w:t>.</w:t>
      </w:r>
    </w:p>
    <w:p w:rsidR="00CE4CC2" w:rsidRDefault="003A06E5">
      <w:pPr>
        <w:pStyle w:val="Titre2"/>
      </w:pPr>
      <w:bookmarkStart w:id="18" w:name="acteurs-et-rôles"/>
      <w:bookmarkStart w:id="19" w:name="_Toc232734024"/>
      <w:bookmarkEnd w:id="16"/>
      <w:r>
        <w:t>5.2 Acteurs et rôles</w:t>
      </w:r>
      <w:bookmarkEnd w:id="1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2"/>
        <w:gridCol w:w="4837"/>
        <w:gridCol w:w="2243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Acteur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Mode d’accès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 particulier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Commande, suit, paie, évalue.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App mobile Flutter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 entreprise (B2B)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Compte RCCM, sous-comptes employés, ramassage, facturation consolidée.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App mobile + portail web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Livreur</w:t>
            </w:r>
          </w:p>
        </w:tc>
        <w:tc>
          <w:tcPr>
            <w:tcW w:w="0" w:type="auto"/>
          </w:tcPr>
          <w:p w:rsidR="00CE4CC2" w:rsidRDefault="003A06E5" w:rsidP="003A06E5">
            <w:pPr>
              <w:pStyle w:val="Compact"/>
            </w:pPr>
            <w:r>
              <w:t>Coursier employé (contrat) ; reçoit et exécute les tournées.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App mobile Flutter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Receveur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Destinataire ; avec ou sans application.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Push / SMS + PWA de suivi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Partenaire (point de retrait)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Commerce hébergeant des colis ; scan QR + vérification d’identité.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PWA simplifiée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Co-admin (×2)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Exploitation : support, litiges, KYC, partenaires, B2B.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Dashboard web Next.js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Super admin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Porteur de projet : finances, modèle économique, paramétrage IA, sécurité.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Dashboard web réservé</w:t>
            </w:r>
          </w:p>
        </w:tc>
      </w:tr>
    </w:tbl>
    <w:p w:rsidR="00CE4CC2" w:rsidRDefault="003A06E5">
      <w:pPr>
        <w:pStyle w:val="Titre2"/>
      </w:pPr>
      <w:bookmarkStart w:id="20" w:name="types-dopérations"/>
      <w:bookmarkStart w:id="21" w:name="_Toc232734025"/>
      <w:bookmarkEnd w:id="18"/>
      <w:r>
        <w:t>5.3 Types d’opérations</w:t>
      </w:r>
      <w:bookmarkEnd w:id="2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50"/>
        <w:gridCol w:w="4278"/>
        <w:gridCol w:w="3304"/>
        <w:gridCol w:w="1310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Opération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Tarif de base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Comptes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Livraison standard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500 + 150/km + 100/kg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Livraison urgente (&lt; 1 h, dispatch prioritaire)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+ 1000 XAF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Livraison programmée (J+1 → J+7)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− 200 XAF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Commande inversée (récup. chez un tiers, 3 sous-cas)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Standard sur distance totale des tronçons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Expédition inter-villes (collecte + dépôt agence + notif)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+ 500 XAF fixe + frais d’expédition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Dépôt point partenaire (retrait ≤ 72 h)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Tous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Ramassage hebdomadaire (lot CSV/Excel, tournées IA)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− 15 %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Entreprise</w:t>
            </w:r>
          </w:p>
        </w:tc>
      </w:tr>
    </w:tbl>
    <w:p w:rsidR="00CE4CC2" w:rsidRDefault="003A06E5">
      <w:pPr>
        <w:pStyle w:val="Titre2"/>
      </w:pPr>
      <w:bookmarkStart w:id="22" w:name="périmètre-mvp-phase-1-décision"/>
      <w:bookmarkStart w:id="23" w:name="_Toc232734026"/>
      <w:bookmarkEnd w:id="20"/>
      <w:r>
        <w:t xml:space="preserve">5.4 Périmètre MVP (Phase 1) — </w:t>
      </w:r>
      <w:r>
        <w:rPr>
          <w:i/>
          <w:iCs/>
        </w:rPr>
        <w:t>[Décision]</w:t>
      </w:r>
      <w:bookmarkEnd w:id="23"/>
    </w:p>
    <w:p w:rsidR="00CE4CC2" w:rsidRDefault="003A06E5">
      <w:pPr>
        <w:pStyle w:val="FirstParagraph"/>
      </w:pPr>
      <w:r>
        <w:rPr>
          <w:b/>
          <w:bCs/>
        </w:rPr>
        <w:t>Inclus :</w:t>
      </w:r>
      <w:r>
        <w:t xml:space="preserve"> les 7 opérations ci-dessus avec, pour l’expédition inter-villes, </w:t>
      </w:r>
      <w:r>
        <w:rPr>
          <w:b/>
          <w:bCs/>
        </w:rPr>
        <w:t>collecte + dépôt en agence de transport + notification du receveur uniquement</w:t>
      </w:r>
      <w:r>
        <w:t xml:space="preserve"> (la livraison locale en ville de destination est exclue du MVP) ; inscription/auth OTP + 2FA ; KYC livreurs ; attribution IA et tournées jusqu’à 3 stops ; suivi GPS conditionnel et ETA ; confirmation par </w:t>
      </w:r>
      <w:r>
        <w:rPr>
          <w:b/>
          <w:bCs/>
        </w:rPr>
        <w:t>jeton signé (PIN/QR) avec repli OTP-SMS</w:t>
      </w:r>
      <w:r>
        <w:t xml:space="preserve">, fonctionnant </w:t>
      </w:r>
      <w:r>
        <w:rPr>
          <w:b/>
          <w:bCs/>
        </w:rPr>
        <w:t>hors-ligne</w:t>
      </w:r>
      <w:r>
        <w:t xml:space="preserve"> ; paiements Mobile Money + espèces (frais de livraison) à triple traçabilité ; chat masqué ; notifications multicanaux ; points partenaires ; gestion du retrait 72 h ; historiques ; </w:t>
      </w:r>
      <w:r>
        <w:rPr>
          <w:b/>
          <w:bCs/>
        </w:rPr>
        <w:t>notation bidirectionnelle</w:t>
      </w:r>
      <w:r>
        <w:t xml:space="preserve"> ; dashboards co-admin et super admin ; litiges ; pénalités bloquantes ; rémunération (prime hebdomadaire) ; tarification dynamique ; B2B (sous-comptes, plafonds, facturation consolidée, paliers) ; </w:t>
      </w:r>
      <w:r>
        <w:rPr>
          <w:b/>
          <w:bCs/>
        </w:rPr>
        <w:t>carnet d’adresses</w:t>
      </w:r>
      <w:r>
        <w:t xml:space="preserve"> ; </w:t>
      </w:r>
      <w:r>
        <w:rPr>
          <w:b/>
          <w:bCs/>
        </w:rPr>
        <w:t>devis détaillé avant commande</w:t>
      </w:r>
      <w:r>
        <w:t xml:space="preserve"> ; </w:t>
      </w:r>
      <w:r>
        <w:rPr>
          <w:b/>
          <w:bCs/>
        </w:rPr>
        <w:t>reçu de livraison numérique</w:t>
      </w:r>
      <w:r>
        <w:t xml:space="preserve"> ; </w:t>
      </w:r>
      <w:r>
        <w:rPr>
          <w:b/>
          <w:bCs/>
        </w:rPr>
        <w:t>PWA de suivi receveur</w:t>
      </w:r>
      <w:r>
        <w:t xml:space="preserve"> ; </w:t>
      </w:r>
      <w:r>
        <w:rPr>
          <w:b/>
          <w:bCs/>
        </w:rPr>
        <w:t>pourboire optionnel</w:t>
      </w:r>
      <w:r>
        <w:t>.</w:t>
      </w:r>
    </w:p>
    <w:p w:rsidR="00CE4CC2" w:rsidRDefault="003A06E5">
      <w:pPr>
        <w:pStyle w:val="Corpsdetexte"/>
      </w:pPr>
      <w:r>
        <w:rPr>
          <w:b/>
          <w:bCs/>
        </w:rPr>
        <w:t>Exclus du MVP (roadmap §19) :</w:t>
      </w:r>
      <w:r>
        <w:t xml:space="preserve"> encaissement de la valeur marchande pour compte de tiers (vrai COD e-commerce) ; livraison inter-villes jusqu’au receveur en ville de destination ; programme de fidélité ; mutualisation « livraison de quartier » ; assurance colis ; mode USSD ; haute disponibilité multi-instances ; expansion multi-villes.</w:t>
      </w:r>
    </w:p>
    <w:p w:rsidR="00CE4CC2" w:rsidRDefault="003A06E5">
      <w:r>
        <w:pict>
          <v:rect id="_x0000_i1029" style="width:0;height:1.5pt" o:hralign="center" o:hrstd="t" o:hr="t"/>
        </w:pic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4333046" cy="7680960"/>
            <wp:effectExtent l="0" t="0" r="0" b="0"/>
            <wp:docPr id="1001" name="cct_usecas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cct_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046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1 — Diagramme de cas d’utilisation de la plateforme LivrApp</w:t>
      </w:r>
    </w:p>
    <w:p w:rsidR="00CE4CC2" w:rsidRDefault="003A06E5">
      <w:pPr>
        <w:pStyle w:val="Titre1"/>
      </w:pPr>
      <w:bookmarkStart w:id="24" w:name="contexte"/>
      <w:bookmarkStart w:id="25" w:name="_Toc232734027"/>
      <w:bookmarkEnd w:id="14"/>
      <w:bookmarkEnd w:id="22"/>
      <w:r>
        <w:t>6. Contexte</w:t>
      </w:r>
      <w:bookmarkEnd w:id="25"/>
    </w:p>
    <w:p w:rsidR="00CE4CC2" w:rsidRDefault="003A06E5">
      <w:pPr>
        <w:pStyle w:val="Titre2"/>
      </w:pPr>
      <w:bookmarkStart w:id="26" w:name="contexte-opérationnel-camerounais"/>
      <w:bookmarkStart w:id="27" w:name="_Toc232734028"/>
      <w:r>
        <w:t>6.1 Contexte opérationnel camerounais</w:t>
      </w:r>
      <w:bookmarkEnd w:id="27"/>
    </w:p>
    <w:p w:rsidR="00CE4CC2" w:rsidRDefault="003A06E5">
      <w:pPr>
        <w:pStyle w:val="FirstParagraph"/>
      </w:pPr>
      <w:r>
        <w:t xml:space="preserve">Forte pénétration du Mobile Money (Orange Money, MTN MoMo) ; connectivité variable et coupures fréquentes (réseau, ENEO) ; </w:t>
      </w:r>
      <w:r>
        <w:rPr>
          <w:b/>
          <w:bCs/>
        </w:rPr>
        <w:t>absence d’adressage normalisé</w:t>
      </w:r>
      <w:r>
        <w:t xml:space="preserve"> imposant un système de repères ; usage massif de WhatsApp pour le commerce informel ; dynamisme des PME et boutiques en ligne. Ces réalités justifient les choix structurants : </w:t>
      </w:r>
      <w:r>
        <w:rPr>
          <w:b/>
          <w:bCs/>
        </w:rPr>
        <w:t>offline-first</w:t>
      </w:r>
      <w:r>
        <w:t>, repères obligatoires, carnet d’adresses, multicanal de notification, et repli espèces sur les paiements.</w:t>
      </w:r>
    </w:p>
    <w:p w:rsidR="00CE4CC2" w:rsidRDefault="003A06E5">
      <w:pPr>
        <w:pStyle w:val="Titre2"/>
      </w:pPr>
      <w:bookmarkStart w:id="28" w:name="contexte-académique"/>
      <w:bookmarkStart w:id="29" w:name="_Toc232734029"/>
      <w:bookmarkEnd w:id="26"/>
      <w:r>
        <w:lastRenderedPageBreak/>
        <w:t>6.2 Contexte académique</w:t>
      </w:r>
      <w:bookmarkEnd w:id="29"/>
    </w:p>
    <w:p w:rsidR="00CE4CC2" w:rsidRDefault="003A06E5">
      <w:pPr>
        <w:pStyle w:val="FirstParagraph"/>
      </w:pPr>
      <w:r>
        <w:t>Projet de fin de formation ISI à l’Institut Universitaire Saint Jean (Yaoundé), conformément à la Note de Service N° 2025-003/ISJ/DA/ISI.</w:t>
      </w:r>
    </w:p>
    <w:p w:rsidR="00CE4CC2" w:rsidRDefault="003A06E5">
      <w:pPr>
        <w:pStyle w:val="Titre2"/>
      </w:pPr>
      <w:bookmarkStart w:id="30" w:name="X73e681eae7291257ff893036b2196629c8ebdd2"/>
      <w:bookmarkStart w:id="31" w:name="_Toc232734030"/>
      <w:bookmarkEnd w:id="28"/>
      <w:r>
        <w:t xml:space="preserve">6.3 Hypothèses et contraintes de dimensionnement — </w:t>
      </w:r>
      <w:r>
        <w:rPr>
          <w:i/>
          <w:iCs/>
        </w:rPr>
        <w:t>[Décision]</w:t>
      </w:r>
      <w:bookmarkEnd w:id="31"/>
    </w:p>
    <w:p w:rsidR="00CE4CC2" w:rsidRDefault="003A06E5">
      <w:pPr>
        <w:pStyle w:val="FirstParagraph"/>
      </w:pPr>
      <w:r>
        <w:t xml:space="preserve">Les budgets et niveaux de service du présent CCT reposent sur une </w:t>
      </w:r>
      <w:r>
        <w:rPr>
          <w:b/>
          <w:bCs/>
        </w:rPr>
        <w:t>hypothèse de volume MVP de 50 à 150 livraisons/jour</w:t>
      </w:r>
      <w:r>
        <w:t xml:space="preserve"> sur Yaoundé. Cette hypothèse est explicite afin de rendre les coûts variables (cartographie, SMS, Mobile Money) traçables et révisables. Le plan d’affaires (livrable distinct) affinera les volumes ; les paramètres économiques du système sont </w:t>
      </w:r>
      <w:r>
        <w:rPr>
          <w:b/>
          <w:bCs/>
        </w:rPr>
        <w:t>configurables par le super admin</w:t>
      </w:r>
      <w:r>
        <w:t xml:space="preserve"> pour absorber ces révisions sans modification de code.</w:t>
      </w:r>
    </w:p>
    <w:p w:rsidR="00CE4CC2" w:rsidRDefault="003A06E5">
      <w:r>
        <w:pict>
          <v:rect id="_x0000_i1030" style="width:0;height:1.5pt" o:hralign="center" o:hrstd="t" o:hr="t"/>
        </w:pict>
      </w:r>
    </w:p>
    <w:p w:rsidR="00CE4CC2" w:rsidRDefault="003A06E5">
      <w:pPr>
        <w:pStyle w:val="Titre1"/>
      </w:pPr>
      <w:bookmarkStart w:id="32" w:name="exigences-fonctionnelles"/>
      <w:bookmarkStart w:id="33" w:name="_Toc232734031"/>
      <w:bookmarkEnd w:id="24"/>
      <w:bookmarkEnd w:id="30"/>
      <w:r>
        <w:t>7. Exigences fonctionnelles</w:t>
      </w:r>
      <w:bookmarkEnd w:id="33"/>
    </w:p>
    <w:p w:rsidR="00CE4CC2" w:rsidRDefault="003A06E5">
      <w:pPr>
        <w:pStyle w:val="FirstParagraph"/>
      </w:pPr>
      <w:r>
        <w:t xml:space="preserve">Priorités : </w:t>
      </w:r>
      <w:r>
        <w:rPr>
          <w:b/>
          <w:bCs/>
        </w:rPr>
        <w:t>M</w:t>
      </w:r>
      <w:r>
        <w:t xml:space="preserve"> (Must, MVP) · </w:t>
      </w:r>
      <w:r>
        <w:rPr>
          <w:b/>
          <w:bCs/>
        </w:rPr>
        <w:t>S</w:t>
      </w:r>
      <w:r>
        <w:t xml:space="preserve"> (Should) · </w:t>
      </w:r>
      <w:r>
        <w:rPr>
          <w:b/>
          <w:bCs/>
        </w:rPr>
        <w:t>C</w:t>
      </w:r>
      <w:r>
        <w:t xml:space="preserve"> (Could / roadmap). Sauf mention, toutes les exigences ci-dessous sont </w:t>
      </w:r>
      <w:r>
        <w:rPr>
          <w:b/>
          <w:bCs/>
        </w:rPr>
        <w:t>M</w:t>
      </w:r>
      <w:r>
        <w:t>.</w:t>
      </w:r>
    </w:p>
    <w:p w:rsidR="00CE4CC2" w:rsidRDefault="003A06E5">
      <w:pPr>
        <w:pStyle w:val="Titre2"/>
      </w:pPr>
      <w:bookmarkStart w:id="34" w:name="comptes-identité-et-sécurité-daccès"/>
      <w:bookmarkStart w:id="35" w:name="_Toc232734032"/>
      <w:r>
        <w:t>7.1 Comptes, identité et sécurité d’accès</w:t>
      </w:r>
      <w:bookmarkEnd w:id="3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232"/>
        <w:gridCol w:w="6220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Inscription &amp; authentification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Inscription et connexion par OTP ou mot de passe ; gestion de session par JWT ; 2FA obligatoire pour les rôles administrateurs. Valable pour tous les rôles.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des profils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Consultation, modification, suppression (soft delete + anonymisation) des profils.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Vérification KYC livreurs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Téléversement pièce d’identité (scan antivirus) + signature électronique du contrat de travail + validation manuelle par Co-admin avant activation.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Carnet d’adresses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Enregistrement de lieux (libellé, repères obligatoires, pin GPS, photo facultative du bâtiment) réutilisables à la commande.</w:t>
            </w:r>
          </w:p>
        </w:tc>
      </w:tr>
    </w:tbl>
    <w:p w:rsidR="00CE4CC2" w:rsidRDefault="003A06E5">
      <w:pPr>
        <w:pStyle w:val="Titre2"/>
      </w:pPr>
      <w:bookmarkStart w:id="36" w:name="commande-et-opérations-de-livraison"/>
      <w:bookmarkStart w:id="37" w:name="_Toc232734033"/>
      <w:bookmarkEnd w:id="34"/>
      <w:r>
        <w:t>7.2 Commande et opérations de livraison</w:t>
      </w:r>
      <w:bookmarkEnd w:id="3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069"/>
        <w:gridCol w:w="6383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Devis instantané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Affichage de la décomposition complète du prix (base, distance, poids, suppléments, réductions, plancher) </w:t>
            </w:r>
            <w:r>
              <w:rPr>
                <w:b/>
                <w:bCs/>
              </w:rPr>
              <w:t>avant</w:t>
            </w:r>
            <w:r>
              <w:t xml:space="preserve"> confirmation, avec choix du mode de paiement.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Livraison standard et urgente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Commande avec adresses + repères obligatoires, description du colis, infos receveur, choix Standard ou Urgente (+1000 XAF, dispatch prioritaire, cible &lt; 1 h).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Livraison programmée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Choix date (J+1 → J+7) et créneau (matin 8h-12h, après-midi 12h-17h, soir 17h-20h). Attribution à J0 − 1 h. Réduction −200 XAF. Annulation gratuite si &gt; 2 h avant le créneau, sinon 500 XAF. Replanification self-service dans les bornes J+1→J+7.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BF08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Commande inversée (3 sous-cas)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(A) chez un particulier : validation par jeton/OTP du tiers ; (B) chez un commerce : photo du reçu ; (C) avec dépôt en hub partenaire. Photo du colis obligatoire à la prise en charge.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BF09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Expédition inter-villes (MVP)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Collecte, dépôt en agence de transport, photo du reçu obligatoire, SMS au receveur avec ETA. La jambe destination est hors MVP (roadmap).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Dépôt point partenaire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Dépôt chez un commerce partenaire (scan QR entrée), retrait sous 72 h (scan QR sortie + vérification d’identité). Commission 150 XAF/colis.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Ramassage hebdomadaire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Structure configure jour et heure fixes ; téléverse un fichier CSV/Excel (validation automatique + antivirus) ; lot verrouillé à minuit la veille ; job IA à 02h ; pickup unique chez la structure ; lot confirmé en retard reporté à la semaine suivante avec option de bascule manuelle en commandes individuelles.</w:t>
            </w:r>
          </w:p>
        </w:tc>
      </w:tr>
    </w:tbl>
    <w:p w:rsidR="00CE4CC2" w:rsidRDefault="003A06E5">
      <w:pPr>
        <w:pStyle w:val="Titre2"/>
      </w:pPr>
      <w:bookmarkStart w:id="38" w:name="affectation-suivi-et-confirmation"/>
      <w:bookmarkStart w:id="39" w:name="_Toc232734034"/>
      <w:bookmarkEnd w:id="36"/>
      <w:r>
        <w:t>7.3 Affectation, suivi et confirmation</w:t>
      </w:r>
      <w:bookmarkEnd w:id="3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093"/>
        <w:gridCol w:w="635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Attribution IA multi-missions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OR-Tools / VRP ; tournées de 1 à 3 livraisons ; score composite (§9.2) ; programmée : J0 − 1 h ; ramassage : planification nocturne. Affichage ETA par stop + gain estimé avant acceptation.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Acceptation / refus de mission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Le livreur accepte ou refuse en 60 s ; cascade au candidat suivant en cas de refus ou de timeout. Le taux d’acceptation alimente le score.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Suivi GPS temps réel conditionnel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WebSocket ; GPS actif </w:t>
            </w:r>
            <w:r>
              <w:rPr>
                <w:b/>
                <w:bCs/>
              </w:rPr>
              <w:t>uniquement</w:t>
            </w:r>
            <w:r>
              <w:t xml:space="preserve"> lorsqu’une mission est assignée ; désactivation automatique à la clôture (vie privée). ETA en fourchette via le fournisseur cartographique (§12).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des statuts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Le cycle de vie d’une livraison suit la machine à états du §10, faisant foi.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Confirmation de livraison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rPr>
                <w:b/>
                <w:bCs/>
              </w:rPr>
              <w:t>Jeton de livraison signé (PIN + QR)</w:t>
            </w:r>
            <w:r>
              <w:t xml:space="preserve"> présenté par le receveur et vérifié </w:t>
            </w:r>
            <w:r>
              <w:rPr>
                <w:b/>
                <w:bCs/>
              </w:rPr>
              <w:t>localement</w:t>
            </w:r>
            <w:r>
              <w:t xml:space="preserve"> (compatible hors-ligne) + photo obligatoire. Repli : OTP-SMS lorsque le receveur n’a pas l’app et que la connectivité est disponible. Détection automatique </w:t>
            </w:r>
            <w:r>
              <w:rPr>
                <w:rStyle w:val="VerbatimChar"/>
              </w:rPr>
              <w:t>hasApp</w:t>
            </w:r>
            <w:r>
              <w:t>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Réassignation automatique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GPS inactif &gt; 15 min (après alerte à 5 min) → réassignation IA + pénalité de score (§9.3).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BF18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 la tentative échouée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Receveur absent → statut </w:t>
            </w:r>
            <w:r>
              <w:rPr>
                <w:rStyle w:val="VerbatimChar"/>
              </w:rPr>
              <w:t>TENTATIVE_ECHOUEE</w:t>
            </w:r>
            <w:r>
              <w:t xml:space="preserve"> ; le commanditaire est notifié et choisit : nouvelle tentative (frais de re-dépôt 500 XAF), dépôt partenaire, ou retour. Maximum 2 tentatives avant retour/abandon.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BF19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du retrait 72 h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Relances SMS J+1, J+2, J+3 ; prolongation payante 200 XAF/jour (max 2 jours) ; à expiration : retour au client ou abandon avec photo de preuve archivée.</w:t>
            </w:r>
          </w:p>
        </w:tc>
      </w:tr>
    </w:tbl>
    <w:p w:rsidR="00CE4CC2" w:rsidRDefault="003A06E5">
      <w:pPr>
        <w:pStyle w:val="Titre2"/>
      </w:pPr>
      <w:bookmarkStart w:id="40" w:name="paiement-et-facturation"/>
      <w:bookmarkStart w:id="41" w:name="_Toc232734035"/>
      <w:bookmarkEnd w:id="38"/>
      <w:r>
        <w:lastRenderedPageBreak/>
        <w:t>7.4 Paiement et facturation</w:t>
      </w:r>
      <w:bookmarkEnd w:id="4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046"/>
        <w:gridCol w:w="6406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Paiement Mobile Money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Orange Money + MTN MoMo ; repli automatique vers espèces si l’API est indisponible (retry toutes les 5 min).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Paiement espèces à triple traçabilité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Mode A (prépaiement au pickup, client remet) et Mode B (COD = frais de livraison réglés par le receveur). Photo des billets + montant déclaré + validation jeton/OTP. Blocage si discordance de montant.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Pourboire optionnel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Pourboire facultatif au livreur (MoMo ou espèces) après livraison ; reversé intégralement au livreur.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Facturation B2B consolidée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Facture mensuelle groupée par entreprise ; échéance net 15 j (Business) / net 30 j (Premium) ; gestion d’impayé spécifique B2B (§11.4).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Tarification dynamique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Application de la formule canonique §9.1 (base, distance, poids, suppléments, réductions, plancher 1000 XAF, arrondi 50 XAF).</w:t>
            </w:r>
          </w:p>
        </w:tc>
      </w:tr>
    </w:tbl>
    <w:p w:rsidR="00CE4CC2" w:rsidRDefault="003A06E5">
      <w:pPr>
        <w:pStyle w:val="Titre2"/>
      </w:pPr>
      <w:bookmarkStart w:id="42" w:name="communication-évaluation-historique"/>
      <w:bookmarkStart w:id="43" w:name="_Toc232734036"/>
      <w:bookmarkEnd w:id="40"/>
      <w:r>
        <w:t>7.5 Communication, évaluation, historique</w:t>
      </w:r>
      <w:bookmarkEnd w:id="4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128"/>
        <w:gridCol w:w="6324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Chat contextualisé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Messagerie par livraison, numéros masqués, modération anti-harcèlement.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Notifications multicanaux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Priorité au push (FCM) et à l’in-app ; SMS pour receveurs sans app ; WhatsApp via templates approuvés (opt-in requis). Rappels automatiques (programmée J-1, retrait J+1/J+2/J+3).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Reçu de livraison numérique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À la livraison, le client reçoit un reçu (photo + horodatage + position + référence de confirmation) consultable et partageable.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BF28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Notation bidirectionnelle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Le client note le livreur (intégré au score IA) </w:t>
            </w:r>
            <w:r>
              <w:rPr>
                <w:b/>
                <w:bCs/>
              </w:rPr>
              <w:t>et</w:t>
            </w:r>
            <w:r>
              <w:t xml:space="preserve"> le livreur note l’adresse/le client (alimente un indicateur de risque côté commande).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BF29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Historique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Consultation filtrée pour clients, livreurs et structures (rapport de lot de ramassage inclus).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Receveur tiers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Détection automatique </w:t>
            </w:r>
            <w:r>
              <w:rPr>
                <w:rStyle w:val="VerbatimChar"/>
              </w:rPr>
              <w:t>hasApp</w:t>
            </w:r>
            <w:r>
              <w:t xml:space="preserve">. Si sans app : SMS + page </w:t>
            </w:r>
            <w:r>
              <w:rPr>
                <w:b/>
                <w:bCs/>
              </w:rPr>
              <w:t>PWA de suivi receveur</w:t>
            </w:r>
            <w:r>
              <w:t xml:space="preserve"> (ETA live, identité livreur, bouton appel) ; lien de partage de position envoyé à 500 m, précédé d’un écran de consentement minimal.</w:t>
            </w:r>
          </w:p>
        </w:tc>
      </w:tr>
    </w:tbl>
    <w:p w:rsidR="00CE4CC2" w:rsidRDefault="003A06E5">
      <w:pPr>
        <w:pStyle w:val="Titre2"/>
      </w:pPr>
      <w:bookmarkStart w:id="44" w:name="administration-et-pilotage"/>
      <w:bookmarkStart w:id="45" w:name="_Toc232734037"/>
      <w:bookmarkEnd w:id="42"/>
      <w:r>
        <w:t>7.6 Administration et pilotage</w:t>
      </w:r>
      <w:bookmarkEnd w:id="4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90"/>
        <w:gridCol w:w="2239"/>
        <w:gridCol w:w="6213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Exigence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Description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Dashboard opérationnel (co-admins)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KPIs, livraisons actives, livreurs, litiges, partenaires.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Dashboard super admin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Finances consolidées (revenus, charges, masse salariale, marge), modèle économique, journaux de sécurité, journaux de décision IA. Réservé.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BF33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des litiges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Accès aux preuves (photos, GPS, chat, journaux IA) ; déductions imputables ; SLA 48 h (Standard), 24 h (Business), 12 h (Premium).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Pénalités bloquantes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Enregistrement d’une dette ; </w:t>
            </w:r>
            <w:r>
              <w:rPr>
                <w:b/>
                <w:bCs/>
              </w:rPr>
              <w:t>toute nouvelle commande est bloquée</w:t>
            </w:r>
            <w:r>
              <w:t xml:space="preserve"> tant que la dette n’est pas réglée ; 3 incidents en 30 j → suspension 30 j (§9.3).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Paramétrage IA et tarifaire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Coefficients d’attribution, seuils GPS, paramètres de tarification, suppléments de zone, vitesses par zone. Super admin uniquement.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des promotions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Codes promo, campagnes, plafonds configurables, parrainage.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des co-admins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 co-admins, droits opérationnels complets, restrictions explicites (finances, modèle économique, création d’admins, logs sécurité).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BF38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Rémunération des livreurs</w:t>
            </w:r>
          </w:p>
        </w:tc>
        <w:tc>
          <w:tcPr>
            <w:tcW w:w="0" w:type="auto"/>
          </w:tcPr>
          <w:p w:rsidR="00CE4CC2" w:rsidRDefault="007D152D" w:rsidP="007D152D">
            <w:pPr>
              <w:pStyle w:val="Compact"/>
            </w:pPr>
            <w:r>
              <w:t xml:space="preserve">80% sur chaque livraison + pourboirs (éventuel) + </w:t>
            </w:r>
            <w:r>
              <w:rPr>
                <w:b/>
                <w:bCs/>
              </w:rPr>
              <w:t xml:space="preserve">prime de performance </w:t>
            </w:r>
            <w:r>
              <w:t>(éventuel) par MoMo (§11.2).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BF39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Notifications super admin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Rapports financiers quotidiens/hebdomadaires par e-mail ; alertes critiques système.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BF40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Journalisation d’audit et IA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Journaux d’audit immuables des actions sensibles </w:t>
            </w:r>
            <w:r>
              <w:rPr>
                <w:b/>
                <w:bCs/>
              </w:rPr>
              <w:t>et</w:t>
            </w:r>
            <w:r>
              <w:t xml:space="preserve"> journalisation des entrées/sorties des décisions de l’Agent IA (attribution, prix) pour audit et arbitrage des litiges.</w:t>
            </w:r>
          </w:p>
        </w:tc>
      </w:tr>
    </w:tbl>
    <w:p w:rsidR="00CE4CC2" w:rsidRDefault="003A06E5">
      <w:r>
        <w:pict>
          <v:rect id="_x0000_i1031" style="width:0;height:1.5pt" o:hralign="center" o:hrstd="t" o:hr="t"/>
        </w:pict>
      </w:r>
    </w:p>
    <w:p w:rsidR="00CE4CC2" w:rsidRDefault="003A06E5">
      <w:pPr>
        <w:pStyle w:val="Titre1"/>
      </w:pPr>
      <w:bookmarkStart w:id="46" w:name="exigences-non-fonctionnelles"/>
      <w:bookmarkStart w:id="47" w:name="_Toc232734038"/>
      <w:bookmarkEnd w:id="32"/>
      <w:bookmarkEnd w:id="44"/>
      <w:r>
        <w:t>8. Exigences non fonctionnelles</w:t>
      </w:r>
      <w:bookmarkEnd w:id="4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3"/>
        <w:gridCol w:w="2000"/>
        <w:gridCol w:w="627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Réf.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Besoin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Critère mesurable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Temps de réponse API &lt; 2 s (P95) ; mise à jour GPS &lt; 5 s ; décision d’attribution IA &lt; 2 s (avec cache des matrices de distance).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Disponibilité (MVP)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rPr>
                <w:b/>
                <w:bCs/>
              </w:rPr>
              <w:t>≥ 99,0 %</w:t>
            </w:r>
            <w:r>
              <w:t xml:space="preserve"> en Phase 1 sur infrastructure mono-VPS (objectif </w:t>
            </w:r>
            <w:r>
              <w:rPr>
                <w:b/>
                <w:bCs/>
              </w:rPr>
              <w:t>99,5 %</w:t>
            </w:r>
            <w:r>
              <w:t xml:space="preserve"> atteint en Phase 2 après mise en haute disponibilité, §12.4). RTO &lt; 4 h, RPO &lt; 24 h.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BNF03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Sécurité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TLS 1.3 en transit, AES-256 au repos, OTP/2FA, jetons signés, journaux d’audit immuables, SQLCipher, certificate pinning, détection root/jailbreak, antivirus ClamAV.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BNF04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Offline-first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Cache local chiffré : missions en cours + profil + 10 dernières livraisons + </w:t>
            </w:r>
            <w:r>
              <w:rPr>
                <w:b/>
                <w:bCs/>
              </w:rPr>
              <w:t>jetons de confirmation signés</w:t>
            </w:r>
            <w:r>
              <w:t xml:space="preserve"> ; synchronisation différée avec résolution de conflits (§10.4).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BNF05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Évolutivité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Architecture modulaire prête au découpage en services ; scalabilité </w:t>
            </w:r>
            <w:r>
              <w:rPr>
                <w:b/>
                <w:bCs/>
              </w:rPr>
              <w:t>verticale</w:t>
            </w:r>
            <w:r>
              <w:t xml:space="preserve"> en Phase 1, </w:t>
            </w:r>
            <w:r>
              <w:rPr>
                <w:b/>
                <w:bCs/>
              </w:rPr>
              <w:t>horizontale</w:t>
            </w:r>
            <w:r>
              <w:t xml:space="preserve"> en Phase 2 (§12.4).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BNF06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Maintenabilité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Couverture de tests ≥ 70 % ; documentation OpenAPI </w:t>
              <w:lastRenderedPageBreak/>
              <w:t>3.0 générée automatiquement.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BNF07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Interopérabilité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API REST versionnée </w:t>
            </w:r>
            <w:r>
              <w:rPr>
                <w:rStyle w:val="VerbatimChar"/>
              </w:rPr>
              <w:t>/api/v1/</w:t>
            </w:r>
            <w:r>
              <w:t xml:space="preserve"> ; conception ouverte aux intégrations futures.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BNF08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Conformité légale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Lois N°2010/012 et N°2010/021, Code du travail, </w:t>
            </w:r>
            <w:r>
              <w:rPr>
                <w:b/>
                <w:bCs/>
              </w:rPr>
              <w:t>OHADA</w:t>
            </w:r>
            <w:r>
              <w:t xml:space="preserve"> (comptabilité), BEAC/COBAC ; consentement explicite.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BNF09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Gestion du temps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Horodatages </w:t>
            </w:r>
            <w:r>
              <w:rPr>
                <w:b/>
                <w:bCs/>
              </w:rPr>
              <w:t>UTC</w:t>
            </w:r>
            <w:r>
              <w:t xml:space="preserve"> en base ; conversion en heure locale (UTC+1) côté frontend.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BNF10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Résilience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Repli espèces si Mobile Money indisponible ; </w:t>
            </w:r>
            <w:r>
              <w:rPr>
                <w:b/>
                <w:bCs/>
              </w:rPr>
              <w:t>fournisseur cartographique de secours</w:t>
            </w:r>
            <w:r>
              <w:t xml:space="preserve"> (§12) ; confirmation hors-ligne par jeton signé.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BNF11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Vie privée livreur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GPS collecté uniquement pendant une mission ; aucun suivi entre missions.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BNF12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Accessibilité &amp; langue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Interface </w:t>
            </w:r>
            <w:r>
              <w:rPr>
                <w:b/>
                <w:bCs/>
              </w:rPr>
              <w:t>bilingue FR/EN</w:t>
            </w:r>
            <w:r>
              <w:t xml:space="preserve"> ; libellés clairs et iconographie pour publics peu lettrés.</w:t>
            </w:r>
          </w:p>
        </w:tc>
      </w:tr>
    </w:tbl>
    <w:p w:rsidR="00CE4CC2" w:rsidRDefault="003A06E5">
      <w:r>
        <w:pict>
          <v:rect id="_x0000_i1032" style="width:0;height:1.5pt" o:hralign="center" o:hrstd="t" o:hr="t"/>
        </w:pict>
      </w:r>
    </w:p>
    <w:p w:rsidR="00CE4CC2" w:rsidRDefault="003A06E5">
      <w:pPr>
        <w:pStyle w:val="Titre1"/>
      </w:pPr>
      <w:bookmarkStart w:id="48" w:name="règles-de-gestion-formalisées"/>
      <w:bookmarkStart w:id="49" w:name="_Toc232734039"/>
      <w:bookmarkEnd w:id="46"/>
      <w:r>
        <w:t>9. Règles de gestion (formalisées)</w:t>
      </w:r>
      <w:bookmarkEnd w:id="49"/>
    </w:p>
    <w:p w:rsidR="00CE4CC2" w:rsidRDefault="003A06E5">
      <w:pPr>
        <w:pStyle w:val="Titre2"/>
      </w:pPr>
      <w:bookmarkStart w:id="50" w:name="tarification-formule-canonique-décision"/>
      <w:bookmarkStart w:id="51" w:name="_Toc232734040"/>
      <w:r>
        <w:t xml:space="preserve">9.1 Tarification — formule canonique </w:t>
      </w:r>
      <w:r>
        <w:rPr>
          <w:i/>
          <w:iCs/>
        </w:rPr>
        <w:t>[Décision]</w:t>
      </w:r>
      <w:bookmarkEnd w:id="51"/>
    </w:p>
    <w:p w:rsidR="00CE4CC2" w:rsidRDefault="003A06E5">
      <w:pPr>
        <w:pStyle w:val="FirstParagraph"/>
      </w:pPr>
      <w:r>
        <w:t xml:space="preserve">L’ordre d’application est </w:t>
      </w:r>
      <w:r>
        <w:rPr>
          <w:b/>
          <w:bCs/>
        </w:rPr>
        <w:t>strict et non commutatif</w:t>
      </w:r>
      <w:r>
        <w:t xml:space="preserve"> :</w:t>
      </w:r>
    </w:p>
    <w:p w:rsidR="00CE4CC2" w:rsidRDefault="003A06E5">
      <w:pPr>
        <w:pStyle w:val="Compact"/>
        <w:numPr>
          <w:ilvl w:val="0"/>
          <w:numId w:val="2"/>
        </w:numPr>
      </w:pPr>
      <w:r>
        <w:rPr>
          <w:b/>
          <w:bCs/>
        </w:rPr>
        <w:t>Prix brut</w:t>
      </w:r>
      <w:r>
        <w:t xml:space="preserve"> = </w:t>
      </w:r>
      <w:r>
        <w:rPr>
          <w:rStyle w:val="VerbatimChar"/>
        </w:rPr>
        <w:t>Base + (Prix_km × distance_km) + (Prix_kg × poids_kg) + Supplément_urgence + Supplément_zone</w:t>
      </w:r>
    </w:p>
    <w:p w:rsidR="00CE4CC2" w:rsidRDefault="003A06E5">
      <w:pPr>
        <w:pStyle w:val="Compact"/>
        <w:numPr>
          <w:ilvl w:val="1"/>
          <w:numId w:val="3"/>
        </w:numPr>
      </w:pPr>
      <w:r>
        <w:t>Base = 500 ; Prix_km = 150 ; Prix_kg = 100 ; Supplément_urgence = 1000 (si urgente).</w:t>
      </w:r>
    </w:p>
    <w:p w:rsidR="00CE4CC2" w:rsidRDefault="003A06E5">
      <w:pPr>
        <w:pStyle w:val="Compact"/>
        <w:numPr>
          <w:ilvl w:val="1"/>
          <w:numId w:val="3"/>
        </w:numPr>
      </w:pPr>
      <w:r>
        <w:t xml:space="preserve">Suppléments de zone : Zone 1 (centre) = 0 ; Zone 2 (périphérie) = +200 ; Zone 3 (excentrée/difficile) = +500. </w:t>
      </w:r>
      <w:r>
        <w:rPr>
          <w:i/>
          <w:iCs/>
        </w:rPr>
        <w:t>(Paramétrable.)</w:t>
      </w:r>
    </w:p>
    <w:p w:rsidR="00CE4CC2" w:rsidRDefault="003A06E5">
      <w:pPr>
        <w:pStyle w:val="Compact"/>
        <w:numPr>
          <w:ilvl w:val="0"/>
          <w:numId w:val="2"/>
        </w:numPr>
      </w:pPr>
      <w:r>
        <w:rPr>
          <w:b/>
          <w:bCs/>
        </w:rPr>
        <w:t>Réductions proportionnelles</w:t>
      </w:r>
      <w:r>
        <w:t xml:space="preserve"> (multiplicatives, non additives) : </w:t>
      </w:r>
      <w:r>
        <w:rPr>
          <w:rStyle w:val="VerbatimChar"/>
        </w:rPr>
        <w:t>× (1 − r_palier) × (1 − r_ramassage)</w:t>
      </w:r>
    </w:p>
    <w:p w:rsidR="00CE4CC2" w:rsidRDefault="003A06E5">
      <w:pPr>
        <w:pStyle w:val="Compact"/>
        <w:numPr>
          <w:ilvl w:val="1"/>
          <w:numId w:val="4"/>
        </w:numPr>
      </w:pPr>
      <w:r>
        <w:t>r_palier ∈ {0 ; 0,10 ; 0,20} ; r_ramassage = 0,15 si lot de ramassage.</w:t>
      </w:r>
    </w:p>
    <w:p w:rsidR="00CE4CC2" w:rsidRDefault="003A06E5">
      <w:pPr>
        <w:pStyle w:val="Compact"/>
        <w:numPr>
          <w:ilvl w:val="0"/>
          <w:numId w:val="2"/>
        </w:numPr>
      </w:pPr>
      <w:r>
        <w:rPr>
          <w:b/>
          <w:bCs/>
        </w:rPr>
        <w:t>Réduction fixe</w:t>
      </w:r>
      <w:r>
        <w:t xml:space="preserve"> : </w:t>
      </w:r>
      <w:r>
        <w:rPr>
          <w:rStyle w:val="VerbatimChar"/>
        </w:rPr>
        <w:t>− 200</w:t>
      </w:r>
      <w:r>
        <w:t xml:space="preserve"> si livraison programmée.</w:t>
      </w:r>
    </w:p>
    <w:p w:rsidR="00CE4CC2" w:rsidRDefault="003A06E5">
      <w:pPr>
        <w:pStyle w:val="Compact"/>
        <w:numPr>
          <w:ilvl w:val="0"/>
          <w:numId w:val="2"/>
        </w:numPr>
      </w:pPr>
      <w:r>
        <w:rPr>
          <w:b/>
          <w:bCs/>
        </w:rPr>
        <w:t>Plancher</w:t>
      </w:r>
      <w:r>
        <w:t xml:space="preserve"> : </w:t>
      </w:r>
      <w:r>
        <w:rPr>
          <w:rStyle w:val="VerbatimChar"/>
        </w:rPr>
        <w:t>Prix = max(Prix, 1000)</w:t>
      </w:r>
      <w:r>
        <w:t>.</w:t>
      </w:r>
    </w:p>
    <w:p w:rsidR="00CE4CC2" w:rsidRDefault="003A06E5">
      <w:pPr>
        <w:pStyle w:val="Compact"/>
        <w:numPr>
          <w:ilvl w:val="0"/>
          <w:numId w:val="2"/>
        </w:numPr>
      </w:pPr>
      <w:r>
        <w:rPr>
          <w:b/>
          <w:bCs/>
        </w:rPr>
        <w:t>Arrondi</w:t>
      </w:r>
      <w:r>
        <w:t xml:space="preserve"> : au multiple de 50 XAF supérieur.</w:t>
      </w:r>
    </w:p>
    <w:p w:rsidR="00CE4CC2" w:rsidRDefault="003A06E5">
      <w:pPr>
        <w:pStyle w:val="FirstParagraph"/>
      </w:pPr>
      <w:r>
        <w:rPr>
          <w:b/>
          <w:bCs/>
        </w:rPr>
        <w:t>Commande inversée</w:t>
      </w:r>
      <w:r>
        <w:t xml:space="preserve"> : la formule s’applique à la </w:t>
      </w:r>
      <w:r>
        <w:rPr>
          <w:b/>
          <w:bCs/>
        </w:rPr>
        <w:t>distance totale des deux tronçons</w:t>
      </w:r>
      <w:r>
        <w:t xml:space="preserve"> (collecteur → tiers → destination). </w:t>
      </w:r>
      <w:r>
        <w:rPr>
          <w:b/>
          <w:bCs/>
        </w:rPr>
        <w:t>Inter-villes</w:t>
      </w:r>
      <w:r>
        <w:t xml:space="preserve"> : prix standard du tronçon de collecte + </w:t>
      </w:r>
      <w:r>
        <w:rPr>
          <w:b/>
          <w:bCs/>
        </w:rPr>
        <w:t>500 XAF fixes</w:t>
      </w:r>
      <w:r>
        <w:t>.</w:t>
      </w:r>
    </w:p>
    <w:p w:rsidR="00CE4CC2" w:rsidRDefault="003A06E5">
      <w:pPr>
        <w:pStyle w:val="Titre2"/>
      </w:pPr>
      <w:bookmarkStart w:id="52" w:name="score-composite-dattribution-décision"/>
      <w:bookmarkStart w:id="53" w:name="_Toc232734041"/>
      <w:bookmarkEnd w:id="50"/>
      <w:r>
        <w:t xml:space="preserve">9.2 Score composite d’attribution </w:t>
      </w:r>
      <w:r>
        <w:rPr>
          <w:i/>
          <w:iCs/>
        </w:rPr>
        <w:t>[Décision]</w:t>
      </w:r>
      <w:bookmarkEnd w:id="53"/>
    </w:p>
    <w:p w:rsidR="00CE4CC2" w:rsidRDefault="003A06E5">
      <w:pPr>
        <w:pStyle w:val="FirstParagraph"/>
      </w:pPr>
      <w:r>
        <w:t>Indicateur 0–100, somme pondérée explicite (total 100 %)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8"/>
        <w:gridCol w:w="817"/>
        <w:gridCol w:w="5192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Composante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Poids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Détail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Proximité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35 %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Distance/temps au point de collecte (PostGIS).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Performance historique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25 %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Taux de réussite + ponctualité.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Disponibilité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20 %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Charge courante (inverse) + statut en ligne.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Taux d’acceptation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10 %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Acceptations / propositions.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Note client moyenne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10 %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Évaluations reçues (BF28).</w:t>
            </w:r>
          </w:p>
        </w:tc>
      </w:tr>
    </w:tbl>
    <w:p w:rsidR="00CE4CC2" w:rsidRDefault="003A06E5">
      <w:pPr>
        <w:pStyle w:val="Titre2"/>
      </w:pPr>
      <w:bookmarkStart w:id="54" w:name="pénalités-et-échelle-gps-décision"/>
      <w:bookmarkStart w:id="55" w:name="_Toc232734042"/>
      <w:bookmarkEnd w:id="52"/>
      <w:r>
        <w:t xml:space="preserve">9.3 Pénalités et échelle GPS </w:t>
      </w:r>
      <w:r>
        <w:rPr>
          <w:i/>
          <w:iCs/>
        </w:rPr>
        <w:t>[Décision]</w:t>
      </w:r>
      <w:bookmarkEnd w:id="55"/>
    </w:p>
    <w:p w:rsidR="00CE4CC2" w:rsidRDefault="003A06E5">
      <w:pPr>
        <w:pStyle w:val="FirstParagraph"/>
      </w:pPr>
      <w:r>
        <w:rPr>
          <w:b/>
          <w:bCs/>
        </w:rPr>
        <w:t>Toutes les pénalités client/receveur sont bloquantes</w:t>
      </w:r>
      <w:r>
        <w:t xml:space="preserve"> (BF34). Le </w:t>
      </w:r>
      <w:r>
        <w:rPr>
          <w:b/>
          <w:bCs/>
        </w:rPr>
        <w:t>chrono d’attente est déclenché automatiquement</w:t>
      </w:r>
      <w:r>
        <w:t xml:space="preserve"> à l’entrée du livreur dans la géo-clôture du point de livraison (horodatage serveur), et non manuellement.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26"/>
        <w:gridCol w:w="1831"/>
        <w:gridCol w:w="2566"/>
        <w:gridCol w:w="271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Acteur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Pénalité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Mécanisme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Annulation après assignation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500 XAF → livreur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Dette bloquante</w:t>
            </w:r>
          </w:p>
        </w:tc>
      </w:tr>
      <w:tr w:rsidR="00CE4CC2">
        <w:tc>
          <w:tcPr>
            <w:tcW w:w="0" w:type="auto"/>
          </w:tcPr>
          <w:p w:rsidR="00CE4CC2" w:rsidRDefault="00844BD9">
            <w:pPr>
              <w:pStyle w:val="Compact"/>
            </w:pPr>
            <w:r>
              <w:t>Attente &gt; 15 min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Client/receveur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100 XAF/min au-delà de 10 min (80 % livreur)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Chrono auto par géo-clôture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Receveur absent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Receveur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500 XAF + frais de re-dépôt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Notification + options (max 2 tentatives)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3 incidents en 30 j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CE4CC2" w:rsidRDefault="00844BD9">
            <w:pPr>
              <w:pStyle w:val="Compact"/>
            </w:pPr>
            <w:r>
              <w:t>Suspension 10 j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Réactivation après contact admin + dette soldée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Annulation programmée &lt; 2 h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500 XAF → livreur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Spécifique programmée</w:t>
            </w:r>
          </w:p>
        </w:tc>
      </w:tr>
    </w:tbl>
    <w:p w:rsidR="00CE4CC2" w:rsidRDefault="003A06E5">
      <w:pPr>
        <w:pStyle w:val="Corpsdetexte"/>
      </w:pPr>
      <w:r>
        <w:rPr>
          <w:b/>
          <w:bCs/>
        </w:rPr>
        <w:t>Échelle GPS (source unique de vérité) :</w:t>
      </w:r>
      <w:r>
        <w:t xml:space="preserve"> 5 min d’inactivité → alerte + </w:t>
      </w:r>
      <w:r>
        <w:rPr>
          <w:b/>
          <w:bCs/>
        </w:rPr>
        <w:t>−15 pts</w:t>
      </w:r>
      <w:r>
        <w:t xml:space="preserve"> ; 15 min → </w:t>
      </w:r>
      <w:r>
        <w:rPr>
          <w:b/>
          <w:bCs/>
        </w:rPr>
        <w:t>réassignation automatique</w:t>
      </w:r>
      <w:r>
        <w:t xml:space="preserve"> + </w:t>
      </w:r>
      <w:r>
        <w:rPr>
          <w:b/>
          <w:bCs/>
        </w:rPr>
        <w:t>−15 pts supplémentaires</w:t>
      </w:r>
      <w:r>
        <w:t xml:space="preserve"> (cumul </w:t>
      </w:r>
      <w:r>
        <w:rPr>
          <w:b/>
          <w:bCs/>
        </w:rPr>
        <w:t>−30 pts</w:t>
      </w:r>
      <w:r>
        <w:t xml:space="preserve"> pour l’incident). Abandon explicite de mission = </w:t>
      </w:r>
      <w:r>
        <w:rPr>
          <w:b/>
          <w:bCs/>
        </w:rPr>
        <w:t>−30 pts</w:t>
      </w:r>
      <w:r>
        <w:t xml:space="preserve"> + réassignation ; récidive → procédure RH. Les pénalités de score n’affectent pas le salaire de base mais réduisent la prime de performance et la priorité d’attribution.</w:t>
      </w:r>
    </w:p>
    <w:p w:rsidR="00CE4CC2" w:rsidRDefault="003A06E5">
      <w:pPr>
        <w:pStyle w:val="Titre2"/>
      </w:pPr>
      <w:bookmarkStart w:id="56" w:name="retrait-partenaire-7.3-bf10bf19"/>
      <w:bookmarkStart w:id="57" w:name="_Toc232734043"/>
      <w:bookmarkEnd w:id="54"/>
      <w:r>
        <w:t>9.4 Retrait partenaire (§7.3 BF10/BF19)</w:t>
      </w:r>
      <w:bookmarkEnd w:id="57"/>
    </w:p>
    <w:p w:rsidR="00CE4CC2" w:rsidRDefault="003A06E5">
      <w:pPr>
        <w:pStyle w:val="FirstParagraph"/>
      </w:pPr>
      <w:r>
        <w:t>Retrait gratuit sous 72 h ; prolongation 200 XAF/jour (max 2 j, revient à la plateforme) ; expiration → retour client ou abandon (photo de preuve).</w:t>
      </w:r>
    </w:p>
    <w:p w:rsidR="00CE4CC2" w:rsidRDefault="003A06E5">
      <w:pPr>
        <w:pStyle w:val="Titre2"/>
      </w:pPr>
      <w:bookmarkStart w:id="58" w:name="ramassage-hebdomadaire-7.2-bf11"/>
      <w:bookmarkStart w:id="59" w:name="_Toc232734044"/>
      <w:bookmarkEnd w:id="56"/>
      <w:r>
        <w:t>9.5 Ramassage hebdomadaire (§7.2 BF11)</w:t>
      </w:r>
      <w:bookmarkEnd w:id="59"/>
    </w:p>
    <w:p w:rsidR="00CE4CC2" w:rsidRDefault="003A06E5">
      <w:pPr>
        <w:pStyle w:val="FirstParagraph"/>
      </w:pPr>
      <w:r>
        <w:t xml:space="preserve">Réduction −15 % cumulable </w:t>
      </w:r>
      <w:r>
        <w:rPr>
          <w:b/>
          <w:bCs/>
        </w:rPr>
        <w:t>multiplicativement</w:t>
      </w:r>
      <w:r>
        <w:t xml:space="preserve"> avec le palier (ex. Premium −20 % puis −15 % ≈ −32 %) ; urgente dans le lot +500 XAF ; </w:t>
      </w:r>
      <w:r>
        <w:rPr>
          <w:b/>
          <w:bCs/>
        </w:rPr>
        <w:t>minimum 3</w:t>
      </w:r>
      <w:r>
        <w:t xml:space="preserve"> commandes (en deçà : traitées en livraisons programmées individuelles, </w:t>
      </w:r>
      <w:r>
        <w:rPr>
          <w:b/>
          <w:bCs/>
        </w:rPr>
        <w:t>perte du −15 %</w:t>
      </w:r>
      <w:r>
        <w:t xml:space="preserve">, palier conservé) ; </w:t>
      </w:r>
      <w:r>
        <w:rPr>
          <w:b/>
          <w:bCs/>
        </w:rPr>
        <w:t>maximum 50</w:t>
      </w:r>
      <w:r>
        <w:t xml:space="preserve"> sans validation manuelle ; frais de traitement fichier : gratuit Business/Premium, 500 XAF Standard.</w:t>
      </w:r>
    </w:p>
    <w:p w:rsidR="00CE4CC2" w:rsidRDefault="003A06E5">
      <w:r>
        <w:pict>
          <v:rect id="_x0000_i1033" style="width:0;height:1.5pt" o:hralign="center" o:hrstd="t" o:hr="t"/>
        </w:pict>
      </w:r>
    </w:p>
    <w:p w:rsidR="00CE4CC2" w:rsidRDefault="003A06E5">
      <w:pPr>
        <w:pStyle w:val="Titre1"/>
      </w:pPr>
      <w:bookmarkStart w:id="60" w:name="machine-à-états-des-livraisons-décision"/>
      <w:bookmarkStart w:id="61" w:name="_Toc232734045"/>
      <w:bookmarkEnd w:id="48"/>
      <w:bookmarkEnd w:id="58"/>
      <w:r>
        <w:lastRenderedPageBreak/>
        <w:t xml:space="preserve">10. Machine à états des livraisons </w:t>
      </w:r>
      <w:r>
        <w:rPr>
          <w:i/>
          <w:iCs/>
        </w:rPr>
        <w:t>[Décision]</w:t>
      </w:r>
      <w:bookmarkEnd w:id="61"/>
    </w:p>
    <w:p w:rsidR="00CE4CC2" w:rsidRDefault="003A06E5">
      <w:pPr>
        <w:pStyle w:val="Titre2"/>
      </w:pPr>
      <w:bookmarkStart w:id="62" w:name="états"/>
      <w:bookmarkStart w:id="63" w:name="_Toc232734046"/>
      <w:r>
        <w:t>10.1 États</w:t>
      </w:r>
      <w:bookmarkEnd w:id="63"/>
    </w:p>
    <w:p w:rsidR="00CE4CC2" w:rsidRDefault="003A06E5">
      <w:pPr>
        <w:pStyle w:val="FirstParagraph"/>
      </w:pPr>
      <w:r>
        <w:rPr>
          <w:rStyle w:val="VerbatimChar"/>
        </w:rPr>
        <w:t>DRAFT</w:t>
      </w:r>
      <w:r>
        <w:t xml:space="preserve"> → </w:t>
      </w:r>
      <w:r>
        <w:rPr>
          <w:rStyle w:val="VerbatimChar"/>
        </w:rPr>
        <w:t>PENDING_PAYMENT</w:t>
      </w:r>
      <w:r>
        <w:t xml:space="preserve"> → </w:t>
      </w:r>
      <w:r>
        <w:rPr>
          <w:rStyle w:val="VerbatimChar"/>
        </w:rPr>
        <w:t>PENDING</w:t>
      </w:r>
      <w:r>
        <w:t xml:space="preserve"> / </w:t>
      </w:r>
      <w:r>
        <w:rPr>
          <w:rStyle w:val="VerbatimChar"/>
        </w:rPr>
        <w:t>SCHEDULED</w:t>
      </w:r>
      <w:r>
        <w:t xml:space="preserve"> → </w:t>
      </w:r>
      <w:r>
        <w:rPr>
          <w:rStyle w:val="VerbatimChar"/>
        </w:rPr>
        <w:t>ASSIGNED</w:t>
      </w:r>
      <w:r>
        <w:t xml:space="preserve"> → </w:t>
      </w:r>
      <w:r>
        <w:rPr>
          <w:rStyle w:val="VerbatimChar"/>
        </w:rPr>
        <w:t>ACCEPTED</w:t>
      </w:r>
      <w:r>
        <w:t xml:space="preserve"> → </w:t>
      </w:r>
      <w:r>
        <w:rPr>
          <w:rStyle w:val="VerbatimChar"/>
        </w:rPr>
        <w:t>EN_ROUTE_PICKUP</w:t>
      </w:r>
      <w:r>
        <w:t xml:space="preserve"> → </w:t>
      </w:r>
      <w:r>
        <w:rPr>
          <w:rStyle w:val="VerbatimChar"/>
        </w:rPr>
        <w:t>AT_PICKUP</w:t>
      </w:r>
      <w:r>
        <w:t xml:space="preserve"> → </w:t>
      </w:r>
      <w:r>
        <w:rPr>
          <w:rStyle w:val="VerbatimChar"/>
        </w:rPr>
        <w:t>PICKED_UP</w:t>
      </w:r>
      <w:r>
        <w:t xml:space="preserve"> → </w:t>
      </w:r>
      <w:r>
        <w:rPr>
          <w:rStyle w:val="VerbatimChar"/>
        </w:rPr>
        <w:t>EN_ROUTE_DROPOFF</w:t>
      </w:r>
      <w:r>
        <w:t xml:space="preserve"> → </w:t>
      </w:r>
      <w:r>
        <w:rPr>
          <w:rStyle w:val="VerbatimChar"/>
        </w:rPr>
        <w:t>AT_DROPOFF</w:t>
      </w:r>
      <w:r>
        <w:t xml:space="preserve"> → </w:t>
      </w:r>
      <w:r>
        <w:rPr>
          <w:rStyle w:val="VerbatimChar"/>
        </w:rPr>
        <w:t>DELIVERED</w:t>
      </w:r>
      <w:r>
        <w:t xml:space="preserve">. États transverses : </w:t>
      </w:r>
      <w:r>
        <w:rPr>
          <w:rStyle w:val="VerbatimChar"/>
        </w:rPr>
        <w:t>DELIVERED_PENDING_SYNC</w:t>
      </w:r>
      <w:r>
        <w:t xml:space="preserve">, </w:t>
      </w:r>
      <w:r>
        <w:rPr>
          <w:rStyle w:val="VerbatimChar"/>
        </w:rPr>
        <w:t>TENTATIVE_ECHOUEE</w:t>
      </w:r>
      <w:r>
        <w:t xml:space="preserve">, </w:t>
      </w:r>
      <w:r>
        <w:rPr>
          <w:rStyle w:val="VerbatimChar"/>
        </w:rPr>
        <w:t>REASSIGNMENT_PENDING</w:t>
      </w:r>
      <w:r>
        <w:t xml:space="preserve">, </w:t>
      </w:r>
      <w:r>
        <w:rPr>
          <w:rStyle w:val="VerbatimChar"/>
        </w:rPr>
        <w:t>AT_PARTNER</w:t>
      </w:r>
      <w:r>
        <w:t xml:space="preserve">, </w:t>
      </w:r>
      <w:r>
        <w:rPr>
          <w:rStyle w:val="VerbatimChar"/>
        </w:rPr>
        <w:t>AT_AGENCY</w:t>
      </w:r>
      <w:r>
        <w:t xml:space="preserve"> (inter-villes), </w:t>
      </w:r>
      <w:r>
        <w:rPr>
          <w:rStyle w:val="VerbatimChar"/>
        </w:rPr>
        <w:t>RETURNED</w:t>
      </w:r>
      <w:r>
        <w:t xml:space="preserve">, </w:t>
      </w:r>
      <w:r>
        <w:rPr>
          <w:rStyle w:val="VerbatimChar"/>
        </w:rPr>
        <w:t>ABANDONED</w:t>
      </w:r>
      <w:r>
        <w:t xml:space="preserve">, </w:t>
      </w:r>
      <w:r>
        <w:rPr>
          <w:rStyle w:val="VerbatimChar"/>
        </w:rPr>
        <w:t>CANCELLED</w:t>
      </w:r>
      <w:r>
        <w:t xml:space="preserve">, </w:t>
      </w:r>
      <w:r>
        <w:rPr>
          <w:rStyle w:val="VerbatimChar"/>
        </w:rPr>
        <w:t>EXPIRED</w:t>
      </w:r>
      <w:r>
        <w:t xml:space="preserve">, </w:t>
      </w:r>
      <w:r>
        <w:rPr>
          <w:rStyle w:val="VerbatimChar"/>
        </w:rPr>
        <w:t>REFUNDED</w:t>
      </w:r>
      <w:r>
        <w:t>.</w:t>
      </w:r>
    </w:p>
    <w:p w:rsidR="00CE4CC2" w:rsidRDefault="003A06E5">
      <w:pPr>
        <w:pStyle w:val="Titre2"/>
      </w:pPr>
      <w:bookmarkStart w:id="64" w:name="transitions-principales"/>
      <w:bookmarkStart w:id="65" w:name="_Toc232734047"/>
      <w:bookmarkEnd w:id="62"/>
      <w:r>
        <w:t>10.2 Transitions principales</w:t>
      </w:r>
      <w:bookmarkEnd w:id="65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4"/>
        <w:gridCol w:w="3719"/>
        <w:gridCol w:w="215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Vers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Événement déclencheur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PENDING_PAYMENT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Validation de la commande (devis accepté)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PENDING_PAYMENT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PENDING / SCHEDULED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Paiement confirmé (ou choix espèces) ; programmée → SCHEDULED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PENDING / SCHEDULED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ASSIGNED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Proposition de mission par l’IA (programmée : J0 − 1 h)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ASSIGNED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:rsidR="00CE4CC2" w:rsidRDefault="00844BD9">
            <w:pPr>
              <w:pStyle w:val="Compact"/>
            </w:pPr>
            <w:r>
              <w:t>Acceptation livreur (&lt; 60 s)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ASSIGNED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REASSIGNMENT_PENDING</w:t>
            </w:r>
          </w:p>
        </w:tc>
        <w:tc>
          <w:tcPr>
            <w:tcW w:w="0" w:type="auto"/>
          </w:tcPr>
          <w:p w:rsidR="00CE4CC2" w:rsidRDefault="00844BD9">
            <w:pPr>
              <w:pStyle w:val="Compact"/>
            </w:pPr>
            <w:r>
              <w:t>Refus ou timeout 60 s → cascade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EN_ROUTE_PICKUP → AT_PICKUP → PICKED_UP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Déplacement, arrivée (géo-clôture), prise en charge + photo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PICKED_UP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EN_ROUTE_DROPOFF → AT_DROPOFF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Déplacement, arrivée destination (géo-clôture)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AT_DROPOFF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DELIVERED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Jeton signé validé + photo (en ligne)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AT_DROPOFF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DELIVERED_PENDING_SYNC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Validation </w:t>
            </w:r>
            <w:r>
              <w:rPr>
                <w:b/>
                <w:bCs/>
              </w:rPr>
              <w:t>hors-ligne</w:t>
            </w:r>
            <w:r>
              <w:t xml:space="preserve"> ; preuves synchronisées ultérieurement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AT_DROPOFF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TENTATIVE_ECHOUEE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Receveur absent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TENTATIVE_ECHOUEE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EN_ROUTE_DROPOFF / AT_PARTNER / RETURNED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Nouvelle tentative / dépôt partenaire / retour (max 2 </w:t>
              <w:lastRenderedPageBreak/>
              <w:t>tentatives)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PICKED_UP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AT_PARTNER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Dépôt en point partenaire (scan QR entrée)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AT_PARTNER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DELIVERED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Retrait (scan QR sortie + identité)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AT_PARTNER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EXPIRED → RETURNED / ABANDONED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Dépassement 72 h (+ prolongations)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PICKED_UP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AT_AGENCY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Dépôt en agence (inter-villes, photo reçu) → notification receveur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* (prépayé MoMo)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REFUNDED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Annulation éligible au remboursement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ASSIGNED..AT_DROPOFF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CANCELLED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Annulation (pénalités selon §9.3)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REASSIGNMENT_PENDING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ASSIGNED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Nouvelle proposition IA</w:t>
            </w:r>
          </w:p>
        </w:tc>
      </w:tr>
    </w:tbl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4137278" cy="7680960"/>
            <wp:effectExtent l="0" t="0" r="0" b="0"/>
            <wp:docPr id="1002" name="cct_eta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cct_e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278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2 — Machine à états du cycle de vie d’une livraison</w:t>
      </w:r>
    </w:p>
    <w:p w:rsidR="00CE4CC2" w:rsidRDefault="003A06E5">
      <w:pPr>
        <w:pStyle w:val="Titre2"/>
      </w:pPr>
      <w:bookmarkStart w:id="66" w:name="X565db5c051c171c60eec1f5ab56ed3575028cf8"/>
      <w:bookmarkStart w:id="67" w:name="_Toc232734048"/>
      <w:bookmarkEnd w:id="64"/>
      <w:r>
        <w:t xml:space="preserve">10.3 Confirmation hors-ligne (résolution de la tension offline ↔ OTP) </w:t>
      </w:r>
      <w:r>
        <w:rPr>
          <w:i/>
          <w:iCs/>
        </w:rPr>
        <w:t>[Décision]</w:t>
      </w:r>
      <w:bookmarkEnd w:id="67"/>
    </w:p>
    <w:p w:rsidR="00CE4CC2" w:rsidRDefault="003A06E5">
      <w:pPr>
        <w:pStyle w:val="FirstParagraph"/>
      </w:pPr>
      <w:r>
        <w:t xml:space="preserve">À l’affectation, le serveur émet un </w:t>
      </w:r>
      <w:r>
        <w:rPr>
          <w:b/>
          <w:bCs/>
        </w:rPr>
        <w:t>jeton de livraison signé</w:t>
      </w:r>
      <w:r>
        <w:t xml:space="preserve"> (clé privée serveur) lié à la livraison et au receveur, mis en cache chiffré sur le terminal livreur. À la livraison hors-ligne, le receveur fournit le </w:t>
      </w:r>
      <w:r>
        <w:rPr>
          <w:b/>
          <w:bCs/>
        </w:rPr>
        <w:t>PIN/QR</w:t>
      </w:r>
      <w:r>
        <w:t xml:space="preserve"> ; l’app livreur </w:t>
      </w:r>
      <w:r>
        <w:rPr>
          <w:b/>
          <w:bCs/>
        </w:rPr>
        <w:t>vérifie la signature localement</w:t>
      </w:r>
      <w:r>
        <w:t xml:space="preserve"> (clé publique embarquée) et passe la livraison en </w:t>
      </w:r>
      <w:r>
        <w:rPr>
          <w:rStyle w:val="VerbatimChar"/>
        </w:rPr>
        <w:t>DELIVERED_PENDING_SYNC</w:t>
      </w:r>
      <w:r>
        <w:t xml:space="preserve"> avec photo + montant (si espèces). À la reconnexion, les preuves sont synchronisées et l’état devient </w:t>
      </w:r>
      <w:r>
        <w:rPr>
          <w:rStyle w:val="VerbatimChar"/>
        </w:rPr>
        <w:t>DELIVERED</w:t>
      </w:r>
      <w:r>
        <w:t>. L’OTP-SMS reste le repli en mode connecté pour les receveurs sans app.</w:t>
      </w:r>
    </w:p>
    <w:p w:rsidR="00CE4CC2" w:rsidRDefault="003A06E5">
      <w:pPr>
        <w:pStyle w:val="Titre2"/>
      </w:pPr>
      <w:bookmarkStart w:id="68" w:name="X0c2647f66448fd897175ebfec3fd8f1b4be4a84"/>
      <w:bookmarkStart w:id="69" w:name="_Toc232734049"/>
      <w:bookmarkEnd w:id="66"/>
      <w:r>
        <w:t xml:space="preserve">10.4 Résolution des conflits de synchronisation </w:t>
      </w:r>
      <w:r>
        <w:rPr>
          <w:i/>
          <w:iCs/>
        </w:rPr>
        <w:t>[Décision]</w:t>
      </w:r>
      <w:bookmarkEnd w:id="69"/>
    </w:p>
    <w:p w:rsidR="00CE4CC2" w:rsidRDefault="003A06E5">
      <w:pPr>
        <w:pStyle w:val="FirstParagraph"/>
      </w:pPr>
      <w:r>
        <w:t xml:space="preserve">Règle d’arbitrage : </w:t>
      </w:r>
      <w:r>
        <w:rPr>
          <w:b/>
          <w:bCs/>
        </w:rPr>
        <w:t>le serveur fait autorité</w:t>
      </w:r>
      <w:r>
        <w:t xml:space="preserve"> sur l’affectation (ex. si une réassignation a eu lieu côté serveur pendant que le livreur était hors-ligne, la livraison hors-ligne est gelée en </w:t>
      </w:r>
      <w:r>
        <w:rPr>
          <w:rStyle w:val="VerbatimChar"/>
        </w:rPr>
        <w:t>DELIVERED_PENDING_SYNC</w:t>
      </w:r>
      <w:r>
        <w:t xml:space="preserve"> et tranchée par un Co-admin via les preuves) ; les </w:t>
      </w:r>
      <w:r>
        <w:rPr>
          <w:b/>
          <w:bCs/>
        </w:rPr>
        <w:t>événements financiers</w:t>
      </w:r>
      <w:r>
        <w:t xml:space="preserve"> (encaissement espèces) ne sont jamais perdus : ils sont mis en file et rapprochés à la synchro. Tout conflit non résolu automatiquement génère un litige (BF33).</w:t>
      </w:r>
    </w:p>
    <w:p w:rsidR="00CE4CC2" w:rsidRDefault="003A06E5">
      <w:r>
        <w:pict>
          <v:rect id="_x0000_i1034" style="width:0;height:1.5pt" o:hralign="center" o:hrstd="t" o:hr="t"/>
        </w:pict>
      </w:r>
    </w:p>
    <w:p w:rsidR="00CE4CC2" w:rsidRDefault="003A06E5">
      <w:pPr>
        <w:pStyle w:val="Titre1"/>
      </w:pPr>
      <w:bookmarkStart w:id="70" w:name="modèle-économique-et-rémunération"/>
      <w:bookmarkStart w:id="71" w:name="_Toc232734050"/>
      <w:bookmarkEnd w:id="60"/>
      <w:bookmarkEnd w:id="68"/>
      <w:r>
        <w:lastRenderedPageBreak/>
        <w:t>11. Modèle économique et rémunération</w:t>
      </w:r>
      <w:bookmarkEnd w:id="71"/>
    </w:p>
    <w:p w:rsidR="00CE4CC2" w:rsidRDefault="003A06E5">
      <w:pPr>
        <w:pStyle w:val="Titre2"/>
      </w:pPr>
      <w:bookmarkStart w:id="72" w:name="X8376d0e8268b9d8260b9b1d8feaab9b0e4cde9f"/>
      <w:bookmarkStart w:id="73" w:name="_Toc232734051"/>
      <w:r>
        <w:t xml:space="preserve">11.1 Statut des livreurs </w:t>
      </w:r>
      <w:r>
        <w:rPr>
          <w:i/>
          <w:iCs/>
        </w:rPr>
        <w:t>[Décision — lève la contradiction salarié/commission]</w:t>
      </w:r>
      <w:bookmarkEnd w:id="73"/>
    </w:p>
    <w:p w:rsidR="00CE4CC2" w:rsidRDefault="003A06E5">
      <w:pPr>
        <w:pStyle w:val="FirstParagraph"/>
      </w:pPr>
      <w:r>
        <w:t xml:space="preserve">Les livreurs ne sont pas des </w:t>
      </w:r>
      <w:r>
        <w:rPr>
          <w:b/>
          <w:bCs/>
        </w:rPr>
        <w:t>salariés</w:t>
      </w:r>
      <w:r>
        <w:t>. Leur rémunération combine :</w:t>
      </w:r>
    </w:p>
    <w:p w:rsidR="00CE4CC2" w:rsidRDefault="002C76A6">
      <w:pPr>
        <w:pStyle w:val="Compact"/>
        <w:numPr>
          <w:ilvl w:val="0"/>
          <w:numId w:val="5"/>
        </w:numPr>
      </w:pPr>
      <w:r>
        <w:t>80% pour chaque livraison effectuée ;</w:t>
      </w:r>
    </w:p>
    <w:p w:rsidR="002C76A6" w:rsidRDefault="002C76A6">
      <w:pPr>
        <w:pStyle w:val="Compact"/>
        <w:numPr>
          <w:ilvl w:val="0"/>
          <w:numId w:val="5"/>
        </w:numPr>
      </w:pPr>
      <w:r>
        <w:t>Pourboires potentiels ;</w:t>
      </w:r>
    </w:p>
    <w:p w:rsidR="00CE4CC2" w:rsidRDefault="003A06E5">
      <w:pPr>
        <w:pStyle w:val="Compact"/>
        <w:numPr>
          <w:ilvl w:val="0"/>
          <w:numId w:val="5"/>
        </w:numPr>
      </w:pPr>
      <w:r>
        <w:t xml:space="preserve">une </w:t>
      </w:r>
      <w:r>
        <w:rPr>
          <w:b/>
          <w:bCs/>
        </w:rPr>
        <w:t>prime de performance hebdomadaire</w:t>
      </w:r>
      <w:r>
        <w:t xml:space="preserve"> versée par MoMo et calculée par le système.</w:t>
      </w:r>
    </w:p>
    <w:p w:rsidR="00CE4CC2" w:rsidRDefault="003A06E5">
      <w:pPr>
        <w:pStyle w:val="Titre2"/>
      </w:pPr>
      <w:bookmarkStart w:id="74" w:name="calcul-de-la-prime-bf38-décision"/>
      <w:bookmarkStart w:id="75" w:name="_Toc232734052"/>
      <w:bookmarkEnd w:id="72"/>
      <w:r>
        <w:t xml:space="preserve">11.2 Calcul de la prime (BF38) </w:t>
      </w:r>
      <w:r>
        <w:rPr>
          <w:i/>
          <w:iCs/>
        </w:rPr>
        <w:t>[Décision]</w:t>
      </w:r>
      <w:bookmarkEnd w:id="75"/>
    </w:p>
    <w:p w:rsidR="00CE4CC2" w:rsidRDefault="003A06E5">
      <w:pPr>
        <w:pStyle w:val="FirstParagraph"/>
      </w:pPr>
      <w:r>
        <w:rPr>
          <w:rStyle w:val="VerbatimChar"/>
        </w:rPr>
        <w:t>Prime_hebdo = (Σ valeur_des_courses_réalisées × taux_prime) × coef_score_qualité − déductions_imputables + (pourboires)</w:t>
      </w:r>
    </w:p>
    <w:p w:rsidR="00CE4CC2" w:rsidRDefault="003A06E5">
      <w:pPr>
        <w:pStyle w:val="Compact"/>
        <w:numPr>
          <w:ilvl w:val="0"/>
          <w:numId w:val="6"/>
        </w:numPr>
      </w:pPr>
      <w:r>
        <w:rPr>
          <w:rStyle w:val="VerbatimChar"/>
        </w:rPr>
        <w:t>taux_prime</w:t>
      </w:r>
      <w:r>
        <w:t xml:space="preserve"> : part configurable de la valeur produite (valeur initiale paramétrable, ex. 0,50) ;</w:t>
      </w:r>
    </w:p>
    <w:p w:rsidR="00CE4CC2" w:rsidRDefault="003A06E5">
      <w:pPr>
        <w:pStyle w:val="Compact"/>
        <w:numPr>
          <w:ilvl w:val="0"/>
          <w:numId w:val="6"/>
        </w:numPr>
      </w:pPr>
      <w:r>
        <w:rPr>
          <w:rStyle w:val="VerbatimChar"/>
        </w:rPr>
        <w:t>coef_score_qualité</w:t>
      </w:r>
      <w:r>
        <w:t xml:space="preserve"> : modulateur ∈ [0,8 ; 1,2] dérivé du score composite ;</w:t>
      </w:r>
    </w:p>
    <w:p w:rsidR="00CE4CC2" w:rsidRDefault="003A06E5">
      <w:pPr>
        <w:pStyle w:val="Compact"/>
        <w:numPr>
          <w:ilvl w:val="0"/>
          <w:numId w:val="6"/>
        </w:numPr>
      </w:pPr>
      <w:r>
        <w:rPr>
          <w:rStyle w:val="VerbatimChar"/>
        </w:rPr>
        <w:t>déductions_imputables</w:t>
      </w:r>
      <w:r>
        <w:t xml:space="preserve"> : pénalités/litiges à la charge du livreur, </w:t>
      </w:r>
      <w:r>
        <w:rPr>
          <w:b/>
          <w:bCs/>
        </w:rPr>
        <w:t>dans les limites légales</w:t>
      </w:r>
      <w:r>
        <w:t xml:space="preserve"> du Code du travail.</w:t>
      </w:r>
    </w:p>
    <w:p w:rsidR="00CE4CC2" w:rsidRDefault="003A06E5">
      <w:pPr>
        <w:pStyle w:val="Titre2"/>
      </w:pPr>
      <w:bookmarkStart w:id="76" w:name="X207e1c9f766d312106d0bfbc3c37cecfd137533"/>
      <w:bookmarkStart w:id="77" w:name="_Toc232734053"/>
      <w:bookmarkEnd w:id="74"/>
      <w:r>
        <w:t xml:space="preserve">11.3 Structure des revenus de la plateforme </w:t>
      </w:r>
      <w:r>
        <w:rPr>
          <w:i/>
          <w:iCs/>
        </w:rPr>
        <w:t>[Décision]</w:t>
      </w:r>
      <w:bookmarkEnd w:id="77"/>
    </w:p>
    <w:p w:rsidR="00CE4CC2" w:rsidRDefault="003A06E5">
      <w:pPr>
        <w:pStyle w:val="FirstParagraph"/>
      </w:pPr>
      <w:r>
        <w:t xml:space="preserve">La plateforme </w:t>
      </w:r>
      <w:r>
        <w:rPr>
          <w:b/>
          <w:bCs/>
        </w:rPr>
        <w:t>encaisse l’intégralité du prix de livraison</w:t>
      </w:r>
      <w:r>
        <w:t xml:space="preserve">. Le compte de résultat alloue le chiffre d’affaires aux postes suivants : masse salariale (base + primes), frais Mobile Money, SMS/notifications, cartographie, hébergement, et </w:t>
      </w:r>
      <w:r>
        <w:rPr>
          <w:b/>
          <w:bCs/>
        </w:rPr>
        <w:t>marge</w:t>
      </w:r>
      <w:r>
        <w:t xml:space="preserve">. Revenus annexes : 500 XAF fixes inter-villes ; 150 XAF/colis partenaire ; prolongation retrait 200 XAF/jour. Les </w:t>
      </w:r>
      <w:r>
        <w:rPr>
          <w:b/>
          <w:bCs/>
        </w:rPr>
        <w:t>frais Mobile Money</w:t>
      </w:r>
      <w:r>
        <w:t xml:space="preserve"> (encaissements clients et virements primes livreurs) sont </w:t>
      </w:r>
      <w:r>
        <w:rPr>
          <w:b/>
          <w:bCs/>
        </w:rPr>
        <w:t>explicitement</w:t>
      </w:r>
      <w:r>
        <w:t xml:space="preserve"> portés au compte de résultat (poste coûts variables).</w:t>
      </w:r>
    </w:p>
    <w:p w:rsidR="00CE4CC2" w:rsidRDefault="003A06E5">
      <w:pPr>
        <w:pStyle w:val="Titre2"/>
      </w:pPr>
      <w:bookmarkStart w:id="78" w:name="clients-entreprise-b2b-décision"/>
      <w:bookmarkStart w:id="79" w:name="_Toc232734054"/>
      <w:bookmarkEnd w:id="76"/>
      <w:r>
        <w:t xml:space="preserve">11.4 Clients entreprise (B2B) </w:t>
      </w:r>
      <w:r>
        <w:rPr>
          <w:i/>
          <w:iCs/>
        </w:rPr>
        <w:t>[Décision]</w:t>
      </w:r>
      <w:bookmarkEnd w:id="7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1"/>
        <w:gridCol w:w="3052"/>
        <w:gridCol w:w="1760"/>
        <w:gridCol w:w="2059"/>
        <w:gridCol w:w="1180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Palier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Volume mensuel (mois précédent)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Réduction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Facturation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SLA litiges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0 – 30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Aucune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Par transaction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48 h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Business</w:t>
            </w:r>
          </w:p>
        </w:tc>
        <w:tc>
          <w:tcPr>
            <w:tcW w:w="0" w:type="auto"/>
          </w:tcPr>
          <w:p w:rsidR="00CE4CC2" w:rsidRDefault="002C76A6">
            <w:pPr>
              <w:pStyle w:val="Compact"/>
            </w:pPr>
            <w:r>
              <w:t>31 – 70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−10 % / livraison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Consolidée, net 15 j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24 h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Premium</w:t>
            </w:r>
          </w:p>
        </w:tc>
        <w:tc>
          <w:tcPr>
            <w:tcW w:w="0" w:type="auto"/>
          </w:tcPr>
          <w:p w:rsidR="00CE4CC2" w:rsidRDefault="002C76A6">
            <w:pPr>
              <w:pStyle w:val="Compact"/>
            </w:pPr>
            <w:r>
              <w:t>&gt; 70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−20 % / livraison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Consolidée, net 30 j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12 h</w:t>
            </w:r>
          </w:p>
        </w:tc>
      </w:tr>
    </w:tbl>
    <w:p w:rsidR="00CE4CC2" w:rsidRDefault="003A06E5">
      <w:pPr>
        <w:pStyle w:val="Corpsdetexte"/>
      </w:pPr>
      <w:r>
        <w:rPr>
          <w:b/>
          <w:bCs/>
        </w:rPr>
        <w:t>Sous-comptes</w:t>
      </w:r>
      <w:r>
        <w:t xml:space="preserve"> : rôles </w:t>
      </w:r>
      <w:r>
        <w:rPr>
          <w:i/>
          <w:iCs/>
        </w:rPr>
        <w:t>Admin entreprise</w:t>
      </w:r>
      <w:r>
        <w:t xml:space="preserve"> (gère comptes, plafonds, factures), </w:t>
      </w:r>
      <w:r>
        <w:rPr>
          <w:i/>
          <w:iCs/>
        </w:rPr>
        <w:t>Gestionnaire</w:t>
      </w:r>
      <w:r>
        <w:t xml:space="preserve"> (commande sans limite + suivi), </w:t>
      </w:r>
      <w:r>
        <w:rPr>
          <w:i/>
          <w:iCs/>
        </w:rPr>
        <w:t>Demandeur</w:t>
      </w:r>
      <w:r>
        <w:t xml:space="preserve"> (commande dans un </w:t>
      </w:r>
      <w:r>
        <w:rPr>
          <w:b/>
          <w:bCs/>
        </w:rPr>
        <w:t>plafond de dépense</w:t>
      </w:r>
      <w:r>
        <w:t xml:space="preserve"> configurable). </w:t>
      </w:r>
      <w:r>
        <w:rPr>
          <w:b/>
          <w:bCs/>
        </w:rPr>
        <w:t>Contrats cadre</w:t>
      </w:r>
      <w:r>
        <w:t xml:space="preserve"> signés électroniquement (signature OTP + piste d’audit, valeur probante au titre de la loi N°2010/021). </w:t>
      </w:r>
      <w:r>
        <w:rPr>
          <w:b/>
          <w:bCs/>
        </w:rPr>
        <w:t>Impayé B2B</w:t>
      </w:r>
      <w:r>
        <w:t xml:space="preserve"> : relance à échéance, </w:t>
      </w:r>
      <w:r>
        <w:rPr>
          <w:b/>
          <w:bCs/>
        </w:rPr>
        <w:t>suspension de la commande B2B</w:t>
      </w:r>
      <w:r>
        <w:t xml:space="preserve"> après délai de grâce (pas de mécanisme « 3 avertissements » consommateur). </w:t>
      </w:r>
      <w:r>
        <w:rPr>
          <w:b/>
          <w:bCs/>
        </w:rPr>
        <w:t>Transition de palier</w:t>
      </w:r>
      <w:r>
        <w:t xml:space="preserve"> : recalcul mensuel sur le volume du mois précédent ; tout changement s’applique au cycle suivant.</w:t>
      </w:r>
    </w:p>
    <w:p w:rsidR="00CE4CC2" w:rsidRDefault="003A06E5">
      <w:pPr>
        <w:pStyle w:val="Titre2"/>
      </w:pPr>
      <w:bookmarkStart w:id="80" w:name="périmètre-cod-et-module-futur-décision"/>
      <w:bookmarkStart w:id="81" w:name="_Toc232734055"/>
      <w:bookmarkEnd w:id="78"/>
      <w:r>
        <w:lastRenderedPageBreak/>
        <w:t xml:space="preserve">11.5 Périmètre COD et module futur </w:t>
      </w:r>
      <w:r>
        <w:rPr>
          <w:i/>
          <w:iCs/>
        </w:rPr>
        <w:t>[Décision]</w:t>
      </w:r>
      <w:bookmarkEnd w:id="81"/>
    </w:p>
    <w:p w:rsidR="00CE4CC2" w:rsidRDefault="003A06E5">
      <w:pPr>
        <w:pStyle w:val="FirstParagraph"/>
      </w:pPr>
      <w:r>
        <w:t xml:space="preserve">En MVP, le COD couvre </w:t>
      </w:r>
      <w:r>
        <w:rPr>
          <w:b/>
          <w:bCs/>
        </w:rPr>
        <w:t>exclusivement les frais de livraison</w:t>
      </w:r>
      <w:r>
        <w:t xml:space="preserve"> réglés en espèces par le receveur. L’encaissement de la </w:t>
      </w:r>
      <w:r>
        <w:rPr>
          <w:b/>
          <w:bCs/>
        </w:rPr>
        <w:t>valeur marchande</w:t>
      </w:r>
      <w:r>
        <w:t xml:space="preserve"> pour le compte de vendeurs (vrai COD e-commerce) — qui implique gestion de flottant, rapprochement et </w:t>
      </w:r>
      <w:r>
        <w:rPr>
          <w:b/>
          <w:bCs/>
        </w:rPr>
        <w:t>reversement marchand</w:t>
      </w:r>
      <w:r>
        <w:t xml:space="preserve"> sous contraintes BEAC/COBAC — fait l’objet d’un </w:t>
      </w:r>
      <w:r>
        <w:rPr>
          <w:b/>
          <w:bCs/>
        </w:rPr>
        <w:t>module dédié en Phase 2</w:t>
      </w:r>
      <w:r>
        <w:t xml:space="preserve"> (Encaissement &amp; Reversement) hors du présent périmètre.</w:t>
      </w:r>
    </w:p>
    <w:p w:rsidR="00CE4CC2" w:rsidRDefault="003A06E5">
      <w:r>
        <w:pict>
          <v:rect id="_x0000_i1035" style="width:0;height:1.5pt" o:hralign="center" o:hrstd="t" o:hr="t"/>
        </w:pict>
      </w:r>
    </w:p>
    <w:p w:rsidR="00CE4CC2" w:rsidRDefault="003A06E5">
      <w:pPr>
        <w:pStyle w:val="Titre1"/>
      </w:pPr>
      <w:bookmarkStart w:id="82" w:name="architecture-technique"/>
      <w:bookmarkStart w:id="83" w:name="_Toc232734056"/>
      <w:bookmarkEnd w:id="70"/>
      <w:bookmarkEnd w:id="80"/>
      <w:r>
        <w:t>12. Architecture technique</w:t>
      </w:r>
      <w:bookmarkEnd w:id="83"/>
    </w:p>
    <w:p w:rsidR="00CE4CC2" w:rsidRDefault="003A06E5">
      <w:pPr>
        <w:pStyle w:val="Titre2"/>
      </w:pPr>
      <w:bookmarkStart w:id="84" w:name="écosystème-applicatif"/>
      <w:bookmarkStart w:id="85" w:name="_Toc232734057"/>
      <w:r>
        <w:t>12.1 Écosystème applicatif</w:t>
      </w:r>
      <w:bookmarkEnd w:id="85"/>
    </w:p>
    <w:p w:rsidR="00CE4CC2" w:rsidRDefault="003A06E5">
      <w:pPr>
        <w:pStyle w:val="Compact"/>
        <w:numPr>
          <w:ilvl w:val="0"/>
          <w:numId w:val="7"/>
        </w:numPr>
      </w:pPr>
      <w:r>
        <w:t xml:space="preserve">Application mobile </w:t>
      </w:r>
      <w:r>
        <w:rPr>
          <w:b/>
          <w:bCs/>
        </w:rPr>
        <w:t>client</w:t>
      </w:r>
      <w:r>
        <w:t xml:space="preserve"> — Flutter (iOS 13+ &amp; Android 8+).</w:t>
      </w:r>
    </w:p>
    <w:p w:rsidR="00CE4CC2" w:rsidRDefault="003A06E5">
      <w:pPr>
        <w:pStyle w:val="Compact"/>
        <w:numPr>
          <w:ilvl w:val="0"/>
          <w:numId w:val="7"/>
        </w:numPr>
      </w:pPr>
      <w:r>
        <w:t xml:space="preserve">Application mobile </w:t>
      </w:r>
      <w:r>
        <w:rPr>
          <w:b/>
          <w:bCs/>
        </w:rPr>
        <w:t>livreur</w:t>
      </w:r>
      <w:r>
        <w:t xml:space="preserve"> — Flutter (iOS 13+ &amp; Android 8+), offline-first.</w:t>
      </w:r>
    </w:p>
    <w:p w:rsidR="00CE4CC2" w:rsidRDefault="003A06E5">
      <w:pPr>
        <w:pStyle w:val="Compact"/>
        <w:numPr>
          <w:ilvl w:val="0"/>
          <w:numId w:val="7"/>
        </w:numPr>
      </w:pPr>
      <w:r>
        <w:rPr>
          <w:b/>
          <w:bCs/>
        </w:rPr>
        <w:t>PWA partenaire</w:t>
      </w:r>
      <w:r>
        <w:t xml:space="preserve"> (scan QR, vérification d’identité) et </w:t>
      </w:r>
      <w:r>
        <w:rPr>
          <w:b/>
          <w:bCs/>
        </w:rPr>
        <w:t>PWA de suivi receveur</w:t>
      </w:r>
      <w:r>
        <w:t>.</w:t>
      </w:r>
    </w:p>
    <w:p w:rsidR="00CE4CC2" w:rsidRDefault="003A06E5">
      <w:pPr>
        <w:pStyle w:val="Compact"/>
        <w:numPr>
          <w:ilvl w:val="0"/>
          <w:numId w:val="7"/>
        </w:numPr>
      </w:pPr>
      <w:r>
        <w:rPr>
          <w:b/>
          <w:bCs/>
        </w:rPr>
        <w:t>Dashboard web</w:t>
      </w:r>
      <w:r>
        <w:t xml:space="preserve"> super admin + co-admins — Next.js 14 / React.</w:t>
      </w:r>
    </w:p>
    <w:p w:rsidR="00CE4CC2" w:rsidRDefault="003A06E5">
      <w:pPr>
        <w:pStyle w:val="Compact"/>
        <w:numPr>
          <w:ilvl w:val="0"/>
          <w:numId w:val="7"/>
        </w:numPr>
      </w:pPr>
      <w:r>
        <w:rPr>
          <w:b/>
          <w:bCs/>
        </w:rPr>
        <w:t>API backend</w:t>
      </w:r>
      <w:r>
        <w:t xml:space="preserve"> — NestJS/TypeScript, modules : Auth, Utilisateurs, Livraisons, Tournées, Paiements, Facturation, Notifications, Chat, Partenaires, Ramassage, B2B, Promotions, Rémunérations, Admin, Audit.</w:t>
      </w:r>
    </w:p>
    <w:p w:rsidR="00CE4CC2" w:rsidRDefault="003A06E5">
      <w:pPr>
        <w:pStyle w:val="Compact"/>
        <w:numPr>
          <w:ilvl w:val="0"/>
          <w:numId w:val="7"/>
        </w:numPr>
      </w:pPr>
      <w:r>
        <w:rPr>
          <w:b/>
          <w:bCs/>
        </w:rPr>
        <w:t>Microservice IA</w:t>
      </w:r>
      <w:r>
        <w:t xml:space="preserve"> — Python/FastAPI + OR-Tools (attribution VRP, ETA, scoring, anomalies GPS, clustering).</w:t>
      </w:r>
    </w:p>
    <w:p w:rsidR="00CE4CC2" w:rsidRDefault="003A06E5">
      <w:pPr>
        <w:pStyle w:val="Titre2"/>
      </w:pPr>
      <w:bookmarkStart w:id="86" w:name="données-et-messagerie"/>
      <w:bookmarkStart w:id="87" w:name="_Toc232734058"/>
      <w:bookmarkEnd w:id="84"/>
      <w:r>
        <w:t>12.2 Données et messagerie</w:t>
      </w:r>
      <w:bookmarkEnd w:id="87"/>
    </w:p>
    <w:p w:rsidR="00CE4CC2" w:rsidRDefault="003A06E5">
      <w:pPr>
        <w:pStyle w:val="FirstParagraph"/>
      </w:pPr>
      <w:r>
        <w:rPr>
          <w:b/>
          <w:bCs/>
        </w:rPr>
        <w:t>PostgreSQL 16 + PostGIS 3</w:t>
      </w:r>
      <w:r>
        <w:t xml:space="preserve"> (géospatial, proximité), </w:t>
      </w:r>
      <w:r>
        <w:rPr>
          <w:b/>
          <w:bCs/>
        </w:rPr>
        <w:t>Redis 7</w:t>
      </w:r>
      <w:r>
        <w:t xml:space="preserve"> (cache, files, WebSocket pub/sub). Mobile : </w:t>
      </w:r>
      <w:r>
        <w:rPr>
          <w:b/>
          <w:bCs/>
        </w:rPr>
        <w:t>SQLite + SQLCipher</w:t>
      </w:r>
      <w:r>
        <w:t xml:space="preserve"> (cache chiffré offline-first).</w:t>
      </w:r>
    </w:p>
    <w:p w:rsidR="00CE4CC2" w:rsidRDefault="003A06E5">
      <w:pPr>
        <w:pStyle w:val="Titre2"/>
      </w:pPr>
      <w:bookmarkStart w:id="88" w:name="cartographie-et-services-tiers-décision"/>
      <w:bookmarkStart w:id="89" w:name="_Toc232734059"/>
      <w:bookmarkEnd w:id="86"/>
      <w:r>
        <w:t xml:space="preserve">12.3 Cartographie et services tiers </w:t>
      </w:r>
      <w:r>
        <w:rPr>
          <w:i/>
          <w:iCs/>
        </w:rPr>
        <w:t>[Décision]</w:t>
      </w:r>
      <w:bookmarkEnd w:id="89"/>
    </w:p>
    <w:p w:rsidR="00CE4CC2" w:rsidRDefault="003A06E5">
      <w:pPr>
        <w:pStyle w:val="FirstParagraph"/>
      </w:pPr>
      <w:r>
        <w:rPr>
          <w:b/>
          <w:bCs/>
        </w:rPr>
        <w:t>Mapbox en fournisseur principal</w:t>
      </w:r>
      <w:r>
        <w:t xml:space="preserve"> (routing/matrices et ETA) pour la maîtrise des coûts au volume MVP ; </w:t>
      </w:r>
      <w:r>
        <w:rPr>
          <w:b/>
          <w:bCs/>
        </w:rPr>
        <w:t>Google Maps Distance Matrix en secours</w:t>
      </w:r>
      <w:r>
        <w:t xml:space="preserve"> (précision/qualité) en cas d’indisponibilité ou pour cas spécifiques. </w:t>
      </w:r>
      <w:r>
        <w:rPr>
          <w:b/>
          <w:bCs/>
        </w:rPr>
        <w:t>Cache des matrices de distance</w:t>
      </w:r>
      <w:r>
        <w:t xml:space="preserve"> (Redis) pour éviter les appels redondants. Autres services : Orange Money, MTN MoMo, FCM (push), passerelle SMS (agrégateur local + Infobip/Twilio en secours), WhatsApp Business (templates approuvés).</w:t>
      </w:r>
    </w:p>
    <w:p w:rsidR="00CE4CC2" w:rsidRDefault="003A06E5">
      <w:pPr>
        <w:pStyle w:val="Titre2"/>
      </w:pPr>
      <w:bookmarkStart w:id="90" w:name="Xbb04ce94283cef77686548eb0ac2a3861213da6"/>
      <w:bookmarkStart w:id="91" w:name="_Toc232734060"/>
      <w:bookmarkEnd w:id="88"/>
      <w:r>
        <w:t xml:space="preserve">12.4 Infrastructure et niveaux de service </w:t>
      </w:r>
      <w:r>
        <w:rPr>
          <w:i/>
          <w:iCs/>
        </w:rPr>
        <w:t>[Décision]</w:t>
      </w:r>
      <w:bookmarkEnd w:id="91"/>
    </w:p>
    <w:p w:rsidR="00CE4CC2" w:rsidRDefault="003A06E5">
      <w:pPr>
        <w:pStyle w:val="Compact"/>
        <w:numPr>
          <w:ilvl w:val="0"/>
          <w:numId w:val="8"/>
        </w:numPr>
      </w:pPr>
      <w:r>
        <w:rPr>
          <w:b/>
          <w:bCs/>
        </w:rPr>
        <w:t>Phase 1 (MVP)</w:t>
      </w:r>
      <w:r>
        <w:t xml:space="preserve"> : </w:t>
      </w:r>
      <w:r>
        <w:rPr>
          <w:b/>
          <w:bCs/>
        </w:rPr>
        <w:t>mono-VPS</w:t>
      </w:r>
      <w:r>
        <w:t xml:space="preserve"> Ubuntu 22.04 (4 vCPU, 8 Go RAM, 80 Go SSD), Docker + Docker Compose, NGINX reverse proxy, redémarrage automatique des conteneurs. SLA </w:t>
      </w:r>
      <w:r>
        <w:rPr>
          <w:b/>
          <w:bCs/>
        </w:rPr>
        <w:t>best effort ≈ 99,0 %</w:t>
      </w:r>
      <w:r>
        <w:t>, RTO &lt; 4 h, RPO &lt; 24 h. Sauvegardes pg_dump quotidiennes (30 j) vers Backblaze B2. Monitoring Grafana + Loki.</w:t>
      </w:r>
    </w:p>
    <w:p w:rsidR="00CE4CC2" w:rsidRDefault="003A06E5">
      <w:pPr>
        <w:pStyle w:val="Compact"/>
        <w:numPr>
          <w:ilvl w:val="0"/>
          <w:numId w:val="8"/>
        </w:numPr>
      </w:pPr>
      <w:r>
        <w:rPr>
          <w:b/>
          <w:bCs/>
        </w:rPr>
        <w:t>Phase 2 (montée en charge)</w:t>
      </w:r>
      <w:r>
        <w:t xml:space="preserve"> : </w:t>
      </w:r>
      <w:r>
        <w:rPr>
          <w:b/>
          <w:bCs/>
        </w:rPr>
        <w:t>haute disponibilité</w:t>
      </w:r>
      <w:r>
        <w:t xml:space="preserve"> — load-balancer + 2+ instances applicatives, </w:t>
      </w:r>
      <w:r>
        <w:rPr>
          <w:b/>
          <w:bCs/>
        </w:rPr>
        <w:t>PostgreSQL répliqué/managé</w:t>
      </w:r>
      <w:r>
        <w:t xml:space="preserve">, réplique Redis, déploiement multi-zones, pour viser </w:t>
      </w:r>
      <w:r>
        <w:rPr>
          <w:b/>
          <w:bCs/>
        </w:rPr>
        <w:t>≥ 99,5 %</w:t>
      </w:r>
      <w:r>
        <w:t>. Découplage progressif des modules en services autonomes.</w:t>
      </w:r>
    </w:p>
    <w:p w:rsidR="00CE4CC2" w:rsidRDefault="003A06E5">
      <w:pPr>
        <w:pStyle w:val="FirstParagraph"/>
      </w:pPr>
      <w:r>
        <w:t>CI/CD : GitHub Actions (build, tests, déploiement).</w:t>
      </w:r>
    </w:p>
    <w:p w:rsidR="00CE4CC2" w:rsidRDefault="003A06E5">
      <w:r>
        <w:lastRenderedPageBreak/>
        <w:pict>
          <v:rect id="_x0000_i1036" style="width:0;height:1.5pt" o:hralign="center" o:hrstd="t" o:hr="t"/>
        </w:pic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669280" cy="2283229"/>
            <wp:effectExtent l="0" t="0" r="0" b="0"/>
            <wp:docPr id="1003" name="archi_techniqu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archi_techni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3 — Architecture technique en couches</w:t>
      </w:r>
    </w:p>
    <w:p w:rsidR="00CE4CC2" w:rsidRDefault="003A06E5">
      <w:pPr>
        <w:pStyle w:val="Titre1"/>
      </w:pPr>
      <w:bookmarkStart w:id="92" w:name="Xdaac8a74ee537975771cf100d21a9dd8a0a979a"/>
      <w:bookmarkStart w:id="93" w:name="_Toc232734061"/>
      <w:bookmarkEnd w:id="82"/>
      <w:bookmarkEnd w:id="90"/>
      <w:r>
        <w:t xml:space="preserve">13. Modèle de données de référence (domaine) </w:t>
      </w:r>
      <w:r>
        <w:rPr>
          <w:i/>
          <w:iCs/>
        </w:rPr>
        <w:t>[Décision]</w:t>
      </w:r>
      <w:bookmarkEnd w:id="93"/>
    </w:p>
    <w:p w:rsidR="00CE4CC2" w:rsidRDefault="003A06E5">
      <w:pPr>
        <w:pStyle w:val="FirstParagraph"/>
      </w:pPr>
      <w:r>
        <w:t xml:space="preserve">Modèle conceptuel de haut niveau (les attributs listés sont indicatifs ; l’ERD détaillé relève du livrable de conception). Tables sensibles soumises au </w:t>
      </w:r>
      <w:r>
        <w:rPr>
          <w:b/>
          <w:bCs/>
        </w:rPr>
        <w:t>soft delete</w:t>
      </w:r>
      <w:r>
        <w:t xml:space="preserve"> (</w:t>
      </w:r>
      <w:r>
        <w:rPr>
          <w:rStyle w:val="VerbatimChar"/>
        </w:rPr>
        <w:t>deletedAt</w:t>
      </w:r>
      <w:r>
        <w:t>).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Utilisateur</w:t>
      </w:r>
      <w:r>
        <w:t xml:space="preserve"> </w:t>
      </w:r>
      <w:r>
        <w:rPr>
          <w:i/>
          <w:iCs/>
        </w:rPr>
        <w:t>(id, téléphone, rôle, nom, statut, hasApp, créé/maj/supprimé)</w:t>
      </w:r>
      <w:r>
        <w:t xml:space="preserve"> — spécialisé en </w:t>
      </w:r>
      <w:r>
        <w:rPr>
          <w:b/>
          <w:bCs/>
        </w:rPr>
        <w:t>Client</w:t>
      </w:r>
      <w:r>
        <w:t xml:space="preserve">, </w:t>
      </w:r>
      <w:r>
        <w:rPr>
          <w:b/>
          <w:bCs/>
        </w:rPr>
        <w:t>Livreur</w:t>
      </w:r>
      <w:r>
        <w:t xml:space="preserve">, </w:t>
      </w:r>
      <w:r>
        <w:rPr>
          <w:b/>
          <w:bCs/>
        </w:rPr>
        <w:t>Partenaire</w:t>
      </w:r>
      <w:r>
        <w:t xml:space="preserve">, </w:t>
      </w:r>
      <w:r>
        <w:rPr>
          <w:b/>
          <w:bCs/>
        </w:rPr>
        <w:t>Admin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Livreur</w:t>
      </w:r>
      <w:r>
        <w:t xml:space="preserve"> </w:t>
      </w:r>
      <w:r>
        <w:rPr>
          <w:i/>
          <w:iCs/>
        </w:rPr>
        <w:t>(statutKYC, contratRef, scoreActuel, soldePrimeHebdo, enLigne)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ClientEntreprise</w:t>
      </w:r>
      <w:r>
        <w:t xml:space="preserve"> </w:t>
      </w:r>
      <w:r>
        <w:rPr>
          <w:i/>
          <w:iCs/>
        </w:rPr>
        <w:t>(rccm, palier, plafondCrédit, conditionsRèglement)</w:t>
      </w:r>
      <w:r>
        <w:t xml:space="preserve"> ↔ </w:t>
      </w:r>
      <w:r>
        <w:rPr>
          <w:b/>
          <w:bCs/>
        </w:rPr>
        <w:t>SousCompte</w:t>
      </w:r>
      <w:r>
        <w:t xml:space="preserve"> </w:t>
      </w:r>
      <w:r>
        <w:rPr>
          <w:i/>
          <w:iCs/>
        </w:rPr>
        <w:t>(rôle, plafondDépense)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Adresse</w:t>
      </w:r>
      <w:r>
        <w:t xml:space="preserve"> </w:t>
      </w:r>
      <w:r>
        <w:rPr>
          <w:i/>
          <w:iCs/>
        </w:rPr>
        <w:t>(libellé, repères, latitude, longitude, photoUrl, zone)</w:t>
      </w:r>
      <w:r>
        <w:t xml:space="preserve"> — carnet d’adresses.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Colis</w:t>
      </w:r>
      <w:r>
        <w:t xml:space="preserve"> </w:t>
      </w:r>
      <w:r>
        <w:rPr>
          <w:i/>
          <w:iCs/>
        </w:rPr>
        <w:t>(description, poids, photoUrl, valeurDéclarée?)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Livraison</w:t>
      </w:r>
      <w:r>
        <w:t xml:space="preserve"> </w:t>
      </w:r>
      <w:r>
        <w:rPr>
          <w:i/>
          <w:iCs/>
        </w:rPr>
        <w:t>(type, statut, prixDétail, distance, origine, destination, créneau?, dateProgrammée?, modePaiement, horodatages)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Tronçon</w:t>
      </w:r>
      <w:r>
        <w:t xml:space="preserve"> </w:t>
      </w:r>
      <w:r>
        <w:rPr>
          <w:i/>
          <w:iCs/>
        </w:rPr>
        <w:t>(ordre, origine, destination, statut)</w:t>
      </w:r>
      <w:r>
        <w:t xml:space="preserve"> — pour inter-villes et commande inversée.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Tournée</w:t>
      </w:r>
      <w:r>
        <w:t xml:space="preserve"> </w:t>
      </w:r>
      <w:r>
        <w:rPr>
          <w:i/>
          <w:iCs/>
        </w:rPr>
        <w:t>(livreur, ordreStops, etaParStop, gainEstimé)</w:t>
      </w:r>
      <w:r>
        <w:t xml:space="preserve"> ↔ </w:t>
      </w:r>
      <w:r>
        <w:rPr>
          <w:b/>
          <w:bCs/>
        </w:rPr>
        <w:t>AffectationMission</w:t>
      </w:r>
      <w:r>
        <w:t xml:space="preserve"> </w:t>
      </w:r>
      <w:r>
        <w:rPr>
          <w:i/>
          <w:iCs/>
        </w:rPr>
        <w:t>(livraison, proposéeÀ, acceptée, timeout)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JetonLivraison</w:t>
      </w:r>
      <w:r>
        <w:t xml:space="preserve"> </w:t>
      </w:r>
      <w:r>
        <w:rPr>
          <w:i/>
          <w:iCs/>
        </w:rPr>
        <w:t>(livraisonId, pin, qr, signature, expiration)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PreuveLivraison</w:t>
      </w:r>
      <w:r>
        <w:t xml:space="preserve"> </w:t>
      </w:r>
      <w:r>
        <w:rPr>
          <w:i/>
          <w:iCs/>
        </w:rPr>
        <w:t>(type: photo/otp/jeton/signature, donnée, latitude, longitude, horodatage)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Paiement / Transaction</w:t>
      </w:r>
      <w:r>
        <w:t xml:space="preserve"> </w:t>
      </w:r>
      <w:r>
        <w:rPr>
          <w:i/>
          <w:iCs/>
        </w:rPr>
        <w:t>(montant, mode, statut, fr015MoMo?, preuves[])</w:t>
      </w:r>
      <w:r>
        <w:t xml:space="preserve"> + </w:t>
      </w:r>
      <w:r>
        <w:rPr>
          <w:b/>
          <w:bCs/>
        </w:rPr>
        <w:t>Pourboire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LotRamassage</w:t>
      </w:r>
      <w:r>
        <w:t xml:space="preserve"> </w:t>
      </w:r>
      <w:r>
        <w:rPr>
          <w:i/>
          <w:iCs/>
        </w:rPr>
        <w:t>(structure, jour, heure, statut)</w:t>
      </w:r>
      <w:r>
        <w:t xml:space="preserve"> ↔ </w:t>
      </w:r>
      <w:r>
        <w:rPr>
          <w:b/>
          <w:bCs/>
        </w:rPr>
        <w:t>LigneLot</w:t>
      </w:r>
      <w:r>
        <w:t xml:space="preserve"> </w:t>
      </w:r>
      <w:r>
        <w:rPr>
          <w:i/>
          <w:iCs/>
        </w:rPr>
        <w:t>(commande)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RetraitPartenaire</w:t>
      </w:r>
      <w:r>
        <w:t xml:space="preserve"> </w:t>
      </w:r>
      <w:r>
        <w:rPr>
          <w:i/>
          <w:iCs/>
        </w:rPr>
        <w:t>(partenaire, dateDépôt, dateLimite, prolongations, statut)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Pénalité / Dette</w:t>
      </w:r>
      <w:r>
        <w:t xml:space="preserve"> </w:t>
      </w:r>
      <w:r>
        <w:rPr>
          <w:i/>
          <w:iCs/>
        </w:rPr>
        <w:t>(acteur, motif, montant/points, statut, bloquante)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Évaluation</w:t>
      </w:r>
      <w:r>
        <w:t xml:space="preserve"> </w:t>
      </w:r>
      <w:r>
        <w:rPr>
          <w:i/>
          <w:iCs/>
        </w:rPr>
        <w:t>(émetteur, cible, note, commentaire, sens)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Promotion / CodePromo</w:t>
      </w:r>
      <w:r>
        <w:t xml:space="preserve"> </w:t>
      </w:r>
      <w:r>
        <w:rPr>
          <w:i/>
          <w:iCs/>
        </w:rPr>
        <w:t>(type, valeur, plafond, période)</w:t>
      </w:r>
      <w:r>
        <w:t xml:space="preserve"> + </w:t>
      </w:r>
      <w:r>
        <w:rPr>
          <w:b/>
          <w:bCs/>
        </w:rPr>
        <w:t>Parrainage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Facture</w:t>
      </w:r>
      <w:r>
        <w:t xml:space="preserve"> </w:t>
      </w:r>
      <w:r>
        <w:rPr>
          <w:i/>
          <w:iCs/>
        </w:rPr>
        <w:t>(entreprise, période, lignes[], échéance, statut)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Notification</w:t>
      </w:r>
      <w:r>
        <w:t xml:space="preserve"> </w:t>
      </w:r>
      <w:r>
        <w:rPr>
          <w:i/>
          <w:iCs/>
        </w:rPr>
        <w:t>(canal, modèle, destinataire, statut)</w:t>
      </w:r>
      <w:r>
        <w:t>.</w:t>
      </w:r>
    </w:p>
    <w:p w:rsidR="00CE4CC2" w:rsidRDefault="003A06E5">
      <w:pPr>
        <w:pStyle w:val="Compact"/>
        <w:numPr>
          <w:ilvl w:val="0"/>
          <w:numId w:val="9"/>
        </w:numPr>
      </w:pPr>
      <w:r>
        <w:rPr>
          <w:b/>
          <w:bCs/>
        </w:rPr>
        <w:t>JournalAudit</w:t>
      </w:r>
      <w:r>
        <w:t xml:space="preserve"> </w:t>
      </w:r>
      <w:r>
        <w:rPr>
          <w:i/>
          <w:iCs/>
        </w:rPr>
        <w:t>(acteur, action, horodatage, immuable)</w:t>
      </w:r>
      <w:r>
        <w:t xml:space="preserve"> + </w:t>
      </w:r>
      <w:r>
        <w:rPr>
          <w:b/>
          <w:bCs/>
        </w:rPr>
        <w:t>JournalDécisionIA</w:t>
      </w:r>
      <w:r>
        <w:t xml:space="preserve"> </w:t>
      </w:r>
      <w:r>
        <w:rPr>
          <w:i/>
          <w:iCs/>
        </w:rPr>
        <w:t>(livraison, entrées, sorties, modèleVersion)</w:t>
      </w:r>
      <w:r>
        <w:t>.</w:t>
      </w:r>
    </w:p>
    <w:p w:rsidR="00CE4CC2" w:rsidRDefault="003A06E5">
      <w:r>
        <w:pict>
          <v:rect id="_x0000_i1037" style="width:0;height:1.5pt" o:hralign="center" o:hrstd="t" o:hr="t"/>
        </w:pict>
      </w:r>
    </w:p>
    <w:p xmlns:a="http://schemas.openxmlformats.org/drawingml/2006/main" xmlns:pic="http://schemas.openxmlformats.org/drawingml/2006/picture">
      <w:pPr>
        <w:jc w:val="center"/>
        <w:spacing w:before="160" w:after="40"/>
      </w:pPr>
      <w:r>
        <w:drawing>
          <wp:inline distT="0" distB="0" distL="0" distR="0">
            <wp:extent cx="5852160" cy="2937873"/>
            <wp:effectExtent l="0" t="0" r="0" b="0"/>
            <wp:docPr id="1004" name="cct_mc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cct_m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0"/>
      </w:pPr>
      <w:r>
        <w:rPr>
          <w:i/>
          <w:sz w:val="18"/>
          <w:szCs w:val="18"/>
          <w:color w:val="555555"/>
        </w:rPr>
        <w:t xml:space="preserve">Figure 4 — Modèle conceptuel de données du domaine</w:t>
      </w:r>
    </w:p>
    <w:p w:rsidR="00CE4CC2" w:rsidRDefault="003A06E5">
      <w:pPr>
        <w:pStyle w:val="Titre1"/>
      </w:pPr>
      <w:bookmarkStart w:id="94" w:name="sécurité-multicouche"/>
      <w:bookmarkStart w:id="95" w:name="_Toc232734062"/>
      <w:bookmarkEnd w:id="92"/>
      <w:r>
        <w:t>14. Sécurité multicouche</w:t>
      </w:r>
      <w:bookmarkEnd w:id="95"/>
    </w:p>
    <w:p w:rsidR="00CE4CC2" w:rsidRDefault="003A06E5">
      <w:pPr>
        <w:pStyle w:val="FirstParagraph"/>
      </w:pPr>
      <w:r>
        <w:rPr>
          <w:b/>
          <w:bCs/>
        </w:rPr>
        <w:t>Mobile :</w:t>
      </w:r>
      <w:r>
        <w:t xml:space="preserve"> certificate pinning (anti-MITM) ; détection root/jailbreak (couche dissuasive → désactivation des fonctions sensibles) ; </w:t>
      </w:r>
      <w:r>
        <w:rPr>
          <w:b/>
          <w:bCs/>
        </w:rPr>
        <w:t>détection + masquage</w:t>
      </w:r>
      <w:r>
        <w:t xml:space="preserve"> des captures d’écran sur les écrans paiement/OTP (l’interdiction stricte n’étant pas garantie par iOS) ; chiffrement local SQLCipher (AES-256). </w:t>
      </w:r>
      <w:r>
        <w:rPr>
          <w:b/>
          <w:bCs/>
        </w:rPr>
        <w:t>API :</w:t>
      </w:r>
      <w:r>
        <w:t xml:space="preserve"> rate limiting par IP et par compte ; WAF (injections SQL, XSS, CSRF) ; validation stricte des entrées (class-validator) ; journaux d’audit immuables ; accès SSH par clé uniquement, fail2ban. </w:t>
      </w:r>
      <w:r>
        <w:rPr>
          <w:b/>
          <w:bCs/>
        </w:rPr>
        <w:lastRenderedPageBreak/>
        <w:t>Fichiers/Infra :</w:t>
      </w:r>
      <w:r>
        <w:t xml:space="preserve"> scan ClamAV à chaque upload (photos + fichiers ramassage) ; types acceptés jpg, png, pdf, csv, xlsx (max 10 Mo) ; réseau Docker isolé ; NGINX point d’entrée unique ; tests de pénétration semestriels. </w:t>
      </w:r>
      <w:r>
        <w:rPr>
          <w:b/>
          <w:bCs/>
        </w:rPr>
        <w:t>Authentification :</w:t>
      </w:r>
      <w:r>
        <w:t xml:space="preserve"> privilégier l’approbation </w:t>
      </w:r>
      <w:r>
        <w:rPr>
          <w:b/>
          <w:bCs/>
        </w:rPr>
        <w:t>in-app/push</w:t>
      </w:r>
      <w:r>
        <w:t xml:space="preserve"> ; réserver l’OTP-SMS aux receveurs sans app (l’OTP-SMS étant la forme de 2FA la plus exposée au SIM-swap).</w:t>
      </w:r>
    </w:p>
    <w:p w:rsidR="00CE4CC2" w:rsidRDefault="003A06E5">
      <w:r>
        <w:pict>
          <v:rect id="_x0000_i1038" style="width:0;height:1.5pt" o:hralign="center" o:hrstd="t" o:hr="t"/>
        </w:pict>
      </w:r>
    </w:p>
    <w:p w:rsidR="00CE4CC2" w:rsidRDefault="003A06E5">
      <w:pPr>
        <w:pStyle w:val="Titre1"/>
      </w:pPr>
      <w:bookmarkStart w:id="96" w:name="Xce93f26c8e9b7cfcb6fc610768ec67ab1113d37"/>
      <w:bookmarkStart w:id="97" w:name="_Toc232734063"/>
      <w:bookmarkEnd w:id="94"/>
      <w:r>
        <w:t>15. Cadre juridique, conformité et protection des données</w:t>
      </w:r>
      <w:bookmarkEnd w:id="97"/>
    </w:p>
    <w:p w:rsidR="00CE4CC2" w:rsidRDefault="003A06E5">
      <w:pPr>
        <w:pStyle w:val="Titre2"/>
      </w:pPr>
      <w:bookmarkStart w:id="98" w:name="textes-applicables"/>
      <w:bookmarkStart w:id="99" w:name="_Toc232734064"/>
      <w:r>
        <w:t>15.1 Textes applicables</w:t>
      </w:r>
      <w:bookmarkEnd w:id="99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5"/>
        <w:gridCol w:w="2067"/>
        <w:gridCol w:w="4380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Texte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Domaine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Implications LivrApp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Loi N°2010/012 du 21/12/2010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Cybersécurité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Sécurisation des données, journaux d’audit, responsabilité en cas de violation.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Loi N°2010/021 du 21/12/2010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Commerce électronique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CGU claires, </w:t>
            </w:r>
            <w:r>
              <w:rPr>
                <w:b/>
                <w:bCs/>
              </w:rPr>
              <w:t>valeur probante</w:t>
            </w:r>
            <w:r>
              <w:t xml:space="preserve"> des transactions et signatures électroniques.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Acte uniforme OHADA (droit comptable)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Comptabilité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rPr>
                <w:b/>
                <w:bCs/>
              </w:rPr>
              <w:t>Conservation des pièces comptables (durée légale longue, usuellement 10 ans).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Réglementation BEAC/COBAC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Monnaie électronique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Conformité Mobile Money, plafonds, traçabilité.</w:t>
            </w:r>
          </w:p>
        </w:tc>
      </w:tr>
    </w:tbl>
    <w:p w:rsidR="00CE4CC2" w:rsidRDefault="003A06E5">
      <w:pPr>
        <w:pStyle w:val="Titre2"/>
      </w:pPr>
      <w:bookmarkStart w:id="100" w:name="X71d7e05bbc1d77db37c524cfd324a2716cf9a46"/>
      <w:bookmarkStart w:id="101" w:name="_Toc232734065"/>
      <w:bookmarkEnd w:id="98"/>
      <w:r>
        <w:t xml:space="preserve">15.2 Protection des données et durées de conservation </w:t>
      </w:r>
      <w:r>
        <w:rPr>
          <w:i/>
          <w:iCs/>
        </w:rPr>
        <w:t>[Décision]</w:t>
      </w:r>
      <w:bookmarkEnd w:id="101"/>
    </w:p>
    <w:p w:rsidR="00CE4CC2" w:rsidRDefault="003A06E5">
      <w:pPr>
        <w:pStyle w:val="Compact"/>
        <w:numPr>
          <w:ilvl w:val="0"/>
          <w:numId w:val="10"/>
        </w:numPr>
      </w:pPr>
      <w:r>
        <w:t xml:space="preserve">Consentement explicite (CGU + politique de confidentialité) à l’inscription ; collecte minimale ; droits d’accès, rectification et </w:t>
      </w:r>
      <w:r>
        <w:rPr>
          <w:b/>
          <w:bCs/>
        </w:rPr>
        <w:t>effacement</w:t>
      </w:r>
      <w:r>
        <w:t xml:space="preserve"> depuis le profil.</w:t>
      </w:r>
    </w:p>
    <w:p w:rsidR="00CE4CC2" w:rsidRDefault="003A06E5">
      <w:pPr>
        <w:pStyle w:val="Compact"/>
        <w:numPr>
          <w:ilvl w:val="0"/>
          <w:numId w:val="10"/>
        </w:numPr>
      </w:pPr>
      <w:r>
        <w:t xml:space="preserve">Chiffrement AES-256 au repos, TLS 1.3 en transit. Numéros des receveurs tiers utilisés </w:t>
      </w:r>
      <w:r>
        <w:rPr>
          <w:b/>
          <w:bCs/>
        </w:rPr>
        <w:t>uniquement</w:t>
      </w:r>
      <w:r>
        <w:t xml:space="preserve"> pour la livraison concernée, avec écran de consentement minimal sur la page de suivi.</w:t>
      </w:r>
    </w:p>
    <w:p w:rsidR="00CE4CC2" w:rsidRDefault="003A06E5">
      <w:pPr>
        <w:pStyle w:val="Compact"/>
        <w:numPr>
          <w:ilvl w:val="0"/>
          <w:numId w:val="10"/>
        </w:numPr>
      </w:pPr>
      <w:r>
        <w:rPr>
          <w:b/>
          <w:bCs/>
        </w:rPr>
        <w:t>Durées de conservation :</w:t>
      </w:r>
      <w:r>
        <w:t xml:space="preserve"> données opérationnelles </w:t>
      </w:r>
      <w:r>
        <w:rPr>
          <w:b/>
          <w:bCs/>
        </w:rPr>
        <w:t>3 ans</w:t>
      </w:r>
      <w:r>
        <w:t xml:space="preserve"> ; </w:t>
      </w:r>
      <w:r>
        <w:rPr>
          <w:b/>
          <w:bCs/>
        </w:rPr>
        <w:t>pièces comptables et financières (transactions, factures, preuves de paiement) ~10 ans (OHADA)</w:t>
      </w:r>
      <w:r>
        <w:t xml:space="preserve"> ; </w:t>
      </w:r>
      <w:r>
        <w:rPr>
          <w:b/>
          <w:bCs/>
        </w:rPr>
        <w:t xml:space="preserve">registres de paie </w:t>
      </w:r>
      <w:bookmarkStart w:id="102" w:name="_GoBack"/>
      <w:bookmarkEnd w:id="102"/>
      <w:r>
        <w:t xml:space="preserve">selon la durée légale du travail ; conversations </w:t>
      </w:r>
      <w:r>
        <w:rPr>
          <w:b/>
          <w:bCs/>
        </w:rPr>
        <w:t>1 an</w:t>
      </w:r>
      <w:r>
        <w:t>.</w:t>
      </w:r>
    </w:p>
    <w:p w:rsidR="00CE4CC2" w:rsidRDefault="003A06E5">
      <w:pPr>
        <w:pStyle w:val="Compact"/>
        <w:numPr>
          <w:ilvl w:val="0"/>
          <w:numId w:val="10"/>
        </w:numPr>
      </w:pPr>
      <w:r>
        <w:rPr>
          <w:b/>
          <w:bCs/>
        </w:rPr>
        <w:t>Politique d’effacement :</w:t>
      </w:r>
      <w:r>
        <w:t xml:space="preserve"> sur demande, les </w:t>
      </w:r>
      <w:r>
        <w:rPr>
          <w:b/>
          <w:bCs/>
        </w:rPr>
        <w:t>PII</w:t>
      </w:r>
      <w:r>
        <w:t xml:space="preserve"> sont anonymisées ; les enregistrements légalement obligatoires (comptables, RH) sont </w:t>
      </w:r>
      <w:r>
        <w:rPr>
          <w:b/>
          <w:bCs/>
        </w:rPr>
        <w:t>conservés sous forme anonymisée/pseudonymisée</w:t>
      </w:r>
      <w:r>
        <w:t>. La politique de confidentialité informe l’utilisateur de cette distinction.</w:t>
      </w:r>
    </w:p>
    <w:p w:rsidR="00CE4CC2" w:rsidRDefault="003A06E5">
      <w:pPr>
        <w:pStyle w:val="FirstParagraph"/>
      </w:pPr>
      <w:r>
        <w:rPr>
          <w:i/>
          <w:iCs/>
        </w:rPr>
        <w:t>(Les durées sont indicatives et doivent être confirmées par un conseil juridique avant mise en production.)</w:t>
      </w:r>
    </w:p>
    <w:p w:rsidR="00CE4CC2" w:rsidRDefault="003A06E5">
      <w:r>
        <w:pict>
          <v:rect id="_x0000_i1039" style="width:0;height:1.5pt" o:hralign="center" o:hrstd="t" o:hr="t"/>
        </w:pict>
      </w:r>
    </w:p>
    <w:p w:rsidR="00CE4CC2" w:rsidRDefault="003A06E5">
      <w:pPr>
        <w:pStyle w:val="Titre1"/>
      </w:pPr>
      <w:bookmarkStart w:id="103" w:name="gestion-des-risques-iso-27005"/>
      <w:bookmarkStart w:id="104" w:name="_Toc232734066"/>
      <w:bookmarkEnd w:id="96"/>
      <w:bookmarkEnd w:id="100"/>
      <w:r>
        <w:t>16. Gestion des risques (ISO 27005)</w:t>
      </w:r>
      <w:bookmarkEnd w:id="10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39"/>
        <w:gridCol w:w="1251"/>
        <w:gridCol w:w="1043"/>
        <w:gridCol w:w="430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Risque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Prob.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Mitigation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Coupure </w:t>
              <w:lastRenderedPageBreak/>
              <w:t>réseau/ENEO en mission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Élevée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Offline-first : cache chiffré, GPS + </w:t>
              <w:lastRenderedPageBreak/>
              <w:t>jeton signé sans internet, sync différée.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Indisponibilité API Mobile Money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Repli espèces automatique, notification, retry 5 min.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GPS désactivé en mission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Alerte &gt; 5 min, réassignation + pénalité &gt; 15 min (§9.3).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Tension offline ↔ confirmation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Jeton signé vérifiable hors-ligne ; preuves rapprochées à la synchro (§10.3).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Fraude paiement espèces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Triple traçabilité (photo + montant + jeton/OTP) ; blocage si discordance.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Abandon de mission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Réassignation IA, pénalité −30 pts, procédure RH si récidive.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Faux livreurs (inscription)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KYC obligatoire (pièce + contrat signé), validation manuelle.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Coût services tiers sous-estimé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Moyenne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Hypothèses de volume explicites (§6.3), Mapbox primaire, cache, suivi budgétaire.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Requalification du statut livreur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Élevé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Modèle </w:t>
            </w:r>
            <w:r>
              <w:rPr>
                <w:b/>
                <w:bCs/>
              </w:rPr>
              <w:t>salaire de base + prime</w:t>
            </w:r>
            <w:r>
              <w:t xml:space="preserve"> conforme Code du travail (§11.1).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Violation de données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Très 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AES-256, TLS 1.3, audit, WAF, pen-tests semestriels.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Défaillance serveur (mono-VPS)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SLA aligné (§12.4), backup quotidien, RTO &lt; 4 h ; HA en Phase 2.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Intrusion / cyberattaque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Très 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Critique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WAF, fail2ban, rate limiting, certificate pinning, scan uploads.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Lot ramassage non confirmé à temps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Moyen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Report automatique + bascule manuelle (§9.5).</w:t>
            </w:r>
          </w:p>
        </w:tc>
      </w:tr>
    </w:tbl>
    <w:p w:rsidR="00CE4CC2" w:rsidRDefault="003A06E5">
      <w:r>
        <w:pict>
          <v:rect id="_x0000_i1040" style="width:0;height:1.5pt" o:hralign="center" o:hrstd="t" o:hr="t"/>
        </w:pict>
      </w:r>
    </w:p>
    <w:p w:rsidR="00CE4CC2" w:rsidRDefault="003A06E5">
      <w:pPr>
        <w:pStyle w:val="Titre1"/>
      </w:pPr>
      <w:bookmarkStart w:id="105" w:name="démarche-et-organisation"/>
      <w:bookmarkStart w:id="106" w:name="_Toc232734067"/>
      <w:bookmarkEnd w:id="103"/>
      <w:r>
        <w:t>17. Démarche et organisation</w:t>
      </w:r>
      <w:bookmarkEnd w:id="106"/>
    </w:p>
    <w:p w:rsidR="00CE4CC2" w:rsidRDefault="003A06E5">
      <w:pPr>
        <w:pStyle w:val="Titre2"/>
      </w:pPr>
      <w:bookmarkStart w:id="107" w:name="méthode"/>
      <w:bookmarkStart w:id="108" w:name="_Toc232734068"/>
      <w:r>
        <w:t>17.1 Méthode</w:t>
      </w:r>
      <w:bookmarkEnd w:id="108"/>
    </w:p>
    <w:p w:rsidR="00CE4CC2" w:rsidRDefault="003A06E5">
      <w:pPr>
        <w:pStyle w:val="FirstParagraph"/>
      </w:pPr>
      <w:r>
        <w:rPr>
          <w:b/>
          <w:bCs/>
        </w:rPr>
        <w:t>2TUP + UML 2.x</w:t>
      </w:r>
      <w:r>
        <w:t xml:space="preserve"> ; </w:t>
      </w:r>
      <w:r>
        <w:rPr>
          <w:b/>
          <w:bCs/>
        </w:rPr>
        <w:t>SCRUM</w:t>
      </w:r>
      <w:r>
        <w:t>, sprints de 2 semaines ; tests automatisés (couverture ≥ 70 %) ; revues de code et CI/CD systématiques.</w:t>
      </w:r>
    </w:p>
    <w:p w:rsidR="00CE4CC2" w:rsidRDefault="003A06E5">
      <w:pPr>
        <w:pStyle w:val="Titre2"/>
      </w:pPr>
      <w:bookmarkStart w:id="109" w:name="équipe"/>
      <w:bookmarkStart w:id="110" w:name="_Toc232734069"/>
      <w:bookmarkEnd w:id="107"/>
      <w:r>
        <w:t>17.2 Équipe</w:t>
      </w:r>
      <w:bookmarkEnd w:id="11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83"/>
        <w:gridCol w:w="6359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Responsabilités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Super Admin / Porteur de projet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Vision produit, modèle économique, décisions stratégiques, finances, paramétrage IA.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Co-Admin 1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Exploitation, support clients/livreurs, litiges, partenaires.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Co-Admin 2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Validation KYC, comptes entreprise, monitoring, support escalade.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lastRenderedPageBreak/>
              <w:t>Chef de projet technique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Coordination, planning, CI/CD, revues.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Développeur Backend (×2)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API NestJS, modules métier, tests.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Développeur Frontend Mobile (×2)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Flutter client + livreur, offline-first, intégration API.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Développeur Frontend Web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Next.js (dashboard) + PWA partenaire/receveur.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Ingénieur IA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FastAPI, OR-Tools, ETA, scoring, anomalies GPS, clustering.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Responsable BDD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PostgreSQL/PostGIS, migrations, optimisation, backups.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Responsable QA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Tests, sécurité, documentation OpenAPI.</w:t>
            </w:r>
          </w:p>
        </w:tc>
      </w:tr>
    </w:tbl>
    <w:p w:rsidR="00CE4CC2" w:rsidRDefault="003A06E5">
      <w:r>
        <w:pict>
          <v:rect id="_x0000_i1041" style="width:0;height:1.5pt" o:hralign="center" o:hrstd="t" o:hr="t"/>
        </w:pict>
      </w:r>
    </w:p>
    <w:p w:rsidR="00CE4CC2" w:rsidRDefault="003A06E5">
      <w:pPr>
        <w:pStyle w:val="Titre1"/>
      </w:pPr>
      <w:bookmarkStart w:id="111" w:name="ressources-et-budget-prévisionnel"/>
      <w:bookmarkStart w:id="112" w:name="_Toc232734070"/>
      <w:bookmarkEnd w:id="105"/>
      <w:bookmarkEnd w:id="109"/>
      <w:r>
        <w:t>18. Ressources et budget prévisionnel</w:t>
      </w:r>
      <w:bookmarkEnd w:id="112"/>
    </w:p>
    <w:p w:rsidR="00CE4CC2" w:rsidRDefault="003A06E5">
      <w:pPr>
        <w:pStyle w:val="Titre2"/>
      </w:pPr>
      <w:bookmarkStart w:id="113" w:name="ressources-matérielles-et-logicielles"/>
      <w:bookmarkStart w:id="114" w:name="_Toc232734071"/>
      <w:r>
        <w:t>18.1 Ressources matérielles et logicielles</w:t>
      </w:r>
      <w:bookmarkEnd w:id="114"/>
    </w:p>
    <w:p w:rsidR="00CE4CC2" w:rsidRDefault="003A06E5">
      <w:pPr>
        <w:pStyle w:val="FirstParagraph"/>
      </w:pPr>
      <w:r>
        <w:t>Postes de travail (16 Go RAM recommandé) ; smartphones Android 8+ / iOS 13+ ; connexion ≥ 10 Mbps ; VS Code (+ extensions) ; Git/GitHub Actions ; Docker ; Flutter/Dart, NestJS/TypeScript, Next.js, FastAPI/Python, OR-Tools, Grafana+Loki ; Mapbox (+ Google Maps secours) ; Figma ; ClamAV.</w:t>
      </w:r>
    </w:p>
    <w:p w:rsidR="00CE4CC2" w:rsidRDefault="003A06E5">
      <w:pPr>
        <w:pStyle w:val="Titre2"/>
      </w:pPr>
      <w:bookmarkStart w:id="115" w:name="X1269f84c2baf3581f20fba925b8c628d953c57a"/>
      <w:bookmarkStart w:id="116" w:name="_Toc232734072"/>
      <w:bookmarkEnd w:id="113"/>
      <w:r>
        <w:t xml:space="preserve">18.2 Budget mensuel — </w:t>
      </w:r>
      <w:r>
        <w:rPr>
          <w:i/>
          <w:iCs/>
        </w:rPr>
        <w:t>hypothèse 50–150 livraisons/jour</w:t>
      </w:r>
      <w:r>
        <w:t xml:space="preserve"> </w:t>
      </w:r>
      <w:r>
        <w:rPr>
          <w:i/>
          <w:iCs/>
        </w:rPr>
        <w:t>[Décision]</w:t>
      </w:r>
      <w:bookmarkEnd w:id="11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18"/>
        <w:gridCol w:w="1909"/>
        <w:gridCol w:w="4415"/>
      </w:tblGrid>
      <w:tr w:rsidR="00CE4CC2" w:rsidTr="00CE4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Poste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Estimation MVP (XAF/mois)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Hypothèse / maîtrise des coûts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VPS production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15 000 – 30 000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Mono-VPS Phase 1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Cartographie (Mapbox primaire + Google secours)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5 000 – 20 000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 xml:space="preserve">Mapbox au volume MVP + </w:t>
            </w:r>
            <w:r>
              <w:rPr>
                <w:b/>
                <w:bCs/>
              </w:rPr>
              <w:t>cache des matrices</w:t>
            </w:r>
            <w:r>
              <w:t xml:space="preserve"> ; Google en secours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SMS (OTP non-app + relances)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rPr>
                <w:b/>
                <w:bCs/>
              </w:rPr>
              <w:t>40 000 – 70 000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rPr>
                <w:b/>
                <w:bCs/>
              </w:rPr>
              <w:t>Poste variable principal</w:t>
            </w:r>
            <w:r>
              <w:t xml:space="preserve"> ; agrégateur local, priorité push/in-app/WhatsApp pour réduire le volume SMS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Frais Mobile Money (encaissements + primes)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Variable (selon volume)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Porté au compte de résultat (§11.3)</w:t>
            </w:r>
          </w:p>
        </w:tc>
      </w:tr>
      <w:tr w:rsidR="00CE4CC2"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Stockage distant (Backblaze B2)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Faible</w:t>
            </w:r>
          </w:p>
        </w:tc>
        <w:tc>
          <w:tcPr>
            <w:tcW w:w="0" w:type="auto"/>
          </w:tcPr>
          <w:p w:rsidR="00CE4CC2" w:rsidRDefault="003A06E5">
            <w:pPr>
              <w:pStyle w:val="Compact"/>
            </w:pPr>
            <w:r>
              <w:t>Sauvegardes 30 j</w:t>
            </w:r>
          </w:p>
        </w:tc>
      </w:tr>
    </w:tbl>
    <w:p w:rsidR="00CE4CC2" w:rsidRDefault="003A06E5">
      <w:pPr>
        <w:pStyle w:val="Normalcentr"/>
      </w:pPr>
      <w:r>
        <w:t xml:space="preserve">Les budgets cartographie et SMS de la v1.2 (~3 000 et ~5 000 XAF) sous-estimaient le volume réel ; ils sont ici recalculés et </w:t>
      </w:r>
      <w:r>
        <w:rPr>
          <w:b/>
          <w:bCs/>
        </w:rPr>
        <w:t>dépendent linéairement du volume</w:t>
      </w:r>
      <w:r>
        <w:t>. Le SMS est le premier levier d’optimisation (préférer push/in-app/WhatsApp).</w:t>
      </w:r>
    </w:p>
    <w:p w:rsidR="00CE4CC2" w:rsidRDefault="003A06E5">
      <w:r>
        <w:lastRenderedPageBreak/>
        <w:pict>
          <v:rect id="_x0000_i1042" style="width:0;height:1.5pt" o:hralign="center" o:hrstd="t" o:hr="t"/>
        </w:pict>
      </w:r>
    </w:p>
    <w:p w:rsidR="00CE4CC2" w:rsidRDefault="003A06E5">
      <w:pPr>
        <w:pStyle w:val="Titre1"/>
      </w:pPr>
      <w:bookmarkStart w:id="117" w:name="plan-de-livraison-roadmap"/>
      <w:bookmarkStart w:id="118" w:name="_Toc232734073"/>
      <w:bookmarkEnd w:id="111"/>
      <w:bookmarkEnd w:id="115"/>
      <w:r>
        <w:t>19. Plan de livraison (roadmap)</w:t>
      </w:r>
      <w:bookmarkEnd w:id="118"/>
    </w:p>
    <w:p w:rsidR="00CE4CC2" w:rsidRDefault="003A06E5">
      <w:pPr>
        <w:pStyle w:val="Compact"/>
        <w:numPr>
          <w:ilvl w:val="0"/>
          <w:numId w:val="11"/>
        </w:numPr>
      </w:pPr>
      <w:r>
        <w:rPr>
          <w:b/>
          <w:bCs/>
        </w:rPr>
        <w:t>Phase 1 — MVP (présent CCT)</w:t>
      </w:r>
      <w:r>
        <w:t xml:space="preserve"> : périmètre §5.4 sur mono-VPS, Yaoundé.</w:t>
      </w:r>
    </w:p>
    <w:p w:rsidR="00CE4CC2" w:rsidRDefault="003A06E5">
      <w:pPr>
        <w:pStyle w:val="Compact"/>
        <w:numPr>
          <w:ilvl w:val="0"/>
          <w:numId w:val="11"/>
        </w:numPr>
      </w:pPr>
      <w:r>
        <w:rPr>
          <w:b/>
          <w:bCs/>
        </w:rPr>
        <w:t>Phase 2 — Consolidation</w:t>
      </w:r>
      <w:r>
        <w:t xml:space="preserve"> : haute disponibilité (§12.4) ; </w:t>
      </w:r>
      <w:r>
        <w:rPr>
          <w:b/>
          <w:bCs/>
        </w:rPr>
        <w:t>module Encaissement &amp; Reversement</w:t>
      </w:r>
      <w:r>
        <w:t xml:space="preserve"> (vrai COD marchand, BEAC/COBAC) ; </w:t>
      </w:r>
      <w:r>
        <w:rPr>
          <w:b/>
          <w:bCs/>
        </w:rPr>
        <w:t>livraison inter-villes jusqu’au receveur</w:t>
      </w:r>
      <w:r>
        <w:t xml:space="preserve"> (livreurs locaux en destination) ; </w:t>
      </w:r>
      <w:r>
        <w:rPr>
          <w:b/>
          <w:bCs/>
        </w:rPr>
        <w:t>programme de fidélité</w:t>
      </w:r>
      <w:r>
        <w:t xml:space="preserve"> et </w:t>
      </w:r>
      <w:r>
        <w:rPr>
          <w:b/>
          <w:bCs/>
        </w:rPr>
        <w:t>parrainage avancé</w:t>
      </w:r>
      <w:r>
        <w:t xml:space="preserve"> ; </w:t>
      </w:r>
      <w:r>
        <w:rPr>
          <w:b/>
          <w:bCs/>
        </w:rPr>
        <w:t>assurance colis optionnelle</w:t>
      </w:r>
      <w:r>
        <w:t>.</w:t>
      </w:r>
    </w:p>
    <w:p w:rsidR="00CE4CC2" w:rsidRDefault="003A06E5">
      <w:pPr>
        <w:pStyle w:val="Compact"/>
        <w:numPr>
          <w:ilvl w:val="0"/>
          <w:numId w:val="11"/>
        </w:numPr>
      </w:pPr>
      <w:r>
        <w:rPr>
          <w:b/>
          <w:bCs/>
        </w:rPr>
        <w:t>Phase 3 — Expansion</w:t>
      </w:r>
      <w:r>
        <w:t xml:space="preserve"> : </w:t>
      </w:r>
      <w:r>
        <w:rPr>
          <w:b/>
          <w:bCs/>
        </w:rPr>
        <w:t>mutualisation « livraison de quartier »</w:t>
      </w:r>
      <w:r>
        <w:t xml:space="preserve"> (pooling consommateur via VRP) ; </w:t>
      </w:r>
      <w:r>
        <w:rPr>
          <w:b/>
          <w:bCs/>
        </w:rPr>
        <w:t>mode USSD</w:t>
      </w:r>
      <w:r>
        <w:t xml:space="preserve"> (téléphones non smartphones) ; </w:t>
      </w:r>
      <w:r>
        <w:rPr>
          <w:b/>
          <w:bCs/>
        </w:rPr>
        <w:t>API v2</w:t>
      </w:r>
      <w:r>
        <w:t xml:space="preserve"> ; </w:t>
      </w:r>
      <w:r>
        <w:rPr>
          <w:b/>
          <w:bCs/>
        </w:rPr>
        <w:t>extension multi-villes</w:t>
      </w:r>
      <w:r>
        <w:t xml:space="preserve"> (Douala, puis autres) ; ouverture marketplace aux commerçants partenaires.</w:t>
      </w:r>
    </w:p>
    <w:p w:rsidR="00CE4CC2" w:rsidRDefault="003A06E5">
      <w:r>
        <w:pict>
          <v:rect id="_x0000_i1043" style="width:0;height:1.5pt" o:hralign="center" o:hrstd="t" o:hr="t"/>
        </w:pict>
      </w:r>
    </w:p>
    <w:p w:rsidR="00CE4CC2" w:rsidRDefault="003A06E5">
      <w:pPr>
        <w:pStyle w:val="Titre1"/>
      </w:pPr>
      <w:bookmarkStart w:id="119" w:name="critères-dacceptation-definition-of-done"/>
      <w:bookmarkStart w:id="120" w:name="_Toc232734074"/>
      <w:bookmarkEnd w:id="117"/>
      <w:r>
        <w:t>20. Critères d’acceptation (Definition of Done)</w:t>
      </w:r>
      <w:bookmarkEnd w:id="120"/>
    </w:p>
    <w:p w:rsidR="00CE4CC2" w:rsidRDefault="003A06E5">
      <w:pPr>
        <w:pStyle w:val="FirstParagraph"/>
      </w:pPr>
      <w:r>
        <w:t xml:space="preserve">Une fonctionnalité est « terminée » lorsque : (1) les exigences fonctionnelles associées sont implémentées et conformes aux règles de gestion (§9, §10) ; (2) les tests automatisés passent et la </w:t>
      </w:r>
      <w:r>
        <w:rPr>
          <w:b/>
          <w:bCs/>
        </w:rPr>
        <w:t>couverture ≥ 70 %</w:t>
      </w:r>
      <w:r>
        <w:t xml:space="preserve"> est maintenue ; (3) l’endpoint est documenté dans l’</w:t>
      </w:r>
      <w:r>
        <w:rPr>
          <w:b/>
          <w:bCs/>
        </w:rPr>
        <w:t>OpenAPI</w:t>
      </w:r>
      <w:r>
        <w:t xml:space="preserve"> généré ; (4) les contrôles de sécurité applicables (validation des entrées, autorisations par rôle, journal d’audit) sont en place ; (5) le comportement </w:t>
      </w:r>
      <w:r>
        <w:rPr>
          <w:b/>
          <w:bCs/>
        </w:rPr>
        <w:t>offline</w:t>
      </w:r>
      <w:r>
        <w:t xml:space="preserve"> (le cas échéant) et la </w:t>
      </w:r>
      <w:r>
        <w:rPr>
          <w:b/>
          <w:bCs/>
        </w:rPr>
        <w:t>synchronisation</w:t>
      </w:r>
      <w:r>
        <w:t xml:space="preserve"> sont vérifiés ; (6) la revue de code est validée et la CI est verte.</w:t>
      </w:r>
    </w:p>
    <w:p w:rsidR="00CE4CC2" w:rsidRDefault="003A06E5">
      <w:r>
        <w:pict>
          <v:rect id="_x0000_i1044" style="width:0;height:1.5pt" o:hralign="center" o:hrstd="t" o:hr="t"/>
        </w:pict>
      </w:r>
    </w:p>
    <w:p w:rsidR="00CE4CC2" w:rsidRDefault="003A06E5">
      <w:pPr>
        <w:pStyle w:val="Titre1"/>
      </w:pPr>
      <w:bookmarkStart w:id="121" w:name="annexes"/>
      <w:bookmarkStart w:id="122" w:name="_Toc232734075"/>
      <w:bookmarkEnd w:id="119"/>
      <w:r>
        <w:t>21. Annexes</w:t>
      </w:r>
      <w:bookmarkEnd w:id="122"/>
    </w:p>
    <w:p w:rsidR="00CE4CC2" w:rsidRDefault="003A06E5">
      <w:pPr>
        <w:pStyle w:val="Compact"/>
        <w:numPr>
          <w:ilvl w:val="0"/>
          <w:numId w:val="12"/>
        </w:numPr>
      </w:pPr>
      <w:r>
        <w:rPr>
          <w:b/>
          <w:bCs/>
        </w:rPr>
        <w:t>Annexe A1 — Architecture de déploiement</w:t>
      </w:r>
      <w:r>
        <w:t xml:space="preserve"> (à reprendre depuis la v1.2, mise à jour Mapbox primaire + Phase 1/Phase 2).</w:t>
      </w:r>
    </w:p>
    <w:p w:rsidR="00CE4CC2" w:rsidRDefault="003A06E5">
      <w:pPr>
        <w:pStyle w:val="Compact"/>
        <w:numPr>
          <w:ilvl w:val="0"/>
          <w:numId w:val="12"/>
        </w:numPr>
      </w:pPr>
      <w:r>
        <w:rPr>
          <w:b/>
          <w:bCs/>
        </w:rPr>
        <w:t>Annexe A2 — Flux livraison programmée et système de ramassage</w:t>
      </w:r>
      <w:r>
        <w:t>.</w:t>
      </w:r>
    </w:p>
    <w:p w:rsidR="00CE4CC2" w:rsidRDefault="003A06E5">
      <w:pPr>
        <w:pStyle w:val="Compact"/>
        <w:numPr>
          <w:ilvl w:val="0"/>
          <w:numId w:val="12"/>
        </w:numPr>
      </w:pPr>
      <w:r>
        <w:rPr>
          <w:b/>
          <w:bCs/>
        </w:rPr>
        <w:t>Annexe A3 — Diagramme d’états des livraisons</w:t>
      </w:r>
      <w:r>
        <w:t xml:space="preserve"> (§10) à formaliser en UML.</w:t>
      </w:r>
    </w:p>
    <w:p w:rsidR="00CE4CC2" w:rsidRDefault="003A06E5">
      <w:pPr>
        <w:pStyle w:val="Compact"/>
        <w:numPr>
          <w:ilvl w:val="0"/>
          <w:numId w:val="12"/>
        </w:numPr>
      </w:pPr>
      <w:r>
        <w:rPr>
          <w:b/>
          <w:bCs/>
        </w:rPr>
        <w:t>Annexe A4 — Diagrammes de cas d’utilisation et de séquence système (DSS)</w:t>
      </w:r>
      <w:r>
        <w:t xml:space="preserve"> par module (livrable de conception).</w:t>
      </w:r>
    </w:p>
    <w:p w:rsidR="00CE4CC2" w:rsidRDefault="003A06E5">
      <w:r>
        <w:pict>
          <v:rect id="_x0000_i1045" style="width:0;height:1.5pt" o:hralign="center" o:hrstd="t" o:hr="t"/>
        </w:pict>
      </w:r>
    </w:p>
    <w:p w:rsidR="00CE4CC2" w:rsidRDefault="003A06E5">
      <w:pPr>
        <w:pStyle w:val="FirstParagraph"/>
      </w:pPr>
      <w:r>
        <w:rPr>
          <w:i/>
          <w:iCs/>
        </w:rPr>
        <w:t>— Fin du Cahier des Charges Technique — LivrApp v2.0 —</w:t>
      </w:r>
      <w:bookmarkEnd w:id="121"/>
    </w:p>
    <w:sectPr w:rsidR="00CE4CC2"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F04" w:rsidRDefault="00A22F04">
      <w:pPr>
        <w:spacing w:after="0"/>
      </w:pPr>
      <w:r>
        <w:separator/>
      </w:r>
    </w:p>
  </w:endnote>
  <w:endnote w:type="continuationSeparator" w:id="0">
    <w:p w:rsidR="00A22F04" w:rsidRDefault="00A22F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6E5" w:rsidRDefault="003A06E5">
    <w:pPr>
      <w:pBdr>
        <w:top w:val="single" w:sz="4" w:space="4" w:color="4F81BD"/>
      </w:pBdr>
      <w:tabs>
        <w:tab w:val="center" w:pos="4513"/>
        <w:tab w:val="right" w:pos="9026"/>
      </w:tabs>
      <w:rPr>
        <w:color w:val="808080"/>
        <w:sz w:val="16"/>
      </w:rPr>
    </w:pPr>
    <w:r>
      <w:rPr>
        <w:color w:val="808080"/>
        <w:sz w:val="16"/>
      </w:rPr>
      <w:t>LivrApp — Cahier des Charges Technique v2.0</w:t>
    </w:r>
    <w:r>
      <w:rPr>
        <w:color w:val="808080"/>
        <w:sz w:val="16"/>
      </w:rPr>
      <w:tab/>
    </w:r>
    <w:r>
      <w:rPr>
        <w:color w:val="808080"/>
        <w:sz w:val="16"/>
      </w:rPr>
      <w:tab/>
      <w:t xml:space="preserve">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 w:rsidR="004F36AA">
      <w:rPr>
        <w:noProof/>
        <w:color w:val="808080"/>
        <w:sz w:val="16"/>
      </w:rPr>
      <w:t>22</w: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/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NUMPAGES </w:instrText>
    </w:r>
    <w:r>
      <w:rPr>
        <w:color w:val="808080"/>
        <w:sz w:val="16"/>
      </w:rPr>
      <w:fldChar w:fldCharType="separate"/>
    </w:r>
    <w:r w:rsidR="004F36AA">
      <w:rPr>
        <w:noProof/>
        <w:color w:val="808080"/>
        <w:sz w:val="16"/>
      </w:rPr>
      <w:t>22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F04" w:rsidRDefault="00A22F04">
      <w:r>
        <w:separator/>
      </w:r>
    </w:p>
  </w:footnote>
  <w:footnote w:type="continuationSeparator" w:id="0">
    <w:p w:rsidR="00A22F04" w:rsidRDefault="00A22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199A9F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B9CC42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899ED4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4CC2"/>
    <w:rsid w:val="002C76A6"/>
    <w:rsid w:val="003A06E5"/>
    <w:rsid w:val="004F36AA"/>
    <w:rsid w:val="007D152D"/>
    <w:rsid w:val="00844BD9"/>
    <w:rsid w:val="00A22F04"/>
    <w:rsid w:val="00AA6E38"/>
    <w:rsid w:val="00C40A50"/>
    <w:rsid w:val="00C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Hyperlink" w:uiPriority="99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3A06E5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3A06E5"/>
    <w:pPr>
      <w:spacing w:after="100"/>
      <w:ind w:left="240"/>
    </w:pPr>
  </w:style>
  <w:style w:type="paragraph" w:styleId="Textedebulles">
    <w:name w:val="Balloon Text"/>
    <w:basedOn w:val="Normal"/>
    <w:link w:val="TextedebullesCar"/>
    <w:rsid w:val="003A06E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A06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cct_usecase.png"/><Relationship Id="rId12" Type="http://schemas.openxmlformats.org/officeDocument/2006/relationships/image" Target="media/cct_etats.png"/><Relationship Id="rId13" Type="http://schemas.openxmlformats.org/officeDocument/2006/relationships/image" Target="media/archi_technique.png"/><Relationship Id="rId14" Type="http://schemas.openxmlformats.org/officeDocument/2006/relationships/image" Target="media/cct_mc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22</Pages>
  <Words>7165</Words>
  <Characters>39410</Characters>
  <Application>Microsoft Office Word</Application>
  <DocSecurity>0</DocSecurity>
  <Lines>328</Lines>
  <Paragraphs>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Technique — LivrApp</vt:lpstr>
    </vt:vector>
  </TitlesOfParts>
  <Company/>
  <LinksUpToDate>false</LinksUpToDate>
  <CharactersWithSpaces>46483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Technique — LivrApp</dc:title>
  <dc:creator>Équipe LivrApp — ISI ING3 · Institut Universitaire Saint Jean, Yaoundé</dc:creator>
  <cp:keywords/>
  <cp:lastModifiedBy>MAMADOU  BAKARI</cp:lastModifiedBy>
  <cp:revision>2</cp:revision>
  <dcterms:created xsi:type="dcterms:W3CDTF">2026-06-16T23:53:00Z</dcterms:created>
  <dcterms:modified xsi:type="dcterms:W3CDTF">2026-06-19T05:02:00Z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  <property fmtid="{D5CDD505-2E9C-101B-9397-08002B2CF9AE}" pid="3" name="subtitle">
    <vt:lpwstr>Plateforme intelligente de livraison, mise en relation et optimisation logistique — Version 2.0 (refonte de conception)</vt:lpwstr>
  </property>
</Properties>
</file>