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ISO/IEC 27001:2022 ANNEX A GAP ASSESSMENT</w:t>
      </w:r>
    </w:p>
    <w:p>
      <w:pPr>
        <w:jc w:val="center"/>
      </w:pPr>
      <w:r>
        <w:rPr>
          <w:b/>
          <w:sz w:val="22"/>
        </w:rPr>
        <w:t>Northstar Cloud Analytics Ltd. — Fictional EU SaaS Case Study</w:t>
      </w:r>
    </w:p>
    <w:p>
      <w:r>
        <w:rPr>
          <w:b/>
        </w:rPr>
        <w:t xml:space="preserve">Purpose. </w:t>
      </w:r>
      <w:r>
        <w:t>Portfolio work sample demonstrating a junior GRC analyst approach to an ISO/IEC 27001:2022 control gap assessment, remediation planning and evidence thinking. Northstar Cloud Analytics Ltd. is fictional; all current-state statements are assumed for training/portfolio purposes and are not audit evidence.</w:t>
      </w:r>
    </w:p>
    <w:p>
      <w:r>
        <w:rPr>
          <w:b/>
        </w:rPr>
        <w:t xml:space="preserve">Scope &amp; assumptions. </w:t>
      </w:r>
      <w:r>
        <w:t>Ireland-based B2B SaaS provider; ~85 employees; hybrid workforce; cloud-hosted customer platform; processes customer and employee personal data; uses third-party SaaS and cloud services; no ISO/IEC 27001 certification yet. Assessment covers corporate IT, product engineering, cloud environment, people, suppliers and physical offices.</w:t>
      </w:r>
    </w:p>
    <w:p>
      <w:r>
        <w:rPr>
          <w:b/>
        </w:rPr>
        <w:t xml:space="preserve">Method. </w:t>
      </w:r>
      <w:r>
        <w:t>Each Annex A control was assessed against an assumed evidence baseline and rated Implemented, Partial or Gap. The exercise treats Annex A as a control catalogue to compare against risk treatment; applicability should ultimately be determined through the organization’s risk assessment and Statement of Applicability (SoA), rather than assuming every control is automatically mandatory.</w:t>
      </w:r>
    </w:p>
    <w:p>
      <w:r>
        <w:rPr>
          <w:b/>
        </w:rPr>
        <w:t xml:space="preserve">Standards note. </w:t>
      </w:r>
      <w:r>
        <w:t>ISO/IEC 27001:2022 Annex A contains 93 controls across Organizational (37), People (8), Physical (14) and Technological (34) themes. ISO/IEC guidance explains that controls are used in the context of risk treatment and compared against the Annex A catalogue.</w:t>
      </w:r>
    </w:p>
    <w:p>
      <w:pPr>
        <w:pStyle w:val="Heading1"/>
      </w:pPr>
      <w: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504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504"/>
          </w:tcPr>
          <w:p>
            <w:r>
              <w:t>Controls assessed</w:t>
            </w:r>
          </w:p>
        </w:tc>
        <w:tc>
          <w:tcPr>
            <w:tcW w:type="dxa" w:w="3504"/>
          </w:tcPr>
          <w:p>
            <w:r>
              <w:t>93</w:t>
            </w:r>
          </w:p>
        </w:tc>
        <w:tc>
          <w:tcPr>
            <w:tcW w:type="dxa" w:w="3504"/>
          </w:tcPr>
          <w:p>
            <w:r>
              <w:t>Full Annex A:2022 catalogue reviewed</w:t>
            </w:r>
          </w:p>
        </w:tc>
      </w:tr>
      <w:tr>
        <w:tc>
          <w:tcPr>
            <w:tcW w:type="dxa" w:w="3504"/>
          </w:tcPr>
          <w:p>
            <w:r>
              <w:t>Implemented</w:t>
            </w:r>
          </w:p>
        </w:tc>
        <w:tc>
          <w:tcPr>
            <w:tcW w:type="dxa" w:w="3504"/>
          </w:tcPr>
          <w:p>
            <w:r>
              <w:t>16</w:t>
            </w:r>
          </w:p>
        </w:tc>
        <w:tc>
          <w:tcPr>
            <w:tcW w:type="dxa" w:w="3504"/>
          </w:tcPr>
          <w:p>
            <w:r>
              <w:t>Control evidence assumed to be reasonably established</w:t>
            </w:r>
          </w:p>
        </w:tc>
      </w:tr>
      <w:tr>
        <w:tc>
          <w:tcPr>
            <w:tcW w:type="dxa" w:w="3504"/>
          </w:tcPr>
          <w:p>
            <w:r>
              <w:t>Partial</w:t>
            </w:r>
          </w:p>
        </w:tc>
        <w:tc>
          <w:tcPr>
            <w:tcW w:type="dxa" w:w="3504"/>
          </w:tcPr>
          <w:p>
            <w:r>
              <w:t>61</w:t>
            </w:r>
          </w:p>
        </w:tc>
        <w:tc>
          <w:tcPr>
            <w:tcW w:type="dxa" w:w="3504"/>
          </w:tcPr>
          <w:p>
            <w:r>
              <w:t>Control exists but needs formalization, coverage or evidence</w:t>
            </w:r>
          </w:p>
        </w:tc>
      </w:tr>
      <w:tr>
        <w:tc>
          <w:tcPr>
            <w:tcW w:type="dxa" w:w="3504"/>
          </w:tcPr>
          <w:p>
            <w:r>
              <w:t>Gap</w:t>
            </w:r>
          </w:p>
        </w:tc>
        <w:tc>
          <w:tcPr>
            <w:tcW w:type="dxa" w:w="3504"/>
          </w:tcPr>
          <w:p>
            <w:r>
              <w:t>16</w:t>
            </w:r>
          </w:p>
        </w:tc>
        <w:tc>
          <w:tcPr>
            <w:tcW w:type="dxa" w:w="3504"/>
          </w:tcPr>
          <w:p>
            <w:r>
              <w:t>Material control weakness or missing formal process</w:t>
            </w:r>
          </w:p>
        </w:tc>
      </w:tr>
      <w:tr>
        <w:tc>
          <w:tcPr>
            <w:tcW w:type="dxa" w:w="3504"/>
          </w:tcPr>
          <w:p>
            <w:r>
              <w:t>High-priority remediation items</w:t>
            </w:r>
          </w:p>
        </w:tc>
        <w:tc>
          <w:tcPr>
            <w:tcW w:type="dxa" w:w="3504"/>
          </w:tcPr>
          <w:p>
            <w:r>
              <w:t>43</w:t>
            </w:r>
          </w:p>
        </w:tc>
        <w:tc>
          <w:tcPr>
            <w:tcW w:type="dxa" w:w="3504"/>
          </w:tcPr>
          <w:p>
            <w:r>
              <w:t>Address through risk-based remediation plan</w:t>
            </w:r>
          </w:p>
        </w:tc>
      </w:tr>
    </w:tbl>
    <w:p>
      <w:r>
        <w:rPr>
          <w:b/>
        </w:rPr>
        <w:t xml:space="preserve">Key themes. </w:t>
      </w:r>
      <w:r>
        <w:t>The largest opportunities are ISMS governance, access lifecycle evidence, supplier/cloud assurance, incident preparedness, vulnerability/configuration management, data protection, secure development and control monitoring. The exercise deliberately focuses on evidence and operating effectiveness—not merely whether a policy exists.</w:t>
      </w:r>
    </w:p>
    <w:p>
      <w:pPr>
        <w:pStyle w:val="Heading1"/>
      </w:pPr>
      <w:r>
        <w:t>2. Remediation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Priority actions</w:t>
            </w:r>
          </w:p>
        </w:tc>
        <w:tc>
          <w:tcPr>
            <w:tcW w:type="dxa" w:w="3504"/>
          </w:tcPr>
          <w:p>
            <w:r>
              <w:rPr>
                <w:b/>
              </w:rPr>
              <w:t>Primary owner</w:t>
            </w:r>
          </w:p>
        </w:tc>
      </w:tr>
      <w:tr>
        <w:tc>
          <w:tcPr>
            <w:tcW w:type="dxa" w:w="3504"/>
          </w:tcPr>
          <w:p>
            <w:r>
              <w:t>0–30 days</w:t>
            </w:r>
          </w:p>
        </w:tc>
        <w:tc>
          <w:tcPr>
            <w:tcW w:type="dxa" w:w="3504"/>
          </w:tcPr>
          <w:p>
            <w:r>
              <w:t>Establish ISMS control ownership; approve policy register; build asset/data inventory; define access review cadence; formalize incident severity/escalation; create risk and corrective-action registers; identify high-risk suppliers.</w:t>
            </w:r>
          </w:p>
        </w:tc>
        <w:tc>
          <w:tcPr>
            <w:tcW w:type="dxa" w:w="3504"/>
          </w:tcPr>
          <w:p>
            <w:r>
              <w:t>GRC / Security / IT / HR</w:t>
            </w:r>
          </w:p>
        </w:tc>
      </w:tr>
      <w:tr>
        <w:tc>
          <w:tcPr>
            <w:tcW w:type="dxa" w:w="3504"/>
          </w:tcPr>
          <w:p>
            <w:r>
              <w:t>31–60 days</w:t>
            </w:r>
          </w:p>
        </w:tc>
        <w:tc>
          <w:tcPr>
            <w:tcW w:type="dxa" w:w="3504"/>
          </w:tcPr>
          <w:p>
            <w:r>
              <w:t>Implement supplier security tiering; cloud security baseline; vulnerability SLAs; logging/monitoring standard; cryptography standard; secure SDLC/security requirements; data deletion and test-data rules.</w:t>
            </w:r>
          </w:p>
        </w:tc>
        <w:tc>
          <w:tcPr>
            <w:tcW w:type="dxa" w:w="3504"/>
          </w:tcPr>
          <w:p>
            <w:r>
              <w:t>GRC / Engineering / Procurement</w:t>
            </w:r>
          </w:p>
        </w:tc>
      </w:tr>
      <w:tr>
        <w:tc>
          <w:tcPr>
            <w:tcW w:type="dxa" w:w="3504"/>
          </w:tcPr>
          <w:p>
            <w:r>
              <w:t>61–90 days</w:t>
            </w:r>
          </w:p>
        </w:tc>
        <w:tc>
          <w:tcPr>
            <w:tcW w:type="dxa" w:w="3504"/>
          </w:tcPr>
          <w:p>
            <w:r>
              <w:t>Run access reviews; tabletop incident exercise; backup/restore and resilience tests; internal control testing; evidence collection; management review; close priority gaps and document exceptions.</w:t>
            </w:r>
          </w:p>
        </w:tc>
        <w:tc>
          <w:tcPr>
            <w:tcW w:type="dxa" w:w="3504"/>
          </w:tcPr>
          <w:p>
            <w:r>
              <w:t>GRC / Security / Engineering</w:t>
            </w:r>
          </w:p>
        </w:tc>
      </w:tr>
      <w:tr>
        <w:tc>
          <w:tcPr>
            <w:tcW w:type="dxa" w:w="3504"/>
          </w:tcPr>
          <w:p>
            <w:r>
              <w:t>90–180 days</w:t>
            </w:r>
          </w:p>
        </w:tc>
        <w:tc>
          <w:tcPr>
            <w:tcW w:type="dxa" w:w="3504"/>
          </w:tcPr>
          <w:p>
            <w:r>
              <w:t>Independent review/internal audit; mature SoA; measure control effectiveness; complete corrective actions; prepare certification-readiness evidence pack.</w:t>
            </w:r>
          </w:p>
        </w:tc>
        <w:tc>
          <w:tcPr>
            <w:tcW w:type="dxa" w:w="3504"/>
          </w:tcPr>
          <w:p>
            <w:r>
              <w:t>ISMS Owner / Management</w:t>
            </w:r>
          </w:p>
        </w:tc>
      </w:tr>
    </w:tbl>
    <w:p>
      <w:pPr>
        <w:pStyle w:val="Heading1"/>
      </w:pPr>
      <w:r>
        <w:t>3. Full Annex A Control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b/>
                <w:sz w:val="16"/>
              </w:rPr>
              <w:t>Theme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Control name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Current-state evidence/assumption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Gap / remediation action</w:t>
            </w:r>
          </w:p>
        </w:tc>
        <w:tc>
          <w:tcPr>
            <w:tcW w:type="dxa" w:w="1502"/>
          </w:tcPr>
          <w:p>
            <w:r>
              <w:rPr>
                <w:b/>
                <w:sz w:val="16"/>
              </w:rPr>
              <w:t>Priority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Policies for information security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Core security policy exists but review cadence, policy ownership and evidence of annual management approval are inconsistent.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Formalize policy register, owners, review dates and approval workflow; retain approval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roles and responsibilities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responsibilities are spread across CTO, IT and HR; RACI is not formally maintained.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ISMS RACI and assign control owners; communicate responsibilities.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Segregation of duties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documented SoD matrix for privileged administration, development and approvals.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SoD rules for access, changes, releases and security administration; implement compensating controls where headcount limits separation.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Management responsibilities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Leadership supports security informally but management security responsibilities are not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security responsibilities to leadership governance and management review agenda.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Contact with authorities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maintained list or procedure for regulatory/law-enforcement contacts.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authority contact register and escalation procedure with ownership and review date.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Contact with special interest groups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formal participation or monitored membership in relevant security groups.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sources such as national CERT/CSIRT, industry groups and vendor advisories; document monitoring responsibility.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Threat intelligence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advisories are consumed ad hoc; no documented threat-intelligence process.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sources, collection, analysis, dissemination and action tracking; link relevant intelligence to risk register.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in project management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review is expected for major projects but is not a mandatory project gate.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security/privacy checkpoints, threat/risk assessment and approval criteria to project lifecycle.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Inventory of information and other associated assets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assets and SaaS applications are inventoried, but ownership and data relationships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authoritative asset inventory with owner, classification, system/data relationship and lifecycle status.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Acceptable use of information and other associated assets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Acceptable-use expectations exist in onboarding material but are not consolidated and periodically acknowledged.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Publish acceptable-use policy and obtain periodic acknowledgement.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Return of assets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HR offboarding checklist covers laptops and company equipment.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Retain evidence of asset return and reconcile with asset register during offboarding.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Classification of information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Teams use informal labels such as confidential and public; criteria are not consistently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classification levels, handling rules and examples; map them to business data.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Labelling of information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Classification labels are not consistently applied to documents and repositories.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 practical labelling guidance for documents, repositories and exports.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transfer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transfer is common, but approved channels and exception handling are undocumented.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approved transfer methods, encryption expectations and exception process.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Access control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RBAC is used in core systems, but enterprise access-control policy and periodic review evidence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access-control policy, least-privilege rules, approval workflow and review cadence.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Identity management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Central identity provider is used for most workforce accounts; some SaaS accounts remain decentralized.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Enforce centralized identity lifecycle for all feasible systems and document joiner/mover/leaver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Authentication information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MFA is enabled for key systems, but credential-management requirements are not consistently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Set authentication requirements, secret-handling rules and password-manager expectations.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Access rights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Access reviews occur for critical systems but not on a defined enterprise schedule.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 quarterly privileged/critical access reviews and semiannual broader reviews with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A.5.19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in supplier relationships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is considered for key vendors, but supplier segmentation and minimum requirements vary.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supplier security policy and risk-tiering model.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Addressing information security within supplier agreements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Major contracts include confidentiality/security language, but clauses are not standardized.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minimum security clauses covering incident notification, access, data protection, audit/cooperation and sub-processors.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Managing information security in the ICT supply chain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Sub-supplier and fourth-party risk is not systematically assessed.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Extend supplier risk assessment to material ICT supply-chain dependencies and concentration risks.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Monitoring, review and change management of supplier services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Vendor reviews are mostly annual and risk-based, with limited evidence of continuous monitoring.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review triggers, SLA/security metrics, reassessment and change notification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for use of cloud services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security practices exist, but cloud governance is distributed across engineering.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cloud security standard covering shared responsibility, configuration, IAM, logging, backup and exit.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incident management planning and preparation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Incident response plan exists but exercises and role validation are limited.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incident roles, severity model, communications and conduct at least annual tabletop exercises.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Assessment and decision on information security events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events are triaged by IT/security personnel but decision criteria are informal.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event triage criteria, severity thresholds and escalation workflow.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Response to information security incidents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Technical response procedures exist for common events; business/legal communications are less formalized.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incident playbooks and evidence-preservation/notification steps; exercise them.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Learning from information security incidents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Post-incident reviews happen inconsistently and actions are not centrally tracked.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Introduce mandatory post-incident review, root-cause analysis and corrective-action tracking.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Collection of evidence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Evidence preservation requirements are not documented for investigations.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evidence-handling procedure covering integrity, chain of custody, access and retention.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A.5.29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during disruption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BCP exists, but security requirements during disruption are not explicitly mapped.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security controls, emergency access and communications requirements to continuity plans.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ICT readiness for business continuity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Backups and recovery exist, but RTO/RPO are not consistently validated through testing.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service RTO/RPO, recovery dependencies and test results; track remediation.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Legal, statutory, regulatory and contractual requirements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GDPR and contractual obligations are known, but the obligations register is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Maintain legal/regulatory/contractual obligations register and map obligations to owners and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Intellectual property rights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IP ownership is addressed in employment and customer contracts, but operational guidance is limited.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IP handling, licensing compliance and software/media use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Protection of records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Critical records are retained in business systems, but retention and protection rules differ by function.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record categories, retention, integrity, access and disposal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Privacy and protection of PII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Privacy processes exist under GDPR, but security-control mapping and evidence are fragmented.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Map GDPR privacy requirements to ISMS controls, DPIA triggers, data inventory and evidence owners.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Independent review of information security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formal independent review programme for the ISMS/security control environment.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Establish periodic independent review, scope, findings and management follow-up.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Compliance with policies, rules and standards for information security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Compliance checks are informal and decentralized.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compliance monitoring plan, control tests, exceptions and corrective-action tracking.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A.5.37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Documented operating procedures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IT runbooks exist but coverage and version control vary.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controlled procedure library with owners, versioning, review dates and evidence links.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Screening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Background checks are performed for selected roles, but role criteria and evidence retention are not standardized.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screening requirements by role and jurisdiction; document completion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Terms and conditions of employment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Employment terms include confidentiality and security obligations.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Review annually and ensure contractors receive equivalent obligations.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awareness, education and training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onboarding exists; recurring training and phishing measurement are limited.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 annual security awareness, role-based training and measurable completion/reporting.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Disciplinary process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HR disciplinary process exists but security violations are not explicitly referenced.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documented consequences for security policy violations and escalation responsibilities.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Responsibilities after termination or change of employment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Offboarding revokes core access, but timing and evidence are inconsistent for all systems.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immediate/role-based access revocation SLAs and evidence reconciliation.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Confidentiality or non-disclosure agreements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NDAs/confidentiality clauses are included for employees and relevant contractors.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Maintain contract evidence and review third-party coverage.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Remote working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Remote work is standard, with endpoint controls, but formal remote-working security requirements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Publish remote-working standard covering networks, privacy, devices, physical workspace and incident reporting.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A.6.8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security event reporting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Employees can report incidents through IT channels, but reporting guidance is not consistently visible.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Publish simple reporting procedure and reinforce through awareness training.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Physical security perimeters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access is controlled by building access systems; cloud facilities are provider-managed.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Retain evidence of facility/provider assurance for in-scope hosting.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Physical entry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entry is badge-controlled and visitor access is managed by reception/building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Review visitor and badge procedures periodically.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Securing offices, rooms and facilities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access is controlled, but secure-area expectations for sensitive meetings/equipment are not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secure-area rules and responsibilities for sensitive spaces.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Physical security monitoring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Building CCTV/security monitoring is provided by the landlord, but evidence and responsibility are not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reliance on building controls and retain supplier/facility assurance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Protecting against physical and environmental threats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and hosting facilities rely on building/provider environmental safeguards.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Review hosting provider assurance and business continuity dependencies.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Working in secure areas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defined rules for work in areas designated as secure or restricted.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secure-area working rules, authorization and monitoring.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Clear desk and clear screen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Guidance is provided informally but not formally included in policy/training.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clear desk/screen requirements and periodic awareness reminders.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Equipment siting and protection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Corporate equipment is mainly laptops with standard protective controls; office equipment is managed by IT.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minimum siting/protection expectations.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of assets off-premises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Laptop security is enforced, but off-premises asset handling requirements are not fully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travel, transport, storage and loss-reporting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Storage media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Removable media use is restricted technically in some cases but lifecycle rules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removable-media approval, encryption, storage, transfer and disposal rules.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Supporting utilities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utilities are building-managed; cloud facilities have provider resilience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Retain relevant facility/provider assurance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Cabling security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Office cabling is building-managed and not accessible to general staff.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reliance on building controls where relevant.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Equipment maintenance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IT maintenance is tracked for company devices; maintenance evidence is not centrally linked to assets.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Maintain maintenance records and authorized-service-provider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A.7.14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disposal or re-use of equipment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Devices are wiped before reuse/disposal, but certificates/evidence are not consistently retained.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Formalize sanitization standard, disposal vendor checks and evidence retention.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User endpoint devices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Managed laptops use endpoint protection, encryption and centralized device management.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Continue compliance monitoring and exception handling.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Privileged access rights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Privileged roles use separate admin capabilities in core systems, but review and emergency access controls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 privileged-access register, MFA, JIT where feasible, quarterly review and break-glass monitoring.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access restriction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RBAC exists but some SaaS roles are broader than business need.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Review permissions against job roles and enforce least privilege.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Access to source code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Source repositories are access-controlled and protected by MFA.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Add periodic repository access review and branch-protection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authentication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MFA is required for core systems but coverage is not universal and authentication standards vary.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Set enterprise authentication baseline and close MFA exceptions.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Capacity management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monitoring covers basic resource usage; formal capacity thresholds and forecasting are limited.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capacity metrics, thresholds, ownership and review cadence.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Protection against malware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Managed endpoints use centrally monitored anti-malware/EDR capabilities.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Track coverage and exceptions through security dashboard.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Management of technical vulnerabilities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Vulnerability scanning occurs, but remediation SLAs and risk-based exception handling are inconsistent.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severity-based SLAs, ownership, evidence and risk acceptance workflow.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Configuration management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Infrastructure-as-code and cloud baselines are used, but enterprise configuration standards are not fully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secure configuration baselines and continuous compliance checks.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deletion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Deletion occurs through application processes, but retention/deletion evidence and technical standards are inconsistent.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deletion standards, retention triggers, secure deletion methods and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Data masking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Non-production data may be copied from production for troubleshooting; masking requirements are not formalized.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Prohibit uncontrolled production data in non-production; implement masking/pseudonymization and approval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Data leakage prevention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No documented enterprise DLP control set; sensitive-data exfiltration controls are fragmented.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Perform data-flow risk assessment and implement DLP controls proportionate to risk.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Information backup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Production backups are automated and encrypted with restoration procedures.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Test restores periodically and retain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Redundancy of information processing facilities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services provide redundancy, but application-level dependency mapping and resilience testing are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critical dependencies and test failover/recovery scenarios.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Logging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Central logging exists for key cloud and application systems, but retention and coverage vary.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logging standard, required events, retention, access and review.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Monitoring activities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Monitoring exists for infrastructure and security events, but alert coverage and review responsibilities are not fully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monitoring use cases, alert ownership, escalation and periodic tuning.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Clock synchronization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and managed systems synchronize time through standard services.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baseline and verify exceptions where applicable.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Use of privileged utility programs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Administrative utilities are restricted to IT/engineering, but privileged utility inventory is incomplete.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Maintain privileged utility inventory and restrict use to authorized administrators.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A.8.19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Installation of software on operational systems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Endpoint management restricts software installation, but server/application installation controls vary.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approved software process, allowlisting where appropriate and installation logging.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Networks security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Cloud and corporate networks use firewalls/security groups and secure remote access.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Maintain network diagrams and periodic rule reviews.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of network services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Critical network services use secure protocols, but service security requirements are not centrally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network-service security baseline and provider requirements.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Segregation of networks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Production and development are separated, but some corporate and engineering paths are broad.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Review segmentation, trust boundaries and administrative paths.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Web filtering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Web filtering is not consistently enforced across all managed endpoints.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Assess need based on threat and acceptable-use risk; implement endpoint/DNS filtering where justified.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Use of cryptography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Encryption is widely used but cryptographic standards and key-management responsibilities are not consolidated.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Publish cryptography standard covering approved algorithms, TLS, encryption at rest and key management.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A.8.25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development life cycle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Engineering follows CI/CD practices with some security checks, but SDLC security gates are not formally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Document secure SDLC, security requirements, threat modelling, review and release gates.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A.8.26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Application security requirements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requirements are considered for sensitive features but not consistently captured as acceptance criteria.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application security requirements catalogue and definition-of-done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A.8.27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system architecture and engineering principles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Architecture reviews occur for major changes but security principles are not formally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Publish secure architecture principles and require documented security architecture review for material changes.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Secure coding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Code review and automated scanning are used, but secure coding standards and training are inconsistent.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Adopt secure coding standard, developer training and tracked findings.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A.8.29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Security testing in development and acceptance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SAST/dependency checks are used; DAST and security acceptance criteria are inconsistent.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security testing baseline, pre-release gates and exception handling.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A.8.30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Outsourced development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Some specialist development support is outsourced; security requirements vary by supplier.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Apply supplier development security requirements, access restrictions, code ownership and review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A.8.31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Separation of development, test and production environments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Implemented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Production access is restricted and environments are logically separated.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Continue access reviews and prevent production data reuse without approved controls.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A.8.32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Change management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Ticketed change management exists for production but emergency changes and security impact assessment are not consistently evidenced.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Formalize change categories, approvals, testing, emergency review and rollback evidence.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A.8.33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Test information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Gap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Test data governance is informal and production-derived data may be used in troubleshooting.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Define test-data rules, masking, approvals and deletion after testing.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High</w:t>
            </w:r>
          </w:p>
        </w:tc>
      </w:tr>
      <w:tr>
        <w:tc>
          <w:tcPr>
            <w:tcW w:type="dxa" w:w="1502"/>
            <w:vAlign w:val="top"/>
          </w:tcPr>
          <w:p>
            <w:r>
              <w:rPr>
                <w:sz w:val="15"/>
              </w:rPr>
              <w:t>A.8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A.8.34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Protection of information systems during audit testing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Partial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Audit/security testing is coordinated with engineering, but safeguards for test accounts, scope and production impact are not documented.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Create audit-testing procedure covering authorization, scope, timing, test accounts, data protection and rollback.</w:t>
            </w:r>
          </w:p>
        </w:tc>
        <w:tc>
          <w:tcPr>
            <w:tcW w:type="dxa" w:w="1502"/>
            <w:vAlign w:val="top"/>
          </w:tcPr>
          <w:p>
            <w:r>
              <w:rPr>
                <w:sz w:val="15"/>
              </w:rPr>
              <w:t>Medium</w:t>
            </w:r>
          </w:p>
        </w:tc>
      </w:tr>
    </w:tbl>
    <w:p>
      <w:pPr>
        <w:pStyle w:val="Heading1"/>
      </w:pPr>
      <w:r>
        <w:t>4. Corrective Action / Evidence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ID</w:t>
            </w:r>
          </w:p>
        </w:tc>
        <w:tc>
          <w:tcPr>
            <w:tcW w:type="dxa" w:w="1752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1752"/>
          </w:tcPr>
          <w:p>
            <w:r>
              <w:rPr>
                <w:b/>
              </w:rPr>
              <w:t>Related Controls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Target Evidence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1752"/>
          </w:tcPr>
          <w:p>
            <w:r>
              <w:t>CA-01</w:t>
            </w:r>
          </w:p>
        </w:tc>
        <w:tc>
          <w:tcPr>
            <w:tcW w:type="dxa" w:w="1752"/>
          </w:tcPr>
          <w:p>
            <w:r>
              <w:t>ISMS governance pack</w:t>
            </w:r>
          </w:p>
        </w:tc>
        <w:tc>
          <w:tcPr>
            <w:tcW w:type="dxa" w:w="1752"/>
          </w:tcPr>
          <w:p>
            <w:r>
              <w:t>A.5.1–A.5.4, A.5.35–A.5.37</w:t>
            </w:r>
          </w:p>
        </w:tc>
        <w:tc>
          <w:tcPr>
            <w:tcW w:type="dxa" w:w="1752"/>
          </w:tcPr>
          <w:p>
            <w:r>
              <w:t>Policy register, RACI, management review minutes, control-test schedule, procedure index.</w:t>
            </w:r>
          </w:p>
        </w:tc>
        <w:tc>
          <w:tcPr>
            <w:tcW w:type="dxa" w:w="1752"/>
          </w:tcPr>
          <w:p>
            <w:r>
              <w:t>ISMS Manager</w:t>
            </w:r>
          </w:p>
        </w:tc>
        <w:tc>
          <w:tcPr>
            <w:tcW w:type="dxa" w:w="1752"/>
          </w:tcPr>
          <w:p>
            <w:r>
              <w:t>30 days</w:t>
            </w:r>
          </w:p>
        </w:tc>
      </w:tr>
      <w:tr>
        <w:tc>
          <w:tcPr>
            <w:tcW w:type="dxa" w:w="1752"/>
          </w:tcPr>
          <w:p>
            <w:r>
              <w:t>CA-02</w:t>
            </w:r>
          </w:p>
        </w:tc>
        <w:tc>
          <w:tcPr>
            <w:tcW w:type="dxa" w:w="1752"/>
          </w:tcPr>
          <w:p>
            <w:r>
              <w:t>Asset, data &amp; access governance</w:t>
            </w:r>
          </w:p>
        </w:tc>
        <w:tc>
          <w:tcPr>
            <w:tcW w:type="dxa" w:w="1752"/>
          </w:tcPr>
          <w:p>
            <w:r>
              <w:t>A.5.9, A.5.12–A.5.18, A.8.2–A.8.5</w:t>
            </w:r>
          </w:p>
        </w:tc>
        <w:tc>
          <w:tcPr>
            <w:tcW w:type="dxa" w:w="1752"/>
          </w:tcPr>
          <w:p>
            <w:r>
              <w:t>Asset inventory, data classification, joiner/mover/leaver evidence, access review records, privileged-access register.</w:t>
            </w:r>
          </w:p>
        </w:tc>
        <w:tc>
          <w:tcPr>
            <w:tcW w:type="dxa" w:w="1752"/>
          </w:tcPr>
          <w:p>
            <w:r>
              <w:t>IT / GRC</w:t>
            </w:r>
          </w:p>
        </w:tc>
        <w:tc>
          <w:tcPr>
            <w:tcW w:type="dxa" w:w="1752"/>
          </w:tcPr>
          <w:p>
            <w:r>
              <w:t>60 days</w:t>
            </w:r>
          </w:p>
        </w:tc>
      </w:tr>
      <w:tr>
        <w:tc>
          <w:tcPr>
            <w:tcW w:type="dxa" w:w="1752"/>
          </w:tcPr>
          <w:p>
            <w:r>
              <w:t>CA-03</w:t>
            </w:r>
          </w:p>
        </w:tc>
        <w:tc>
          <w:tcPr>
            <w:tcW w:type="dxa" w:w="1752"/>
          </w:tcPr>
          <w:p>
            <w:r>
              <w:t>Supplier &amp; cloud assurance</w:t>
            </w:r>
          </w:p>
        </w:tc>
        <w:tc>
          <w:tcPr>
            <w:tcW w:type="dxa" w:w="1752"/>
          </w:tcPr>
          <w:p>
            <w:r>
              <w:t>A.5.19–A.5.23</w:t>
            </w:r>
          </w:p>
        </w:tc>
        <w:tc>
          <w:tcPr>
            <w:tcW w:type="dxa" w:w="1752"/>
          </w:tcPr>
          <w:p>
            <w:r>
              <w:t>Supplier tiering, security questionnaires, contract clauses, cloud security baseline, annual reviews.</w:t>
            </w:r>
          </w:p>
        </w:tc>
        <w:tc>
          <w:tcPr>
            <w:tcW w:type="dxa" w:w="1752"/>
          </w:tcPr>
          <w:p>
            <w:r>
              <w:t>Procurement / Security</w:t>
            </w:r>
          </w:p>
        </w:tc>
        <w:tc>
          <w:tcPr>
            <w:tcW w:type="dxa" w:w="1752"/>
          </w:tcPr>
          <w:p>
            <w:r>
              <w:t>60 days</w:t>
            </w:r>
          </w:p>
        </w:tc>
      </w:tr>
      <w:tr>
        <w:tc>
          <w:tcPr>
            <w:tcW w:type="dxa" w:w="1752"/>
          </w:tcPr>
          <w:p>
            <w:r>
              <w:t>CA-04</w:t>
            </w:r>
          </w:p>
        </w:tc>
        <w:tc>
          <w:tcPr>
            <w:tcW w:type="dxa" w:w="1752"/>
          </w:tcPr>
          <w:p>
            <w:r>
              <w:t>Incident &amp; continuity readiness</w:t>
            </w:r>
          </w:p>
        </w:tc>
        <w:tc>
          <w:tcPr>
            <w:tcW w:type="dxa" w:w="1752"/>
          </w:tcPr>
          <w:p>
            <w:r>
              <w:t>A.5.24–A.5.30</w:t>
            </w:r>
          </w:p>
        </w:tc>
        <w:tc>
          <w:tcPr>
            <w:tcW w:type="dxa" w:w="1752"/>
          </w:tcPr>
          <w:p>
            <w:r>
              <w:t>IR plan, playbooks, tabletop results, evidence procedure, RTO/RPO, recovery test results.</w:t>
            </w:r>
          </w:p>
        </w:tc>
        <w:tc>
          <w:tcPr>
            <w:tcW w:type="dxa" w:w="1752"/>
          </w:tcPr>
          <w:p>
            <w:r>
              <w:t>Security / IT</w:t>
            </w:r>
          </w:p>
        </w:tc>
        <w:tc>
          <w:tcPr>
            <w:tcW w:type="dxa" w:w="1752"/>
          </w:tcPr>
          <w:p>
            <w:r>
              <w:t>90 days</w:t>
            </w:r>
          </w:p>
        </w:tc>
      </w:tr>
      <w:tr>
        <w:tc>
          <w:tcPr>
            <w:tcW w:type="dxa" w:w="1752"/>
          </w:tcPr>
          <w:p>
            <w:r>
              <w:t>CA-05</w:t>
            </w:r>
          </w:p>
        </w:tc>
        <w:tc>
          <w:tcPr>
            <w:tcW w:type="dxa" w:w="1752"/>
          </w:tcPr>
          <w:p>
            <w:r>
              <w:t>Privacy &amp; data lifecycle</w:t>
            </w:r>
          </w:p>
        </w:tc>
        <w:tc>
          <w:tcPr>
            <w:tcW w:type="dxa" w:w="1752"/>
          </w:tcPr>
          <w:p>
            <w:r>
              <w:t>A.5.31–A.5.34, A.8.10–A.8.12, A.8.33</w:t>
            </w:r>
          </w:p>
        </w:tc>
        <w:tc>
          <w:tcPr>
            <w:tcW w:type="dxa" w:w="1752"/>
          </w:tcPr>
          <w:p>
            <w:r>
              <w:t>Obligations register, data inventory, retention schedule, deletion evidence, masking/test-data standard, DLP risk assessment.</w:t>
            </w:r>
          </w:p>
        </w:tc>
        <w:tc>
          <w:tcPr>
            <w:tcW w:type="dxa" w:w="1752"/>
          </w:tcPr>
          <w:p>
            <w:r>
              <w:t>GRC / Privacy / Engineering</w:t>
            </w:r>
          </w:p>
        </w:tc>
        <w:tc>
          <w:tcPr>
            <w:tcW w:type="dxa" w:w="1752"/>
          </w:tcPr>
          <w:p>
            <w:r>
              <w:t>90 days</w:t>
            </w:r>
          </w:p>
        </w:tc>
      </w:tr>
      <w:tr>
        <w:tc>
          <w:tcPr>
            <w:tcW w:type="dxa" w:w="1752"/>
          </w:tcPr>
          <w:p>
            <w:r>
              <w:t>CA-06</w:t>
            </w:r>
          </w:p>
        </w:tc>
        <w:tc>
          <w:tcPr>
            <w:tcW w:type="dxa" w:w="1752"/>
          </w:tcPr>
          <w:p>
            <w:r>
              <w:t>Technical security baseline</w:t>
            </w:r>
          </w:p>
        </w:tc>
        <w:tc>
          <w:tcPr>
            <w:tcW w:type="dxa" w:w="1752"/>
          </w:tcPr>
          <w:p>
            <w:r>
              <w:t>A.8.6–A.8.24</w:t>
            </w:r>
          </w:p>
        </w:tc>
        <w:tc>
          <w:tcPr>
            <w:tcW w:type="dxa" w:w="1752"/>
          </w:tcPr>
          <w:p>
            <w:r>
              <w:t>Vulnerability SLA dashboard, secure configuration baseline, logging standard, monitoring use cases, crypto standard, network review evidence.</w:t>
            </w:r>
          </w:p>
        </w:tc>
        <w:tc>
          <w:tcPr>
            <w:tcW w:type="dxa" w:w="1752"/>
          </w:tcPr>
          <w:p>
            <w:r>
              <w:t>Security / Engineering</w:t>
            </w:r>
          </w:p>
        </w:tc>
        <w:tc>
          <w:tcPr>
            <w:tcW w:type="dxa" w:w="1752"/>
          </w:tcPr>
          <w:p>
            <w:r>
              <w:t>90 days</w:t>
            </w:r>
          </w:p>
        </w:tc>
      </w:tr>
      <w:tr>
        <w:tc>
          <w:tcPr>
            <w:tcW w:type="dxa" w:w="1752"/>
          </w:tcPr>
          <w:p>
            <w:r>
              <w:t>CA-07</w:t>
            </w:r>
          </w:p>
        </w:tc>
        <w:tc>
          <w:tcPr>
            <w:tcW w:type="dxa" w:w="1752"/>
          </w:tcPr>
          <w:p>
            <w:r>
              <w:t>Secure development</w:t>
            </w:r>
          </w:p>
        </w:tc>
        <w:tc>
          <w:tcPr>
            <w:tcW w:type="dxa" w:w="1752"/>
          </w:tcPr>
          <w:p>
            <w:r>
              <w:t>A.8.25–A.8.32</w:t>
            </w:r>
          </w:p>
        </w:tc>
        <w:tc>
          <w:tcPr>
            <w:tcW w:type="dxa" w:w="1752"/>
          </w:tcPr>
          <w:p>
            <w:r>
              <w:t>Secure SDLC, application security requirements, architecture review template, coding standard, SAST/DAST evidence, supplier-development controls, change records.</w:t>
            </w:r>
          </w:p>
        </w:tc>
        <w:tc>
          <w:tcPr>
            <w:tcW w:type="dxa" w:w="1752"/>
          </w:tcPr>
          <w:p>
            <w:r>
              <w:t>Engineering / Security</w:t>
            </w:r>
          </w:p>
        </w:tc>
        <w:tc>
          <w:tcPr>
            <w:tcW w:type="dxa" w:w="1752"/>
          </w:tcPr>
          <w:p>
            <w:r>
              <w:t>90 days</w:t>
            </w:r>
          </w:p>
        </w:tc>
      </w:tr>
      <w:tr>
        <w:tc>
          <w:tcPr>
            <w:tcW w:type="dxa" w:w="1752"/>
          </w:tcPr>
          <w:p>
            <w:r>
              <w:t>CA-08</w:t>
            </w:r>
          </w:p>
        </w:tc>
        <w:tc>
          <w:tcPr>
            <w:tcW w:type="dxa" w:w="1752"/>
          </w:tcPr>
          <w:p>
            <w:r>
              <w:t>Independent assurance</w:t>
            </w:r>
          </w:p>
        </w:tc>
        <w:tc>
          <w:tcPr>
            <w:tcW w:type="dxa" w:w="1752"/>
          </w:tcPr>
          <w:p>
            <w:r>
              <w:t>A.5.35–A.5.36, A.8.34</w:t>
            </w:r>
          </w:p>
        </w:tc>
        <w:tc>
          <w:tcPr>
            <w:tcW w:type="dxa" w:w="1752"/>
          </w:tcPr>
          <w:p>
            <w:r>
              <w:t>Internal/independent review plan, sampled control tests, findings, corrective actions, audit-testing safeguards.</w:t>
            </w:r>
          </w:p>
        </w:tc>
        <w:tc>
          <w:tcPr>
            <w:tcW w:type="dxa" w:w="1752"/>
          </w:tcPr>
          <w:p>
            <w:r>
              <w:t>GRC / Internal Audit</w:t>
            </w:r>
          </w:p>
        </w:tc>
        <w:tc>
          <w:tcPr>
            <w:tcW w:type="dxa" w:w="1752"/>
          </w:tcPr>
          <w:p>
            <w:r>
              <w:t>180 days</w:t>
            </w:r>
          </w:p>
        </w:tc>
      </w:tr>
    </w:tbl>
    <w:p>
      <w:pPr>
        <w:pStyle w:val="Heading1"/>
      </w:pPr>
      <w:r>
        <w:t>5. Portfolio / Interview Talking Points</w:t>
      </w:r>
    </w:p>
    <w:p>
      <w:pPr>
        <w:pStyle w:val="ListBullet"/>
      </w:pPr>
      <w:r>
        <w:t>I assessed all 93 ISO/IEC 27001:2022 Annex A controls against a defined fictional SaaS environment and documented assumptions rather than presenting assumptions as audit evidence.</w:t>
      </w:r>
    </w:p>
    <w:p>
      <w:pPr>
        <w:pStyle w:val="ListBullet"/>
      </w:pPr>
      <w:r>
        <w:t>I separated current state, gap, remediation action, priority and evidence—mirroring how a GRC control register can support remediation tracking.</w:t>
      </w:r>
    </w:p>
    <w:p>
      <w:pPr>
        <w:pStyle w:val="ListBullet"/>
      </w:pPr>
      <w:r>
        <w:t>I treated Annex A as a risk-informed control catalogue and noted that the final applicability decision belongs in the organization’s risk assessment and Statement of Applicability.</w:t>
      </w:r>
    </w:p>
    <w:p>
      <w:pPr>
        <w:pStyle w:val="ListBullet"/>
      </w:pPr>
      <w:r>
        <w:t>I translated control gaps into practical remediation workstreams: governance, access, suppliers/cloud, incident readiness, privacy/data lifecycle, technical baseline, secure development and assurance.</w:t>
      </w:r>
    </w:p>
    <w:p>
      <w:pPr>
        <w:pStyle w:val="ListBullet"/>
      </w:pPr>
      <w:r>
        <w:t>For a real engagement, the next step would be evidence validation through interviews, document review, sampling, configuration evidence and control-owner sign-off.</w:t>
      </w:r>
    </w:p>
    <w:p>
      <w:pPr>
        <w:pStyle w:val="Heading1"/>
      </w:pPr>
      <w:r>
        <w:t>6. Reference Notes</w:t>
      </w:r>
    </w:p>
    <w:p>
      <w:pPr>
        <w:pStyle w:val="ListBullet"/>
      </w:pPr>
      <w:r>
        <w:t>ISO/IEC 27001:2022 / ISO/IEC 27002:2022 — Annex A contains 93 controls grouped into four themes. ISO/IEC JTC 1/SC 27 auditing-practice guidance explains the risk-treatment and Annex A comparison approach.</w:t>
      </w:r>
    </w:p>
    <w:p>
      <w:pPr>
        <w:pStyle w:val="ListBullet"/>
      </w:pPr>
      <w:r>
        <w:t>Advisera, “ISO 27001 Annex A: The Comprehensive Guide to 93 Controls” — used to cross-check the 93 control identifiers and titles.</w:t>
      </w:r>
    </w:p>
    <w:p>
      <w:pPr>
        <w:pStyle w:val="ListBullet"/>
      </w:pPr>
      <w:r>
        <w:t>Advisera, “ISO 27001 controls” — used to cross-check the 37/8/14/34 control distribution and Annex A applicability explanation.</w:t>
      </w:r>
    </w:p>
    <w:p>
      <w:r>
        <w:rPr>
          <w:b/>
        </w:rPr>
        <w:t xml:space="preserve">Portfolio disclaimer: </w:t>
      </w:r>
      <w:r>
        <w:t>This is a fictional case study created for skills demonstration. It is not an ISO/IEC 27001 certification audit, conformity assessment or statement that Northstar Cloud Analytics Ltd. is a real organization.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