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Wesley de Oliveira de Jesus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074.805.646-78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31996988786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Rua Francisco Bicalho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2352 LJ 17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Caicara-Adelaide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BH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Dermografo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Dermocamp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Sharp 300 Pro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MS80534640001-PK209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Prata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Caixa, fonte, carregador,  cabo alimentação, cartucho aberto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11/05/2026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Varias deformações grip e tampa supeior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Maquina não liga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manutenção preventiva: LIMP, REG. E LUB.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295,60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295,60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 TÉCNICO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caneta foi testada com fonte e cabo da assistência técnica, porém não ligou. Verificou-se que o conector P2 macho não encaixa completamente no conector P2 fêmea da caneta.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Foram identificados riscos, marcas de uso e deformações no grip e na região próxima ao conector de alimentação, indicando possível queda ou impacto.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ELÉTRICOS E MECÂNICOS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O cabo de alimentação do cliente está com a ponta do terminal positivo quebrada. O fragmento permaneceu alojado dentro do conector P2 fêmea da caneta, impedindo o encaixe correto de outros cabos.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A fonte apresenta emenda no cabo de alimentação, provavelmente para aumento de comprimento. Esse tipo de modificação não é recomendada, pois pode causar queda de tensão, aumento de resistência elétrica e aquecimento, comprometendo o desempenho da fonte.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Após alimentação direta pelos terminais do motor, foi identificado consumo elevado de corrente: aproximadamente 190 mA com cartuchos Easy Click, enquanto o normal seria entre 60 mA e 110 mA.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Durante a análise, verificou-se que a mola de retorno do pistão está aumentando a carga mecânica do sistema, causando maior consumo e travamentos. Sem a mola, os travamentos cessam, porém o consumo permanece elevado, em torno de 160 mA.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Foi identificada contaminação interna por tinta, fator que pode aumentar ruído, atrito, consumo elétrico e desgaste das escovas do motor, além de comprometer a lubrificação do sistema.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2.5 O motor apresenta folgas radiais e axiais no eixo. As escovas permanecem íntegras, sem sinais de quebra ou desgaste crítico.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3.1Desmontagem completa da caneta e remoção do fragmento metálico alojado no conector de alimentação.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Limpeza completa da máquina;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Aplicação de lubrificante adequado para sistema Swash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Regulagem e ajustes técnicos visando: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Redução do consumo elétrico;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Melhor desempenho mecânico;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Maior vida útil do motor e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o serviço, o cliente receberá orientações técnicas sobre uso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 técnica: R$ 51,90. Em caso de aprovação do orçamento, o valor será abatido do total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dias corridos da conclusão do reparo ou da não aprovação do orçamento, s caneta e remoção do fragmento metálico alojado no interior do conector de alimentação.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dias a partir da data de emissão.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Selecione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R$ 295,60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R$ 295,60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R$ 295,60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11/05/2026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11/05/2026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13:59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1113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