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cnq7o7xt7vxw" w:id="0"/>
      <w:bookmarkEnd w:id="0"/>
      <w:r w:rsidDel="00000000" w:rsidR="00000000" w:rsidRPr="00000000">
        <w:rPr>
          <w:rtl w:val="0"/>
        </w:rPr>
        <w:t xml:space="preserve">Données de spectrométrie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Le dossier “csv” contient les données de spectrométrie de masse.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Chaque ligne représente un pic. Pour chaque pic, il y a deux informations (une par colonne):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le rapport m/z (masse / charge) du pic 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l’intensité du pic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Toutes les espèces sont des espèces actuelles. Leur provenance n’est pas connue.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s1, s2, s3… : réplicats.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XXX : espèce inconnue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rPr/>
      </w:pPr>
      <w:bookmarkStart w:colFirst="0" w:colLast="0" w:name="_y325zjx78uhy" w:id="1"/>
      <w:bookmarkEnd w:id="1"/>
      <w:r w:rsidDel="00000000" w:rsidR="00000000" w:rsidRPr="00000000">
        <w:rPr>
          <w:rtl w:val="0"/>
        </w:rPr>
        <w:t xml:space="preserve">Tables de features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Les tables de feature ont été obtenues via MetaboAnalyst, avec les paramètres suivants :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mass tolerance (mzwid) 0.019 : </w:t>
      </w:r>
      <w:r w:rsidDel="00000000" w:rsidR="00000000" w:rsidRPr="00000000">
        <w:rPr>
          <w:color w:val="666666"/>
          <w:rtl w:val="0"/>
        </w:rPr>
        <w:t xml:space="preserve">width of overlapping m/z slices to use for creating peak density chromatograms and grouping peaks across samples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minfrac 0 : </w:t>
      </w:r>
      <w:r w:rsidDel="00000000" w:rsidR="00000000" w:rsidRPr="00000000">
        <w:rPr>
          <w:color w:val="666666"/>
          <w:rtl w:val="0"/>
        </w:rPr>
        <w:t xml:space="preserve">minimum fraction of samples necessary in at least one of the sample groups for it to be a valid group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Le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tableau suivant</w:t>
        </w:r>
      </w:hyperlink>
      <w:r w:rsidDel="00000000" w:rsidR="00000000" w:rsidRPr="00000000">
        <w:rPr>
          <w:rtl w:val="0"/>
        </w:rPr>
        <w:t xml:space="preserve"> contient les intensités brutes.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Dans le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tableau suivant</w:t>
        </w:r>
      </w:hyperlink>
      <w:r w:rsidDel="00000000" w:rsidR="00000000" w:rsidRPr="00000000">
        <w:rPr>
          <w:rtl w:val="0"/>
        </w:rPr>
        <w:t xml:space="preserve">, toutes les valeurs non nulles d’intensités ont été remplacées par 1.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Dans le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tableau suivant</w:t>
        </w:r>
      </w:hyperlink>
      <w:r w:rsidDel="00000000" w:rsidR="00000000" w:rsidRPr="00000000">
        <w:rPr>
          <w:rtl w:val="0"/>
        </w:rPr>
        <w:t xml:space="preserve">, chaque valeur d’intensité a été divisée par la valeur de l’intensité maximale de l’échantillon, de sorte que pour chaque échantillon, le pic majoritaire a toujours une valeur de 1.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Le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même tableau</w:t>
        </w:r>
      </w:hyperlink>
      <w:r w:rsidDel="00000000" w:rsidR="00000000" w:rsidRPr="00000000">
        <w:rPr>
          <w:rtl w:val="0"/>
        </w:rPr>
        <w:t xml:space="preserve"> avec une mise en forme conditionnelle sur les valeurs d’intensité permet de visualiser facilement les features communes ou au contraire différentes entre espèces.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rPr/>
      </w:pPr>
      <w:bookmarkStart w:colFirst="0" w:colLast="0" w:name="_bh7ralybprbw" w:id="2"/>
      <w:bookmarkEnd w:id="2"/>
      <w:r w:rsidDel="00000000" w:rsidR="00000000" w:rsidRPr="00000000">
        <w:rPr>
          <w:rtl w:val="0"/>
        </w:rPr>
        <w:t xml:space="preserve">Phylogénie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Le jeu de données contient des données de spectrométrie de 29 espèces actuelles (voir fichier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espèces actuelles</w:t>
        </w:r>
      </w:hyperlink>
      <w:r w:rsidDel="00000000" w:rsidR="00000000" w:rsidRPr="00000000">
        <w:rPr>
          <w:rtl w:val="0"/>
        </w:rPr>
        <w:t xml:space="preserve"> pour le détail).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rPr/>
      </w:pPr>
      <w:bookmarkStart w:colFirst="0" w:colLast="0" w:name="_hg0e3e4besif" w:id="3"/>
      <w:bookmarkEnd w:id="3"/>
      <w:r w:rsidDel="00000000" w:rsidR="00000000" w:rsidRPr="00000000">
        <w:rPr>
          <w:rtl w:val="0"/>
        </w:rPr>
        <w:t xml:space="preserve">COL1A1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Parmi les 29 espèces, nous disposons de la séquence de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COL1A1</w:t>
        </w:r>
      </w:hyperlink>
      <w:r w:rsidDel="00000000" w:rsidR="00000000" w:rsidRPr="00000000">
        <w:rPr>
          <w:rtl w:val="0"/>
        </w:rPr>
        <w:t xml:space="preserve"> pour 21 espèces (ou d’une espèce proche ou représentative).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Nous ne possédons aucune séquence de poisson pour COL1A1.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Voir onglet “NCBI_data” du fichier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espèces actuelles</w:t>
        </w:r>
      </w:hyperlink>
      <w:r w:rsidDel="00000000" w:rsidR="00000000" w:rsidRPr="00000000">
        <w:rPr>
          <w:rtl w:val="0"/>
        </w:rPr>
        <w:t xml:space="preserve"> pour le détail.</w:t>
        <w:br w:type="textWrapping"/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Un alignement multiple de ces séquences a été réalisé avec Muscle ainsi que l’arbre phylogénétique correspondant (algorithme Neighbour Joining), en supprimant les séquences de l’autruche et du pigeon, qui ne semblent pas de bonne qualité.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Voir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ici</w:t>
        </w:r>
      </w:hyperlink>
      <w:r w:rsidDel="00000000" w:rsidR="00000000" w:rsidRPr="00000000">
        <w:rPr>
          <w:rtl w:val="0"/>
        </w:rPr>
        <w:t xml:space="preserve"> l’alignement multiple entre les séquences disponibles de collagène.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5457825" cy="46291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4629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rPr/>
      </w:pPr>
      <w:bookmarkStart w:colFirst="0" w:colLast="0" w:name="_r6ffpkrwdof2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rPr/>
      </w:pPr>
      <w:bookmarkStart w:colFirst="0" w:colLast="0" w:name="_wh5e0yi4702c" w:id="5"/>
      <w:bookmarkEnd w:id="5"/>
      <w:r w:rsidDel="00000000" w:rsidR="00000000" w:rsidRPr="00000000">
        <w:rPr>
          <w:rtl w:val="0"/>
        </w:rPr>
        <w:t xml:space="preserve">COL1A2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Parmi les 29 espèces, nous disposons de la séquence de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COL1A2</w:t>
        </w:r>
      </w:hyperlink>
      <w:r w:rsidDel="00000000" w:rsidR="00000000" w:rsidRPr="00000000">
        <w:rPr>
          <w:rtl w:val="0"/>
        </w:rPr>
        <w:t xml:space="preserve"> pour 19 espèces (ou d’une espèce proche ou représentative).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A défaut de séquences chez le thon, nous avons inclus la séquence de Danio rerio pour les poissons.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Voir onglet “NCBI_data” du fichier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espèces actuelles</w:t>
        </w:r>
      </w:hyperlink>
      <w:r w:rsidDel="00000000" w:rsidR="00000000" w:rsidRPr="00000000">
        <w:rPr>
          <w:rtl w:val="0"/>
        </w:rPr>
        <w:t xml:space="preserve"> pour le détail.</w:t>
        <w:br w:type="textWrapping"/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Un alignement multiple de ces séquences a été réalisé avec Muscle ainsi que l’arbre phylogénétique correspondant (algorithme Neighbour Joining).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Voir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ici</w:t>
        </w:r>
      </w:hyperlink>
      <w:r w:rsidDel="00000000" w:rsidR="00000000" w:rsidRPr="00000000">
        <w:rPr>
          <w:rtl w:val="0"/>
        </w:rPr>
        <w:t xml:space="preserve"> l’alignement multiple entre les séquences disponibles de collagène.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/>
        <w:drawing>
          <wp:inline distB="114300" distT="114300" distL="114300" distR="114300">
            <wp:extent cx="5600700" cy="49053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4905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color w:val="073763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color w:val="0b5394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3d85c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lineRule="auto"/>
      <w:jc w:val="center"/>
    </w:pPr>
    <w:rPr>
      <w:color w:val="0000ff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rive.google.com/file/d/1g8cob_dSu8rVlAmSIErHM_ODCOWRcKoh/view?usp=sharing" TargetMode="External"/><Relationship Id="rId10" Type="http://schemas.openxmlformats.org/officeDocument/2006/relationships/hyperlink" Target="https://docs.google.com/spreadsheets/d/1e4qObRFHSEUhJybHW6xrQaBCaurulapQ/edit?usp=sharing&amp;ouid=114062525516244985806&amp;rtpof=true&amp;sd=true" TargetMode="External"/><Relationship Id="rId13" Type="http://schemas.openxmlformats.org/officeDocument/2006/relationships/hyperlink" Target="https://drive.google.com/file/d/19P8W-DqPGBWBxztNYiQYPK7tOg5IPV_R/view?usp=sharing" TargetMode="External"/><Relationship Id="rId12" Type="http://schemas.openxmlformats.org/officeDocument/2006/relationships/hyperlink" Target="https://docs.google.com/spreadsheets/d/1e4qObRFHSEUhJybHW6xrQaBCaurulapQ/edit?usp=sharing&amp;ouid=114062525516244985806&amp;rtpof=true&amp;sd=tru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spreadsheets/d/1GkpkI0ZANdG9C95LKr02XplFk_Lfr1jYKB8ByTq16WM/edit?usp=sharing" TargetMode="External"/><Relationship Id="rId15" Type="http://schemas.openxmlformats.org/officeDocument/2006/relationships/hyperlink" Target="https://drive.google.com/file/d/1QU9v3yq5lbBkMv6BtMTnzwiTO1TwM5g_/view?usp=sharing" TargetMode="External"/><Relationship Id="rId14" Type="http://schemas.openxmlformats.org/officeDocument/2006/relationships/image" Target="media/image2.png"/><Relationship Id="rId17" Type="http://schemas.openxmlformats.org/officeDocument/2006/relationships/hyperlink" Target="https://drive.google.com/file/d/11YBeR2452gAm4NzLT48VxZuEzhV7v_65/view?usp=sharing" TargetMode="External"/><Relationship Id="rId16" Type="http://schemas.openxmlformats.org/officeDocument/2006/relationships/hyperlink" Target="https://docs.google.com/spreadsheets/d/1e4qObRFHSEUhJybHW6xrQaBCaurulapQ/edit?usp=sharing&amp;ouid=114062525516244985806&amp;rtpof=true&amp;sd=true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n-8wio_rIPmZ6Y-YGWM6AevxkPP6_N4w/view?usp=sharing" TargetMode="External"/><Relationship Id="rId18" Type="http://schemas.openxmlformats.org/officeDocument/2006/relationships/image" Target="media/image1.png"/><Relationship Id="rId7" Type="http://schemas.openxmlformats.org/officeDocument/2006/relationships/hyperlink" Target="https://drive.google.com/file/d/10oTU-qi7ri2ebTo3E570VhQgZ3tS1pCo/view?usp=sharing" TargetMode="External"/><Relationship Id="rId8" Type="http://schemas.openxmlformats.org/officeDocument/2006/relationships/hyperlink" Target="https://drive.google.com/file/d/1Bz3mkmXUWKE96v7ZJKPJooZxoPC7CxPD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