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8AB8" w14:textId="77777777" w:rsidR="00FB583D" w:rsidRPr="00225714" w:rsidRDefault="00FB583D" w:rsidP="00FB583D">
      <w:pPr>
        <w:jc w:val="both"/>
        <w:rPr>
          <w:rFonts w:ascii="Bookman Old Style" w:hAnsi="Bookman Old Style"/>
          <w:b/>
          <w:bCs/>
          <w:sz w:val="26"/>
          <w:szCs w:val="26"/>
        </w:rPr>
      </w:pPr>
      <w:r w:rsidRPr="00225714">
        <w:rPr>
          <w:rFonts w:ascii="Bookman Old Style" w:hAnsi="Bookman Old Style"/>
          <w:b/>
          <w:bCs/>
          <w:sz w:val="26"/>
          <w:szCs w:val="26"/>
        </w:rPr>
        <w:t>Alignement avec la Catégorie de Problème : "Gouvernance et Gestion du Système Éducatif"</w:t>
      </w:r>
    </w:p>
    <w:p w14:paraId="2CB0768F" w14:textId="77777777" w:rsidR="00FB583D" w:rsidRPr="00225714" w:rsidRDefault="00FB583D" w:rsidP="00FB583D">
      <w:pPr>
        <w:numPr>
          <w:ilvl w:val="0"/>
          <w:numId w:val="1"/>
        </w:numPr>
        <w:jc w:val="both"/>
        <w:rPr>
          <w:rFonts w:ascii="Bookman Old Style" w:hAnsi="Bookman Old Style"/>
          <w:sz w:val="26"/>
          <w:szCs w:val="26"/>
        </w:rPr>
      </w:pPr>
      <w:r w:rsidRPr="00225714">
        <w:rPr>
          <w:rFonts w:ascii="Bookman Old Style" w:hAnsi="Bookman Old Style"/>
          <w:b/>
          <w:bCs/>
          <w:sz w:val="26"/>
          <w:szCs w:val="26"/>
        </w:rPr>
        <w:t>Problème Spécifique ciblé :</w:t>
      </w:r>
      <w:r w:rsidRPr="00225714">
        <w:rPr>
          <w:rFonts w:ascii="Bookman Old Style" w:hAnsi="Bookman Old Style"/>
          <w:sz w:val="26"/>
          <w:szCs w:val="26"/>
        </w:rPr>
        <w:t xml:space="preserve"> La </w:t>
      </w:r>
      <w:r w:rsidRPr="00225714">
        <w:rPr>
          <w:rFonts w:ascii="Bookman Old Style" w:hAnsi="Bookman Old Style"/>
          <w:b/>
          <w:bCs/>
          <w:sz w:val="26"/>
          <w:szCs w:val="26"/>
        </w:rPr>
        <w:t>planification inefficace et réactive des infrastructures scolaires</w:t>
      </w:r>
      <w:r w:rsidRPr="00225714">
        <w:rPr>
          <w:rFonts w:ascii="Bookman Old Style" w:hAnsi="Bookman Old Style"/>
          <w:sz w:val="26"/>
          <w:szCs w:val="26"/>
        </w:rPr>
        <w:t xml:space="preserve"> (qui mène à un manque d'infrastructures ou à des infrastructures mal réparties) est une lacune majeure de la gestion. Cela se traduit par la </w:t>
      </w:r>
      <w:r w:rsidRPr="00225714">
        <w:rPr>
          <w:rFonts w:ascii="Bookman Old Style" w:hAnsi="Bookman Old Style"/>
          <w:b/>
          <w:bCs/>
          <w:sz w:val="26"/>
          <w:szCs w:val="26"/>
        </w:rPr>
        <w:t>surpopulation des classes</w:t>
      </w:r>
      <w:r w:rsidRPr="00225714">
        <w:rPr>
          <w:rFonts w:ascii="Bookman Old Style" w:hAnsi="Bookman Old Style"/>
          <w:sz w:val="26"/>
          <w:szCs w:val="26"/>
        </w:rPr>
        <w:t xml:space="preserve">, le </w:t>
      </w:r>
      <w:r w:rsidRPr="00225714">
        <w:rPr>
          <w:rFonts w:ascii="Bookman Old Style" w:hAnsi="Bookman Old Style"/>
          <w:b/>
          <w:bCs/>
          <w:sz w:val="26"/>
          <w:szCs w:val="26"/>
        </w:rPr>
        <w:t>manque de salles de classe</w:t>
      </w:r>
      <w:r w:rsidRPr="00225714">
        <w:rPr>
          <w:rFonts w:ascii="Bookman Old Style" w:hAnsi="Bookman Old Style"/>
          <w:sz w:val="26"/>
          <w:szCs w:val="26"/>
        </w:rPr>
        <w:t xml:space="preserve"> dans les zones à forte croissance démographique, et des </w:t>
      </w:r>
      <w:r w:rsidRPr="00225714">
        <w:rPr>
          <w:rFonts w:ascii="Bookman Old Style" w:hAnsi="Bookman Old Style"/>
          <w:b/>
          <w:bCs/>
          <w:sz w:val="26"/>
          <w:szCs w:val="26"/>
        </w:rPr>
        <w:t>dépenses inefficaces</w:t>
      </w:r>
      <w:r w:rsidRPr="00225714">
        <w:rPr>
          <w:rFonts w:ascii="Bookman Old Style" w:hAnsi="Bookman Old Style"/>
          <w:sz w:val="26"/>
          <w:szCs w:val="26"/>
        </w:rPr>
        <w:t xml:space="preserve"> car les constructions ne sont pas toujours faites là où le besoin est le plus pressant ou anticipé.</w:t>
      </w:r>
    </w:p>
    <w:p w14:paraId="08C10AE5" w14:textId="77777777" w:rsidR="00FB583D" w:rsidRPr="00225714" w:rsidRDefault="00FB583D" w:rsidP="00FB583D">
      <w:pPr>
        <w:numPr>
          <w:ilvl w:val="0"/>
          <w:numId w:val="1"/>
        </w:numPr>
        <w:jc w:val="both"/>
        <w:rPr>
          <w:rFonts w:ascii="Bookman Old Style" w:hAnsi="Bookman Old Style"/>
          <w:sz w:val="26"/>
          <w:szCs w:val="26"/>
        </w:rPr>
      </w:pPr>
      <w:r w:rsidRPr="00225714">
        <w:rPr>
          <w:rFonts w:ascii="Bookman Old Style" w:hAnsi="Bookman Old Style"/>
          <w:b/>
          <w:bCs/>
          <w:sz w:val="26"/>
          <w:szCs w:val="26"/>
        </w:rPr>
        <w:t>Stratégie d'Affrontement visée :</w:t>
      </w:r>
      <w:r w:rsidRPr="00225714">
        <w:rPr>
          <w:rFonts w:ascii="Bookman Old Style" w:hAnsi="Bookman Old Style"/>
          <w:sz w:val="26"/>
          <w:szCs w:val="26"/>
        </w:rPr>
        <w:t xml:space="preserve"> Le Plan Quinquennal insiste sur la </w:t>
      </w:r>
      <w:r w:rsidRPr="00225714">
        <w:rPr>
          <w:rFonts w:ascii="Bookman Old Style" w:hAnsi="Bookman Old Style"/>
          <w:b/>
          <w:bCs/>
          <w:sz w:val="26"/>
          <w:szCs w:val="26"/>
        </w:rPr>
        <w:t>"Modernisation du système éducatif"</w:t>
      </w:r>
      <w:r w:rsidRPr="00225714">
        <w:rPr>
          <w:rFonts w:ascii="Bookman Old Style" w:hAnsi="Bookman Old Style"/>
          <w:sz w:val="26"/>
          <w:szCs w:val="26"/>
        </w:rPr>
        <w:t xml:space="preserve"> par l'</w:t>
      </w:r>
      <w:r w:rsidRPr="00225714">
        <w:rPr>
          <w:rFonts w:ascii="Bookman Old Style" w:hAnsi="Bookman Old Style"/>
          <w:b/>
          <w:bCs/>
          <w:sz w:val="26"/>
          <w:szCs w:val="26"/>
        </w:rPr>
        <w:t>"intégration des TIC"</w:t>
      </w:r>
      <w:r w:rsidRPr="00225714">
        <w:rPr>
          <w:rFonts w:ascii="Bookman Old Style" w:hAnsi="Bookman Old Style"/>
          <w:sz w:val="26"/>
          <w:szCs w:val="26"/>
        </w:rPr>
        <w:t xml:space="preserve"> et la </w:t>
      </w:r>
      <w:r w:rsidRPr="00225714">
        <w:rPr>
          <w:rFonts w:ascii="Bookman Old Style" w:hAnsi="Bookman Old Style"/>
          <w:b/>
          <w:bCs/>
          <w:sz w:val="26"/>
          <w:szCs w:val="26"/>
        </w:rPr>
        <w:t>"rationalisation de la gestion administrative"</w:t>
      </w:r>
      <w:r w:rsidRPr="00225714">
        <w:rPr>
          <w:rFonts w:ascii="Bookman Old Style" w:hAnsi="Bookman Old Style"/>
          <w:sz w:val="26"/>
          <w:szCs w:val="26"/>
        </w:rPr>
        <w:t>. Le SIPBIS est l'incarnation même de cette stratégie. Il utilise une technologie de pointe (IA) pour rationaliser la planification, la rendre plus scientifique et moins subjective.</w:t>
      </w:r>
    </w:p>
    <w:p w14:paraId="70CB967B" w14:textId="77777777" w:rsidR="00FB583D" w:rsidRPr="00225714" w:rsidRDefault="00FB583D" w:rsidP="00FB583D">
      <w:pPr>
        <w:numPr>
          <w:ilvl w:val="0"/>
          <w:numId w:val="1"/>
        </w:numPr>
        <w:jc w:val="both"/>
        <w:rPr>
          <w:rFonts w:ascii="Bookman Old Style" w:hAnsi="Bookman Old Style"/>
          <w:sz w:val="26"/>
          <w:szCs w:val="26"/>
        </w:rPr>
      </w:pPr>
      <w:r w:rsidRPr="00225714">
        <w:rPr>
          <w:rFonts w:ascii="Bookman Old Style" w:hAnsi="Bookman Old Style"/>
          <w:b/>
          <w:bCs/>
          <w:sz w:val="26"/>
          <w:szCs w:val="26"/>
        </w:rPr>
        <w:t>Comment le SIPBIS est SMART ici :</w:t>
      </w:r>
      <w:r w:rsidRPr="00225714">
        <w:rPr>
          <w:rFonts w:ascii="Bookman Old Style" w:hAnsi="Bookman Old Style"/>
          <w:sz w:val="26"/>
          <w:szCs w:val="26"/>
        </w:rPr>
        <w:t xml:space="preserve"> </w:t>
      </w:r>
    </w:p>
    <w:p w14:paraId="4D58DBBA" w14:textId="77777777" w:rsidR="00FB583D" w:rsidRPr="00225714" w:rsidRDefault="00FB583D" w:rsidP="00FB583D">
      <w:pPr>
        <w:numPr>
          <w:ilvl w:val="1"/>
          <w:numId w:val="1"/>
        </w:numPr>
        <w:jc w:val="both"/>
        <w:rPr>
          <w:rFonts w:ascii="Bookman Old Style" w:hAnsi="Bookman Old Style"/>
          <w:sz w:val="26"/>
          <w:szCs w:val="26"/>
        </w:rPr>
      </w:pPr>
      <w:r w:rsidRPr="00225714">
        <w:rPr>
          <w:rFonts w:ascii="Bookman Old Style" w:hAnsi="Bookman Old Style"/>
          <w:b/>
          <w:bCs/>
          <w:sz w:val="26"/>
          <w:szCs w:val="26"/>
        </w:rPr>
        <w:t>S (Spécifique) :</w:t>
      </w:r>
      <w:r w:rsidRPr="00225714">
        <w:rPr>
          <w:rFonts w:ascii="Bookman Old Style" w:hAnsi="Bookman Old Style"/>
          <w:sz w:val="26"/>
          <w:szCs w:val="26"/>
        </w:rPr>
        <w:t xml:space="preserve"> Le projet cible précisément l'amélioration de la planification des infrastructures.</w:t>
      </w:r>
    </w:p>
    <w:p w14:paraId="64F24FE6" w14:textId="77777777" w:rsidR="00FB583D" w:rsidRPr="00225714" w:rsidRDefault="00FB583D" w:rsidP="00FB583D">
      <w:pPr>
        <w:numPr>
          <w:ilvl w:val="1"/>
          <w:numId w:val="1"/>
        </w:numPr>
        <w:jc w:val="both"/>
        <w:rPr>
          <w:rFonts w:ascii="Bookman Old Style" w:hAnsi="Bookman Old Style"/>
          <w:sz w:val="26"/>
          <w:szCs w:val="26"/>
        </w:rPr>
      </w:pPr>
      <w:r w:rsidRPr="00225714">
        <w:rPr>
          <w:rFonts w:ascii="Bookman Old Style" w:hAnsi="Bookman Old Style"/>
          <w:b/>
          <w:bCs/>
          <w:sz w:val="26"/>
          <w:szCs w:val="26"/>
        </w:rPr>
        <w:t>M (Mesurable) :</w:t>
      </w:r>
      <w:r w:rsidRPr="00225714">
        <w:rPr>
          <w:rFonts w:ascii="Bookman Old Style" w:hAnsi="Bookman Old Style"/>
          <w:sz w:val="26"/>
          <w:szCs w:val="26"/>
        </w:rPr>
        <w:t xml:space="preserve"> On peut mesurer la précision des prévisions, la réduction des écarts entre besoins et capacités, et l'optimisation des budgets alloués aux infrastructures.</w:t>
      </w:r>
    </w:p>
    <w:p w14:paraId="3EF028E2" w14:textId="77777777" w:rsidR="00FB583D" w:rsidRPr="00225714" w:rsidRDefault="00FB583D" w:rsidP="00FB583D">
      <w:pPr>
        <w:numPr>
          <w:ilvl w:val="1"/>
          <w:numId w:val="1"/>
        </w:numPr>
        <w:jc w:val="both"/>
        <w:rPr>
          <w:rFonts w:ascii="Bookman Old Style" w:hAnsi="Bookman Old Style"/>
          <w:sz w:val="26"/>
          <w:szCs w:val="26"/>
        </w:rPr>
      </w:pPr>
      <w:r w:rsidRPr="00225714">
        <w:rPr>
          <w:rFonts w:ascii="Bookman Old Style" w:hAnsi="Bookman Old Style"/>
          <w:sz w:val="26"/>
          <w:szCs w:val="26"/>
        </w:rPr>
        <w:t>**</w:t>
      </w:r>
      <w:r w:rsidRPr="00225714">
        <w:rPr>
          <w:rFonts w:ascii="Bookman Old Style" w:hAnsi="Bookman Old Style"/>
          <w:b/>
          <w:bCs/>
          <w:sz w:val="26"/>
          <w:szCs w:val="26"/>
        </w:rPr>
        <w:t>A (Atteignable) :</w:t>
      </w:r>
      <w:r w:rsidRPr="00225714">
        <w:rPr>
          <w:rFonts w:ascii="Bookman Old Style" w:hAnsi="Bookman Old Style"/>
          <w:sz w:val="26"/>
          <w:szCs w:val="26"/>
        </w:rPr>
        <w:t xml:space="preserve"> L'IA et les outils de données géospatiales sont disponibles. Des partenariats techniques peuvent concrétiser le projet.</w:t>
      </w:r>
    </w:p>
    <w:p w14:paraId="1E5D4962" w14:textId="77777777" w:rsidR="00FB583D" w:rsidRPr="00225714" w:rsidRDefault="00FB583D" w:rsidP="00FB583D">
      <w:pPr>
        <w:numPr>
          <w:ilvl w:val="1"/>
          <w:numId w:val="1"/>
        </w:numPr>
        <w:jc w:val="both"/>
        <w:rPr>
          <w:rFonts w:ascii="Bookman Old Style" w:hAnsi="Bookman Old Style"/>
          <w:sz w:val="26"/>
          <w:szCs w:val="26"/>
        </w:rPr>
      </w:pPr>
      <w:r w:rsidRPr="00225714">
        <w:rPr>
          <w:rFonts w:ascii="Bookman Old Style" w:hAnsi="Bookman Old Style"/>
          <w:b/>
          <w:bCs/>
          <w:sz w:val="26"/>
          <w:szCs w:val="26"/>
        </w:rPr>
        <w:t>R (Réaliste) :</w:t>
      </w:r>
      <w:r w:rsidRPr="00225714">
        <w:rPr>
          <w:rFonts w:ascii="Bookman Old Style" w:hAnsi="Bookman Old Style"/>
          <w:sz w:val="26"/>
          <w:szCs w:val="26"/>
        </w:rPr>
        <w:t xml:space="preserve"> C'est un investissement important, mais il promet des économies substantielles et une efficacité accrue à long terme par rapport aux méthodes actuelles.</w:t>
      </w:r>
    </w:p>
    <w:p w14:paraId="7BD501ED" w14:textId="77777777" w:rsidR="00FB583D" w:rsidRPr="00225714" w:rsidRDefault="00FB583D" w:rsidP="00FB583D">
      <w:pPr>
        <w:numPr>
          <w:ilvl w:val="1"/>
          <w:numId w:val="1"/>
        </w:numPr>
        <w:jc w:val="both"/>
        <w:rPr>
          <w:rFonts w:ascii="Bookman Old Style" w:hAnsi="Bookman Old Style"/>
          <w:sz w:val="26"/>
          <w:szCs w:val="26"/>
        </w:rPr>
      </w:pPr>
      <w:r w:rsidRPr="00225714">
        <w:rPr>
          <w:rFonts w:ascii="Bookman Old Style" w:hAnsi="Bookman Old Style"/>
          <w:b/>
          <w:bCs/>
          <w:sz w:val="26"/>
          <w:szCs w:val="26"/>
        </w:rPr>
        <w:t>T (Temporellement défini) :</w:t>
      </w:r>
      <w:r w:rsidRPr="00225714">
        <w:rPr>
          <w:rFonts w:ascii="Bookman Old Style" w:hAnsi="Bookman Old Style"/>
          <w:sz w:val="26"/>
          <w:szCs w:val="26"/>
        </w:rPr>
        <w:t xml:space="preserve"> Le projet a des jalons clairs pour son développement et son déploiement.</w:t>
      </w:r>
    </w:p>
    <w:p w14:paraId="35B7CC52" w14:textId="77777777" w:rsidR="00FB583D" w:rsidRPr="00225714" w:rsidRDefault="00FB583D" w:rsidP="00FB583D">
      <w:pPr>
        <w:jc w:val="both"/>
        <w:rPr>
          <w:rFonts w:ascii="Bookman Old Style" w:hAnsi="Bookman Old Style"/>
          <w:b/>
          <w:bCs/>
          <w:sz w:val="26"/>
          <w:szCs w:val="26"/>
        </w:rPr>
      </w:pPr>
      <w:r w:rsidRPr="00225714">
        <w:rPr>
          <w:rFonts w:ascii="Bookman Old Style" w:hAnsi="Bookman Old Style"/>
          <w:b/>
          <w:bCs/>
          <w:sz w:val="26"/>
          <w:szCs w:val="26"/>
        </w:rPr>
        <w:t>Impact Indirect (mais crucial) sur la Catégorie de Problème : "Accès et Équité"</w:t>
      </w:r>
    </w:p>
    <w:p w14:paraId="67263CEE" w14:textId="77777777" w:rsidR="00FB583D" w:rsidRPr="00225714" w:rsidRDefault="00FB583D" w:rsidP="00FB583D">
      <w:pPr>
        <w:numPr>
          <w:ilvl w:val="0"/>
          <w:numId w:val="2"/>
        </w:numPr>
        <w:jc w:val="both"/>
        <w:rPr>
          <w:rFonts w:ascii="Bookman Old Style" w:hAnsi="Bookman Old Style"/>
          <w:sz w:val="26"/>
          <w:szCs w:val="26"/>
        </w:rPr>
      </w:pPr>
      <w:r w:rsidRPr="00225714">
        <w:rPr>
          <w:rFonts w:ascii="Bookman Old Style" w:hAnsi="Bookman Old Style"/>
          <w:b/>
          <w:bCs/>
          <w:sz w:val="26"/>
          <w:szCs w:val="26"/>
        </w:rPr>
        <w:t>Problème Spécifique ciblé :</w:t>
      </w:r>
      <w:r w:rsidRPr="00225714">
        <w:rPr>
          <w:rFonts w:ascii="Bookman Old Style" w:hAnsi="Bookman Old Style"/>
          <w:sz w:val="26"/>
          <w:szCs w:val="26"/>
        </w:rPr>
        <w:t xml:space="preserve"> Les </w:t>
      </w:r>
      <w:r w:rsidRPr="00225714">
        <w:rPr>
          <w:rFonts w:ascii="Bookman Old Style" w:hAnsi="Bookman Old Style"/>
          <w:b/>
          <w:bCs/>
          <w:sz w:val="26"/>
          <w:szCs w:val="26"/>
        </w:rPr>
        <w:t>inégalités d'accès à l'éducation</w:t>
      </w:r>
      <w:r w:rsidRPr="00225714">
        <w:rPr>
          <w:rFonts w:ascii="Bookman Old Style" w:hAnsi="Bookman Old Style"/>
          <w:sz w:val="26"/>
          <w:szCs w:val="26"/>
        </w:rPr>
        <w:t xml:space="preserve"> et les </w:t>
      </w:r>
      <w:r w:rsidRPr="00225714">
        <w:rPr>
          <w:rFonts w:ascii="Bookman Old Style" w:hAnsi="Bookman Old Style"/>
          <w:b/>
          <w:bCs/>
          <w:sz w:val="26"/>
          <w:szCs w:val="26"/>
        </w:rPr>
        <w:t>environnements d'apprentissage non inclusifs</w:t>
      </w:r>
      <w:r w:rsidRPr="00225714">
        <w:rPr>
          <w:rFonts w:ascii="Bookman Old Style" w:hAnsi="Bookman Old Style"/>
          <w:sz w:val="26"/>
          <w:szCs w:val="26"/>
        </w:rPr>
        <w:t xml:space="preserve"> sont souvent exacerbés par le manque ou l'inadéquation des </w:t>
      </w:r>
      <w:r w:rsidRPr="00225714">
        <w:rPr>
          <w:rFonts w:ascii="Bookman Old Style" w:hAnsi="Bookman Old Style"/>
          <w:sz w:val="26"/>
          <w:szCs w:val="26"/>
        </w:rPr>
        <w:lastRenderedPageBreak/>
        <w:t>infrastructures. Des écoles surpeuplées, éloignées, ou insalubres sont des obstacles majeurs à l'accès et à la persévérance scolaire, surtout pour les populations vulnérables.</w:t>
      </w:r>
    </w:p>
    <w:p w14:paraId="40FC59D1" w14:textId="77777777" w:rsidR="00FB583D" w:rsidRPr="00225714" w:rsidRDefault="00FB583D" w:rsidP="00FB583D">
      <w:pPr>
        <w:numPr>
          <w:ilvl w:val="0"/>
          <w:numId w:val="2"/>
        </w:numPr>
        <w:jc w:val="both"/>
        <w:rPr>
          <w:rFonts w:ascii="Bookman Old Style" w:hAnsi="Bookman Old Style"/>
          <w:sz w:val="26"/>
          <w:szCs w:val="26"/>
        </w:rPr>
      </w:pPr>
      <w:r w:rsidRPr="00225714">
        <w:rPr>
          <w:rFonts w:ascii="Bookman Old Style" w:hAnsi="Bookman Old Style"/>
          <w:b/>
          <w:bCs/>
          <w:sz w:val="26"/>
          <w:szCs w:val="26"/>
        </w:rPr>
        <w:t>Stratégie d'Affrontement visée :</w:t>
      </w:r>
      <w:r w:rsidRPr="00225714">
        <w:rPr>
          <w:rFonts w:ascii="Bookman Old Style" w:hAnsi="Bookman Old Style"/>
          <w:sz w:val="26"/>
          <w:szCs w:val="26"/>
        </w:rPr>
        <w:t xml:space="preserve"> Le Plan vise à </w:t>
      </w:r>
      <w:r w:rsidRPr="00225714">
        <w:rPr>
          <w:rFonts w:ascii="Bookman Old Style" w:hAnsi="Bookman Old Style"/>
          <w:b/>
          <w:bCs/>
          <w:sz w:val="26"/>
          <w:szCs w:val="26"/>
        </w:rPr>
        <w:t>"promouvoir l'équité et l'inclusion"</w:t>
      </w:r>
      <w:r w:rsidRPr="00225714">
        <w:rPr>
          <w:rFonts w:ascii="Bookman Old Style" w:hAnsi="Bookman Old Style"/>
          <w:sz w:val="26"/>
          <w:szCs w:val="26"/>
        </w:rPr>
        <w:t xml:space="preserve"> et à </w:t>
      </w:r>
      <w:r w:rsidRPr="00225714">
        <w:rPr>
          <w:rFonts w:ascii="Bookman Old Style" w:hAnsi="Bookman Old Style"/>
          <w:b/>
          <w:bCs/>
          <w:sz w:val="26"/>
          <w:szCs w:val="26"/>
        </w:rPr>
        <w:t>"créer un environnement éducatif sûr, inclusif et accueillant"</w:t>
      </w:r>
      <w:r w:rsidRPr="00225714">
        <w:rPr>
          <w:rFonts w:ascii="Bookman Old Style" w:hAnsi="Bookman Old Style"/>
          <w:sz w:val="26"/>
          <w:szCs w:val="26"/>
        </w:rPr>
        <w:t>. En prédisant où et quand les infrastructures sont nécessaires, le SIPBIS permet d'orienter les investissements vers les zones les plus démunies ou en forte croissance démographique, garantissant ainsi un accès plus équitable et de meilleures conditions d'apprentissage pour tous.</w:t>
      </w:r>
    </w:p>
    <w:p w14:paraId="2C0E7B39" w14:textId="77777777" w:rsidR="00FB583D" w:rsidRPr="00225714" w:rsidRDefault="00FB583D" w:rsidP="00FB583D">
      <w:pPr>
        <w:numPr>
          <w:ilvl w:val="0"/>
          <w:numId w:val="2"/>
        </w:numPr>
        <w:jc w:val="both"/>
        <w:rPr>
          <w:rFonts w:ascii="Bookman Old Style" w:hAnsi="Bookman Old Style"/>
          <w:sz w:val="26"/>
          <w:szCs w:val="26"/>
        </w:rPr>
      </w:pPr>
      <w:r w:rsidRPr="00225714">
        <w:rPr>
          <w:rFonts w:ascii="Bookman Old Style" w:hAnsi="Bookman Old Style"/>
          <w:b/>
          <w:bCs/>
          <w:sz w:val="26"/>
          <w:szCs w:val="26"/>
        </w:rPr>
        <w:t>Comment le SIPBIS est SMART ici :</w:t>
      </w:r>
      <w:r w:rsidRPr="00225714">
        <w:rPr>
          <w:rFonts w:ascii="Bookman Old Style" w:hAnsi="Bookman Old Style"/>
          <w:sz w:val="26"/>
          <w:szCs w:val="26"/>
        </w:rPr>
        <w:t xml:space="preserve"> </w:t>
      </w:r>
    </w:p>
    <w:p w14:paraId="4299FA72" w14:textId="77777777" w:rsidR="00FB583D" w:rsidRPr="00225714" w:rsidRDefault="00FB583D" w:rsidP="00FB583D">
      <w:pPr>
        <w:numPr>
          <w:ilvl w:val="1"/>
          <w:numId w:val="2"/>
        </w:numPr>
        <w:jc w:val="both"/>
        <w:rPr>
          <w:rFonts w:ascii="Bookman Old Style" w:hAnsi="Bookman Old Style"/>
          <w:sz w:val="26"/>
          <w:szCs w:val="26"/>
        </w:rPr>
      </w:pPr>
      <w:r w:rsidRPr="00225714">
        <w:rPr>
          <w:rFonts w:ascii="Bookman Old Style" w:hAnsi="Bookman Old Style"/>
          <w:b/>
          <w:bCs/>
          <w:sz w:val="26"/>
          <w:szCs w:val="26"/>
        </w:rPr>
        <w:t>S (Spécifique) :</w:t>
      </w:r>
      <w:r w:rsidRPr="00225714">
        <w:rPr>
          <w:rFonts w:ascii="Bookman Old Style" w:hAnsi="Bookman Old Style"/>
          <w:sz w:val="26"/>
          <w:szCs w:val="26"/>
        </w:rPr>
        <w:t xml:space="preserve"> Contribue à cibler les investissements pour réduire les disparités régionales ou démographiques en matière d'infrastructures.</w:t>
      </w:r>
    </w:p>
    <w:p w14:paraId="2829BEDB" w14:textId="77777777" w:rsidR="00FB583D" w:rsidRPr="00225714" w:rsidRDefault="00FB583D" w:rsidP="00FB583D">
      <w:pPr>
        <w:numPr>
          <w:ilvl w:val="1"/>
          <w:numId w:val="2"/>
        </w:numPr>
        <w:jc w:val="both"/>
        <w:rPr>
          <w:rFonts w:ascii="Bookman Old Style" w:hAnsi="Bookman Old Style"/>
          <w:sz w:val="26"/>
          <w:szCs w:val="26"/>
        </w:rPr>
      </w:pPr>
      <w:r w:rsidRPr="00225714">
        <w:rPr>
          <w:rFonts w:ascii="Bookman Old Style" w:hAnsi="Bookman Old Style"/>
          <w:b/>
          <w:bCs/>
          <w:sz w:val="26"/>
          <w:szCs w:val="26"/>
        </w:rPr>
        <w:t>M (Mesurable) :</w:t>
      </w:r>
      <w:r w:rsidRPr="00225714">
        <w:rPr>
          <w:rFonts w:ascii="Bookman Old Style" w:hAnsi="Bookman Old Style"/>
          <w:sz w:val="26"/>
          <w:szCs w:val="26"/>
        </w:rPr>
        <w:t xml:space="preserve"> On peut mesurer la réduction de la distance moyenne des élèves à l'école, l'amélioration des ratios élèves/salle de classe, et l'augmentation des taux de scolarisation dans les zones nouvellement desservies.</w:t>
      </w:r>
    </w:p>
    <w:p w14:paraId="648BB06C" w14:textId="77777777" w:rsidR="00FB583D" w:rsidRPr="00225714" w:rsidRDefault="00FB583D" w:rsidP="00FB583D">
      <w:pPr>
        <w:numPr>
          <w:ilvl w:val="1"/>
          <w:numId w:val="2"/>
        </w:numPr>
        <w:jc w:val="both"/>
        <w:rPr>
          <w:rFonts w:ascii="Bookman Old Style" w:hAnsi="Bookman Old Style"/>
          <w:sz w:val="26"/>
          <w:szCs w:val="26"/>
        </w:rPr>
      </w:pPr>
      <w:r w:rsidRPr="00225714">
        <w:rPr>
          <w:rFonts w:ascii="Bookman Old Style" w:hAnsi="Bookman Old Style"/>
          <w:b/>
          <w:bCs/>
          <w:sz w:val="26"/>
          <w:szCs w:val="26"/>
        </w:rPr>
        <w:t>A (Atteignable) :</w:t>
      </w:r>
      <w:r w:rsidRPr="00225714">
        <w:rPr>
          <w:rFonts w:ascii="Bookman Old Style" w:hAnsi="Bookman Old Style"/>
          <w:sz w:val="26"/>
          <w:szCs w:val="26"/>
        </w:rPr>
        <w:t xml:space="preserve"> Des outils de planification précis rendent les objectifs d'équité en infrastructures plus atteignables.</w:t>
      </w:r>
    </w:p>
    <w:p w14:paraId="5DFC0968" w14:textId="77777777" w:rsidR="00FB583D" w:rsidRPr="00225714" w:rsidRDefault="00FB583D" w:rsidP="00FB583D">
      <w:pPr>
        <w:numPr>
          <w:ilvl w:val="1"/>
          <w:numId w:val="2"/>
        </w:numPr>
        <w:jc w:val="both"/>
        <w:rPr>
          <w:rFonts w:ascii="Bookman Old Style" w:hAnsi="Bookman Old Style"/>
          <w:sz w:val="26"/>
          <w:szCs w:val="26"/>
        </w:rPr>
      </w:pPr>
      <w:r w:rsidRPr="00225714">
        <w:rPr>
          <w:rFonts w:ascii="Bookman Old Style" w:hAnsi="Bookman Old Style"/>
          <w:b/>
          <w:bCs/>
          <w:sz w:val="26"/>
          <w:szCs w:val="26"/>
        </w:rPr>
        <w:t>R (Réaliste) :</w:t>
      </w:r>
      <w:r w:rsidRPr="00225714">
        <w:rPr>
          <w:rFonts w:ascii="Bookman Old Style" w:hAnsi="Bookman Old Style"/>
          <w:sz w:val="26"/>
          <w:szCs w:val="26"/>
        </w:rPr>
        <w:t xml:space="preserve"> Les données d'IA permettent des décisions plus réalistes pour l'allocation des ressources.</w:t>
      </w:r>
    </w:p>
    <w:p w14:paraId="2901C362" w14:textId="77777777" w:rsidR="00FB583D" w:rsidRPr="00225714" w:rsidRDefault="00FB583D" w:rsidP="00FB583D">
      <w:pPr>
        <w:numPr>
          <w:ilvl w:val="1"/>
          <w:numId w:val="2"/>
        </w:numPr>
        <w:jc w:val="both"/>
        <w:rPr>
          <w:rFonts w:ascii="Bookman Old Style" w:hAnsi="Bookman Old Style"/>
          <w:sz w:val="26"/>
          <w:szCs w:val="26"/>
        </w:rPr>
      </w:pPr>
      <w:r w:rsidRPr="00225714">
        <w:rPr>
          <w:rFonts w:ascii="Bookman Old Style" w:hAnsi="Bookman Old Style"/>
          <w:b/>
          <w:bCs/>
          <w:sz w:val="26"/>
          <w:szCs w:val="26"/>
        </w:rPr>
        <w:t>T (Temporellement défini) :</w:t>
      </w:r>
      <w:r w:rsidRPr="00225714">
        <w:rPr>
          <w:rFonts w:ascii="Bookman Old Style" w:hAnsi="Bookman Old Style"/>
          <w:sz w:val="26"/>
          <w:szCs w:val="26"/>
        </w:rPr>
        <w:t xml:space="preserve"> Les projections sur 5 ans aident à planifier les expansions nécessaires sur le long terme.</w:t>
      </w:r>
    </w:p>
    <w:p w14:paraId="43B14FF5" w14:textId="77777777" w:rsidR="00FB583D" w:rsidRPr="00225714" w:rsidRDefault="00FB583D" w:rsidP="00FB583D">
      <w:pPr>
        <w:jc w:val="both"/>
        <w:rPr>
          <w:rFonts w:ascii="Bookman Old Style" w:hAnsi="Bookman Old Style"/>
          <w:b/>
          <w:bCs/>
          <w:sz w:val="26"/>
          <w:szCs w:val="26"/>
        </w:rPr>
      </w:pPr>
      <w:r w:rsidRPr="00225714">
        <w:rPr>
          <w:rFonts w:ascii="Bookman Old Style" w:hAnsi="Bookman Old Style"/>
          <w:b/>
          <w:bCs/>
          <w:sz w:val="26"/>
          <w:szCs w:val="26"/>
        </w:rPr>
        <w:t>Impact Indirect sur la Catégorie de Problème : "Qualité de l'Enseignement"</w:t>
      </w:r>
    </w:p>
    <w:p w14:paraId="04553D2E" w14:textId="77777777" w:rsidR="00FB583D" w:rsidRPr="00225714" w:rsidRDefault="00FB583D" w:rsidP="00FB583D">
      <w:pPr>
        <w:numPr>
          <w:ilvl w:val="0"/>
          <w:numId w:val="3"/>
        </w:numPr>
        <w:jc w:val="both"/>
        <w:rPr>
          <w:rFonts w:ascii="Bookman Old Style" w:hAnsi="Bookman Old Style"/>
          <w:sz w:val="26"/>
          <w:szCs w:val="26"/>
        </w:rPr>
      </w:pPr>
      <w:r w:rsidRPr="00225714">
        <w:rPr>
          <w:rFonts w:ascii="Bookman Old Style" w:hAnsi="Bookman Old Style"/>
          <w:b/>
          <w:bCs/>
          <w:sz w:val="26"/>
          <w:szCs w:val="26"/>
        </w:rPr>
        <w:t>Problème Spécifique ciblé :</w:t>
      </w:r>
      <w:r w:rsidRPr="00225714">
        <w:rPr>
          <w:rFonts w:ascii="Bookman Old Style" w:hAnsi="Bookman Old Style"/>
          <w:sz w:val="26"/>
          <w:szCs w:val="26"/>
        </w:rPr>
        <w:t xml:space="preserve"> Le </w:t>
      </w:r>
      <w:r w:rsidRPr="00225714">
        <w:rPr>
          <w:rFonts w:ascii="Bookman Old Style" w:hAnsi="Bookman Old Style"/>
          <w:b/>
          <w:bCs/>
          <w:sz w:val="26"/>
          <w:szCs w:val="26"/>
        </w:rPr>
        <w:t>manque de matériel didactique et d'infrastructures adéquates</w:t>
      </w:r>
      <w:r w:rsidRPr="00225714">
        <w:rPr>
          <w:rFonts w:ascii="Bookman Old Style" w:hAnsi="Bookman Old Style"/>
          <w:sz w:val="26"/>
          <w:szCs w:val="26"/>
        </w:rPr>
        <w:t xml:space="preserve"> nuit directement à la qualité de l'enseignement.</w:t>
      </w:r>
    </w:p>
    <w:p w14:paraId="5518B2A6" w14:textId="77777777" w:rsidR="00FB583D" w:rsidRPr="00225714" w:rsidRDefault="00FB583D" w:rsidP="00FB583D">
      <w:pPr>
        <w:numPr>
          <w:ilvl w:val="0"/>
          <w:numId w:val="3"/>
        </w:numPr>
        <w:jc w:val="both"/>
        <w:rPr>
          <w:rFonts w:ascii="Bookman Old Style" w:hAnsi="Bookman Old Style"/>
          <w:sz w:val="26"/>
          <w:szCs w:val="26"/>
        </w:rPr>
      </w:pPr>
      <w:r w:rsidRPr="00225714">
        <w:rPr>
          <w:rFonts w:ascii="Bookman Old Style" w:hAnsi="Bookman Old Style"/>
          <w:b/>
          <w:bCs/>
          <w:sz w:val="26"/>
          <w:szCs w:val="26"/>
        </w:rPr>
        <w:t>Stratégie d'Affrontement visée :</w:t>
      </w:r>
      <w:r w:rsidRPr="00225714">
        <w:rPr>
          <w:rFonts w:ascii="Bookman Old Style" w:hAnsi="Bookman Old Style"/>
          <w:sz w:val="26"/>
          <w:szCs w:val="26"/>
        </w:rPr>
        <w:t xml:space="preserve"> L'objectif est d'</w:t>
      </w:r>
      <w:r w:rsidRPr="00225714">
        <w:rPr>
          <w:rFonts w:ascii="Bookman Old Style" w:hAnsi="Bookman Old Style"/>
          <w:b/>
          <w:bCs/>
          <w:sz w:val="26"/>
          <w:szCs w:val="26"/>
        </w:rPr>
        <w:t>"assurer une éducation de qualité pour tous"</w:t>
      </w:r>
      <w:r w:rsidRPr="00225714">
        <w:rPr>
          <w:rFonts w:ascii="Bookman Old Style" w:hAnsi="Bookman Old Style"/>
          <w:sz w:val="26"/>
          <w:szCs w:val="26"/>
        </w:rPr>
        <w:t>. Des infrastructures adaptées sont une condition sine qua non pour un enseignement de qualité. Des salles de classe non surchargées, des laboratoires fonctionnels et des bibliothèques sont essentiels.</w:t>
      </w:r>
    </w:p>
    <w:p w14:paraId="2F8A7933" w14:textId="77777777" w:rsidR="00FB583D" w:rsidRPr="00225714" w:rsidRDefault="00FB583D" w:rsidP="00FB583D">
      <w:pPr>
        <w:numPr>
          <w:ilvl w:val="0"/>
          <w:numId w:val="3"/>
        </w:numPr>
        <w:jc w:val="both"/>
        <w:rPr>
          <w:rFonts w:ascii="Bookman Old Style" w:hAnsi="Bookman Old Style"/>
          <w:sz w:val="26"/>
          <w:szCs w:val="26"/>
        </w:rPr>
      </w:pPr>
      <w:r w:rsidRPr="00225714">
        <w:rPr>
          <w:rFonts w:ascii="Bookman Old Style" w:hAnsi="Bookman Old Style"/>
          <w:b/>
          <w:bCs/>
          <w:sz w:val="26"/>
          <w:szCs w:val="26"/>
        </w:rPr>
        <w:lastRenderedPageBreak/>
        <w:t>Comment le SIPBIS est SMART ici :</w:t>
      </w:r>
      <w:r w:rsidRPr="00225714">
        <w:rPr>
          <w:rFonts w:ascii="Bookman Old Style" w:hAnsi="Bookman Old Style"/>
          <w:sz w:val="26"/>
          <w:szCs w:val="26"/>
        </w:rPr>
        <w:t xml:space="preserve"> En permettant de construire ou de réhabiliter les infrastructures là où elles sont le plus nécessaires, le SIPBIS contribue à créer un environnement d'apprentissage plus propice à l'amélioration des résultats scolaires et à l'efficacité des enseignants.</w:t>
      </w:r>
    </w:p>
    <w:p w14:paraId="682686B2" w14:textId="77777777" w:rsidR="00FB583D" w:rsidRDefault="00FB583D"/>
    <w:sectPr w:rsidR="00FB5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53E1E"/>
    <w:multiLevelType w:val="multilevel"/>
    <w:tmpl w:val="ACC6B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64A09"/>
    <w:multiLevelType w:val="multilevel"/>
    <w:tmpl w:val="1940F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C14EE"/>
    <w:multiLevelType w:val="multilevel"/>
    <w:tmpl w:val="28B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553005">
    <w:abstractNumId w:val="1"/>
  </w:num>
  <w:num w:numId="2" w16cid:durableId="1759986524">
    <w:abstractNumId w:val="0"/>
  </w:num>
  <w:num w:numId="3" w16cid:durableId="220210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3D"/>
    <w:rsid w:val="00F40333"/>
    <w:rsid w:val="00FB58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4B34"/>
  <w15:chartTrackingRefBased/>
  <w15:docId w15:val="{E105F588-30D1-4214-9EA7-F4B62930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83D"/>
  </w:style>
  <w:style w:type="paragraph" w:styleId="Titre1">
    <w:name w:val="heading 1"/>
    <w:basedOn w:val="Normal"/>
    <w:next w:val="Normal"/>
    <w:link w:val="Titre1Car"/>
    <w:uiPriority w:val="9"/>
    <w:qFormat/>
    <w:rsid w:val="00FB58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B58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B583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B583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B583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B58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58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58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58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583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B583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B583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B583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B583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B58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58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58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583D"/>
    <w:rPr>
      <w:rFonts w:eastAsiaTheme="majorEastAsia" w:cstheme="majorBidi"/>
      <w:color w:val="272727" w:themeColor="text1" w:themeTint="D8"/>
    </w:rPr>
  </w:style>
  <w:style w:type="paragraph" w:styleId="Titre">
    <w:name w:val="Title"/>
    <w:basedOn w:val="Normal"/>
    <w:next w:val="Normal"/>
    <w:link w:val="TitreCar"/>
    <w:uiPriority w:val="10"/>
    <w:qFormat/>
    <w:rsid w:val="00FB5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58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58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58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583D"/>
    <w:pPr>
      <w:spacing w:before="160"/>
      <w:jc w:val="center"/>
    </w:pPr>
    <w:rPr>
      <w:i/>
      <w:iCs/>
      <w:color w:val="404040" w:themeColor="text1" w:themeTint="BF"/>
    </w:rPr>
  </w:style>
  <w:style w:type="character" w:customStyle="1" w:styleId="CitationCar">
    <w:name w:val="Citation Car"/>
    <w:basedOn w:val="Policepardfaut"/>
    <w:link w:val="Citation"/>
    <w:uiPriority w:val="29"/>
    <w:rsid w:val="00FB583D"/>
    <w:rPr>
      <w:i/>
      <w:iCs/>
      <w:color w:val="404040" w:themeColor="text1" w:themeTint="BF"/>
    </w:rPr>
  </w:style>
  <w:style w:type="paragraph" w:styleId="Paragraphedeliste">
    <w:name w:val="List Paragraph"/>
    <w:basedOn w:val="Normal"/>
    <w:uiPriority w:val="34"/>
    <w:qFormat/>
    <w:rsid w:val="00FB583D"/>
    <w:pPr>
      <w:ind w:left="720"/>
      <w:contextualSpacing/>
    </w:pPr>
  </w:style>
  <w:style w:type="character" w:styleId="Accentuationintense">
    <w:name w:val="Intense Emphasis"/>
    <w:basedOn w:val="Policepardfaut"/>
    <w:uiPriority w:val="21"/>
    <w:qFormat/>
    <w:rsid w:val="00FB583D"/>
    <w:rPr>
      <w:i/>
      <w:iCs/>
      <w:color w:val="2F5496" w:themeColor="accent1" w:themeShade="BF"/>
    </w:rPr>
  </w:style>
  <w:style w:type="paragraph" w:styleId="Citationintense">
    <w:name w:val="Intense Quote"/>
    <w:basedOn w:val="Normal"/>
    <w:next w:val="Normal"/>
    <w:link w:val="CitationintenseCar"/>
    <w:uiPriority w:val="30"/>
    <w:qFormat/>
    <w:rsid w:val="00FB58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B583D"/>
    <w:rPr>
      <w:i/>
      <w:iCs/>
      <w:color w:val="2F5496" w:themeColor="accent1" w:themeShade="BF"/>
    </w:rPr>
  </w:style>
  <w:style w:type="character" w:styleId="Rfrenceintense">
    <w:name w:val="Intense Reference"/>
    <w:basedOn w:val="Policepardfaut"/>
    <w:uiPriority w:val="32"/>
    <w:qFormat/>
    <w:rsid w:val="00FB58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3436</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mutomboilunga3220@outlook.com</dc:creator>
  <cp:keywords/>
  <dc:description/>
  <cp:lastModifiedBy>mutomboilunga3220@outlook.com</cp:lastModifiedBy>
  <cp:revision>1</cp:revision>
  <dcterms:created xsi:type="dcterms:W3CDTF">2025-06-06T17:45:00Z</dcterms:created>
  <dcterms:modified xsi:type="dcterms:W3CDTF">2025-06-06T17:46:00Z</dcterms:modified>
</cp:coreProperties>
</file>