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9ADAA" w14:textId="77777777" w:rsidR="00474A34" w:rsidRDefault="00474A34" w:rsidP="00474A34">
      <w:pPr>
        <w:jc w:val="center"/>
        <w:rPr>
          <w:rFonts w:ascii="Trebuchet MS" w:hAnsi="Trebuchet MS"/>
          <w:b/>
          <w:bCs/>
          <w:sz w:val="28"/>
          <w:szCs w:val="28"/>
        </w:rPr>
      </w:pPr>
      <w:r>
        <w:rPr>
          <w:rFonts w:ascii="Trebuchet MS" w:hAnsi="Trebuchet MS"/>
          <w:b/>
          <w:bCs/>
          <w:sz w:val="28"/>
          <w:szCs w:val="28"/>
        </w:rPr>
        <w:t>INTRODUCTION</w:t>
      </w:r>
    </w:p>
    <w:p w14:paraId="2C5815EF" w14:textId="3F7DBF70" w:rsidR="00474A34" w:rsidRPr="00940657" w:rsidRDefault="00474A34" w:rsidP="00474A34">
      <w:pPr>
        <w:jc w:val="both"/>
        <w:rPr>
          <w:rFonts w:ascii="Trebuchet MS" w:hAnsi="Trebuchet MS"/>
          <w:b/>
          <w:bCs/>
          <w:sz w:val="28"/>
          <w:szCs w:val="28"/>
        </w:rPr>
      </w:pPr>
      <w:r>
        <w:rPr>
          <w:rFonts w:ascii="Trebuchet MS" w:hAnsi="Trebuchet MS"/>
          <w:b/>
          <w:bCs/>
          <w:sz w:val="28"/>
          <w:szCs w:val="28"/>
        </w:rPr>
        <w:t>PROBLEMATIQUE</w:t>
      </w:r>
    </w:p>
    <w:p w14:paraId="4A4E3269" w14:textId="225E1293" w:rsidR="00474A34" w:rsidRPr="00940657" w:rsidRDefault="00474A34" w:rsidP="00474A34">
      <w:pPr>
        <w:ind w:firstLine="1134"/>
        <w:jc w:val="both"/>
        <w:rPr>
          <w:rFonts w:ascii="Trebuchet MS" w:hAnsi="Trebuchet MS"/>
          <w:sz w:val="28"/>
          <w:szCs w:val="28"/>
        </w:rPr>
      </w:pPr>
      <w:r w:rsidRPr="00940657">
        <w:rPr>
          <w:rFonts w:ascii="Trebuchet MS" w:hAnsi="Trebuchet MS"/>
          <w:sz w:val="28"/>
          <w:szCs w:val="28"/>
        </w:rPr>
        <w:t>À l’instar de nombreux pays d’Afrique subsaharienne, la République Démocratique du Congo (RDC) fait face à des défis majeurs en matière de développement et de planification territoriale. Avec une population estimée à plus de 10</w:t>
      </w:r>
      <w:r w:rsidR="00E34252">
        <w:rPr>
          <w:rFonts w:ascii="Trebuchet MS" w:hAnsi="Trebuchet MS"/>
          <w:sz w:val="28"/>
          <w:szCs w:val="28"/>
        </w:rPr>
        <w:t>5,8</w:t>
      </w:r>
      <w:r w:rsidRPr="00940657">
        <w:rPr>
          <w:rFonts w:ascii="Trebuchet MS" w:hAnsi="Trebuchet MS"/>
          <w:sz w:val="28"/>
          <w:szCs w:val="28"/>
        </w:rPr>
        <w:t xml:space="preserve"> millions d’habitants et une croissance démographique soutenue, la pression sur les infrastructures publiques, notamment scolaires, est considérable. Selon les données nationales, la population scolarisable du primaire continue d’augmenter chaque année, alors que de nombreuses zones, tant urbaines que rurales, souffrent d’un déficit chronique en infrastructures éducatives adaptées.</w:t>
      </w:r>
    </w:p>
    <w:p w14:paraId="34F0D603" w14:textId="77777777" w:rsidR="00474A34" w:rsidRPr="00940657" w:rsidRDefault="00474A34" w:rsidP="00474A34">
      <w:pPr>
        <w:ind w:firstLine="1134"/>
        <w:jc w:val="both"/>
        <w:rPr>
          <w:rFonts w:ascii="Trebuchet MS" w:hAnsi="Trebuchet MS"/>
          <w:sz w:val="28"/>
          <w:szCs w:val="28"/>
        </w:rPr>
      </w:pPr>
      <w:r w:rsidRPr="00940657">
        <w:rPr>
          <w:rFonts w:ascii="Trebuchet MS" w:hAnsi="Trebuchet MS"/>
          <w:sz w:val="28"/>
          <w:szCs w:val="28"/>
        </w:rPr>
        <w:t>Les disparités régionales sont marquées</w:t>
      </w:r>
      <w:r w:rsidRPr="00940657">
        <w:rPr>
          <w:rFonts w:ascii="Arial" w:hAnsi="Arial" w:cs="Arial"/>
          <w:sz w:val="28"/>
          <w:szCs w:val="28"/>
        </w:rPr>
        <w:t> </w:t>
      </w:r>
      <w:r w:rsidRPr="00940657">
        <w:rPr>
          <w:rFonts w:ascii="Trebuchet MS" w:hAnsi="Trebuchet MS"/>
          <w:sz w:val="28"/>
          <w:szCs w:val="28"/>
        </w:rPr>
        <w:t>: si certaines grandes villes b</w:t>
      </w:r>
      <w:r w:rsidRPr="00940657">
        <w:rPr>
          <w:rFonts w:ascii="Trebuchet MS" w:hAnsi="Trebuchet MS" w:cs="Bookman Old Style"/>
          <w:sz w:val="28"/>
          <w:szCs w:val="28"/>
        </w:rPr>
        <w:t>é</w:t>
      </w:r>
      <w:r w:rsidRPr="00940657">
        <w:rPr>
          <w:rFonts w:ascii="Trebuchet MS" w:hAnsi="Trebuchet MS"/>
          <w:sz w:val="28"/>
          <w:szCs w:val="28"/>
        </w:rPr>
        <w:t>n</w:t>
      </w:r>
      <w:r w:rsidRPr="00940657">
        <w:rPr>
          <w:rFonts w:ascii="Trebuchet MS" w:hAnsi="Trebuchet MS" w:cs="Bookman Old Style"/>
          <w:sz w:val="28"/>
          <w:szCs w:val="28"/>
        </w:rPr>
        <w:t>é</w:t>
      </w:r>
      <w:r w:rsidRPr="00940657">
        <w:rPr>
          <w:rFonts w:ascii="Trebuchet MS" w:hAnsi="Trebuchet MS"/>
          <w:sz w:val="28"/>
          <w:szCs w:val="28"/>
        </w:rPr>
        <w:t>ficient d</w:t>
      </w:r>
      <w:r w:rsidRPr="00940657">
        <w:rPr>
          <w:rFonts w:ascii="Trebuchet MS" w:hAnsi="Trebuchet MS" w:cs="Bookman Old Style"/>
          <w:sz w:val="28"/>
          <w:szCs w:val="28"/>
        </w:rPr>
        <w:t>’</w:t>
      </w:r>
      <w:r w:rsidRPr="00940657">
        <w:rPr>
          <w:rFonts w:ascii="Trebuchet MS" w:hAnsi="Trebuchet MS"/>
          <w:sz w:val="28"/>
          <w:szCs w:val="28"/>
        </w:rPr>
        <w:t>un r</w:t>
      </w:r>
      <w:r w:rsidRPr="00940657">
        <w:rPr>
          <w:rFonts w:ascii="Trebuchet MS" w:hAnsi="Trebuchet MS" w:cs="Bookman Old Style"/>
          <w:sz w:val="28"/>
          <w:szCs w:val="28"/>
        </w:rPr>
        <w:t>é</w:t>
      </w:r>
      <w:r w:rsidRPr="00940657">
        <w:rPr>
          <w:rFonts w:ascii="Trebuchet MS" w:hAnsi="Trebuchet MS"/>
          <w:sz w:val="28"/>
          <w:szCs w:val="28"/>
        </w:rPr>
        <w:t>seau d</w:t>
      </w:r>
      <w:r w:rsidRPr="00940657">
        <w:rPr>
          <w:rFonts w:ascii="Trebuchet MS" w:hAnsi="Trebuchet MS" w:cs="Bookman Old Style"/>
          <w:sz w:val="28"/>
          <w:szCs w:val="28"/>
        </w:rPr>
        <w:t>’é</w:t>
      </w:r>
      <w:r w:rsidRPr="00940657">
        <w:rPr>
          <w:rFonts w:ascii="Trebuchet MS" w:hAnsi="Trebuchet MS"/>
          <w:sz w:val="28"/>
          <w:szCs w:val="28"/>
        </w:rPr>
        <w:t>coles relativement d</w:t>
      </w:r>
      <w:r w:rsidRPr="00940657">
        <w:rPr>
          <w:rFonts w:ascii="Trebuchet MS" w:hAnsi="Trebuchet MS" w:cs="Bookman Old Style"/>
          <w:sz w:val="28"/>
          <w:szCs w:val="28"/>
        </w:rPr>
        <w:t>é</w:t>
      </w:r>
      <w:r w:rsidRPr="00940657">
        <w:rPr>
          <w:rFonts w:ascii="Trebuchet MS" w:hAnsi="Trebuchet MS"/>
          <w:sz w:val="28"/>
          <w:szCs w:val="28"/>
        </w:rPr>
        <w:t>velopp</w:t>
      </w:r>
      <w:r w:rsidRPr="00940657">
        <w:rPr>
          <w:rFonts w:ascii="Trebuchet MS" w:hAnsi="Trebuchet MS" w:cs="Bookman Old Style"/>
          <w:sz w:val="28"/>
          <w:szCs w:val="28"/>
        </w:rPr>
        <w:t>é</w:t>
      </w:r>
      <w:r w:rsidRPr="00940657">
        <w:rPr>
          <w:rFonts w:ascii="Trebuchet MS" w:hAnsi="Trebuchet MS"/>
          <w:sz w:val="28"/>
          <w:szCs w:val="28"/>
        </w:rPr>
        <w:t>, de vastes territoires ruraux et p</w:t>
      </w:r>
      <w:r w:rsidRPr="00940657">
        <w:rPr>
          <w:rFonts w:ascii="Trebuchet MS" w:hAnsi="Trebuchet MS" w:cs="Bookman Old Style"/>
          <w:sz w:val="28"/>
          <w:szCs w:val="28"/>
        </w:rPr>
        <w:t>é</w:t>
      </w:r>
      <w:r w:rsidRPr="00940657">
        <w:rPr>
          <w:rFonts w:ascii="Trebuchet MS" w:hAnsi="Trebuchet MS"/>
          <w:sz w:val="28"/>
          <w:szCs w:val="28"/>
        </w:rPr>
        <w:t>riph</w:t>
      </w:r>
      <w:r w:rsidRPr="00940657">
        <w:rPr>
          <w:rFonts w:ascii="Trebuchet MS" w:hAnsi="Trebuchet MS" w:cs="Bookman Old Style"/>
          <w:sz w:val="28"/>
          <w:szCs w:val="28"/>
        </w:rPr>
        <w:t>é</w:t>
      </w:r>
      <w:r w:rsidRPr="00940657">
        <w:rPr>
          <w:rFonts w:ascii="Trebuchet MS" w:hAnsi="Trebuchet MS"/>
          <w:sz w:val="28"/>
          <w:szCs w:val="28"/>
        </w:rPr>
        <w:t>riques restent sous-</w:t>
      </w:r>
      <w:r w:rsidRPr="00940657">
        <w:rPr>
          <w:rFonts w:ascii="Trebuchet MS" w:hAnsi="Trebuchet MS" w:cs="Bookman Old Style"/>
          <w:sz w:val="28"/>
          <w:szCs w:val="28"/>
        </w:rPr>
        <w:t>é</w:t>
      </w:r>
      <w:r w:rsidRPr="00940657">
        <w:rPr>
          <w:rFonts w:ascii="Trebuchet MS" w:hAnsi="Trebuchet MS"/>
          <w:sz w:val="28"/>
          <w:szCs w:val="28"/>
        </w:rPr>
        <w:t>quip</w:t>
      </w:r>
      <w:r w:rsidRPr="00940657">
        <w:rPr>
          <w:rFonts w:ascii="Trebuchet MS" w:hAnsi="Trebuchet MS" w:cs="Bookman Old Style"/>
          <w:sz w:val="28"/>
          <w:szCs w:val="28"/>
        </w:rPr>
        <w:t>é</w:t>
      </w:r>
      <w:r w:rsidRPr="00940657">
        <w:rPr>
          <w:rFonts w:ascii="Trebuchet MS" w:hAnsi="Trebuchet MS"/>
          <w:sz w:val="28"/>
          <w:szCs w:val="28"/>
        </w:rPr>
        <w:t>s, accentuant les in</w:t>
      </w:r>
      <w:r w:rsidRPr="00940657">
        <w:rPr>
          <w:rFonts w:ascii="Trebuchet MS" w:hAnsi="Trebuchet MS" w:cs="Bookman Old Style"/>
          <w:sz w:val="28"/>
          <w:szCs w:val="28"/>
        </w:rPr>
        <w:t>é</w:t>
      </w:r>
      <w:r w:rsidRPr="00940657">
        <w:rPr>
          <w:rFonts w:ascii="Trebuchet MS" w:hAnsi="Trebuchet MS"/>
          <w:sz w:val="28"/>
          <w:szCs w:val="28"/>
        </w:rPr>
        <w:t>galit</w:t>
      </w:r>
      <w:r w:rsidRPr="00940657">
        <w:rPr>
          <w:rFonts w:ascii="Trebuchet MS" w:hAnsi="Trebuchet MS" w:cs="Bookman Old Style"/>
          <w:sz w:val="28"/>
          <w:szCs w:val="28"/>
        </w:rPr>
        <w:t>é</w:t>
      </w:r>
      <w:r w:rsidRPr="00940657">
        <w:rPr>
          <w:rFonts w:ascii="Trebuchet MS" w:hAnsi="Trebuchet MS"/>
          <w:sz w:val="28"/>
          <w:szCs w:val="28"/>
        </w:rPr>
        <w:t>s d</w:t>
      </w:r>
      <w:r w:rsidRPr="00940657">
        <w:rPr>
          <w:rFonts w:ascii="Trebuchet MS" w:hAnsi="Trebuchet MS" w:cs="Bookman Old Style"/>
          <w:sz w:val="28"/>
          <w:szCs w:val="28"/>
        </w:rPr>
        <w:t>’</w:t>
      </w:r>
      <w:r w:rsidRPr="00940657">
        <w:rPr>
          <w:rFonts w:ascii="Trebuchet MS" w:hAnsi="Trebuchet MS"/>
          <w:sz w:val="28"/>
          <w:szCs w:val="28"/>
        </w:rPr>
        <w:t>acc</w:t>
      </w:r>
      <w:r w:rsidRPr="00940657">
        <w:rPr>
          <w:rFonts w:ascii="Trebuchet MS" w:hAnsi="Trebuchet MS" w:cs="Bookman Old Style"/>
          <w:sz w:val="28"/>
          <w:szCs w:val="28"/>
        </w:rPr>
        <w:t>è</w:t>
      </w:r>
      <w:r w:rsidRPr="00940657">
        <w:rPr>
          <w:rFonts w:ascii="Trebuchet MS" w:hAnsi="Trebuchet MS"/>
          <w:sz w:val="28"/>
          <w:szCs w:val="28"/>
        </w:rPr>
        <w:t xml:space="preserve">s </w:t>
      </w:r>
      <w:r w:rsidRPr="00940657">
        <w:rPr>
          <w:rFonts w:ascii="Trebuchet MS" w:hAnsi="Trebuchet MS" w:cs="Bookman Old Style"/>
          <w:sz w:val="28"/>
          <w:szCs w:val="28"/>
        </w:rPr>
        <w:t>à</w:t>
      </w:r>
      <w:r w:rsidRPr="00940657">
        <w:rPr>
          <w:rFonts w:ascii="Trebuchet MS" w:hAnsi="Trebuchet MS"/>
          <w:sz w:val="28"/>
          <w:szCs w:val="28"/>
        </w:rPr>
        <w:t xml:space="preserve"> l</w:t>
      </w:r>
      <w:r w:rsidRPr="00940657">
        <w:rPr>
          <w:rFonts w:ascii="Trebuchet MS" w:hAnsi="Trebuchet MS" w:cs="Bookman Old Style"/>
          <w:sz w:val="28"/>
          <w:szCs w:val="28"/>
        </w:rPr>
        <w:t>’é</w:t>
      </w:r>
      <w:r w:rsidRPr="00940657">
        <w:rPr>
          <w:rFonts w:ascii="Trebuchet MS" w:hAnsi="Trebuchet MS"/>
          <w:sz w:val="28"/>
          <w:szCs w:val="28"/>
        </w:rPr>
        <w:t>ducation. Par ailleurs, la gratuit</w:t>
      </w:r>
      <w:r w:rsidRPr="00940657">
        <w:rPr>
          <w:rFonts w:ascii="Trebuchet MS" w:hAnsi="Trebuchet MS" w:cs="Bookman Old Style"/>
          <w:sz w:val="28"/>
          <w:szCs w:val="28"/>
        </w:rPr>
        <w:t>é</w:t>
      </w:r>
      <w:r w:rsidRPr="00940657">
        <w:rPr>
          <w:rFonts w:ascii="Trebuchet MS" w:hAnsi="Trebuchet MS"/>
          <w:sz w:val="28"/>
          <w:szCs w:val="28"/>
        </w:rPr>
        <w:t xml:space="preserve"> de l</w:t>
      </w:r>
      <w:r w:rsidRPr="00940657">
        <w:rPr>
          <w:rFonts w:ascii="Trebuchet MS" w:hAnsi="Trebuchet MS" w:cs="Bookman Old Style"/>
          <w:sz w:val="28"/>
          <w:szCs w:val="28"/>
        </w:rPr>
        <w:t>’</w:t>
      </w:r>
      <w:r w:rsidRPr="00940657">
        <w:rPr>
          <w:rFonts w:ascii="Trebuchet MS" w:hAnsi="Trebuchet MS"/>
          <w:sz w:val="28"/>
          <w:szCs w:val="28"/>
        </w:rPr>
        <w:t>enseignement primaire instaur</w:t>
      </w:r>
      <w:r w:rsidRPr="00940657">
        <w:rPr>
          <w:rFonts w:ascii="Trebuchet MS" w:hAnsi="Trebuchet MS" w:cs="Bookman Old Style"/>
          <w:sz w:val="28"/>
          <w:szCs w:val="28"/>
        </w:rPr>
        <w:t>é</w:t>
      </w:r>
      <w:r w:rsidRPr="00940657">
        <w:rPr>
          <w:rFonts w:ascii="Trebuchet MS" w:hAnsi="Trebuchet MS"/>
          <w:sz w:val="28"/>
          <w:szCs w:val="28"/>
        </w:rPr>
        <w:t>e en 2019 a provoqu</w:t>
      </w:r>
      <w:r w:rsidRPr="00940657">
        <w:rPr>
          <w:rFonts w:ascii="Trebuchet MS" w:hAnsi="Trebuchet MS" w:cs="Bookman Old Style"/>
          <w:sz w:val="28"/>
          <w:szCs w:val="28"/>
        </w:rPr>
        <w:t>é</w:t>
      </w:r>
      <w:r w:rsidRPr="00940657">
        <w:rPr>
          <w:rFonts w:ascii="Trebuchet MS" w:hAnsi="Trebuchet MS"/>
          <w:sz w:val="28"/>
          <w:szCs w:val="28"/>
        </w:rPr>
        <w:t xml:space="preserve"> une hausse spectaculaire des inscriptions, mettant </w:t>
      </w:r>
      <w:r w:rsidRPr="00940657">
        <w:rPr>
          <w:rFonts w:ascii="Trebuchet MS" w:hAnsi="Trebuchet MS" w:cs="Bookman Old Style"/>
          <w:sz w:val="28"/>
          <w:szCs w:val="28"/>
        </w:rPr>
        <w:t>à</w:t>
      </w:r>
      <w:r w:rsidRPr="00940657">
        <w:rPr>
          <w:rFonts w:ascii="Trebuchet MS" w:hAnsi="Trebuchet MS"/>
          <w:sz w:val="28"/>
          <w:szCs w:val="28"/>
        </w:rPr>
        <w:t xml:space="preserve"> rude </w:t>
      </w:r>
      <w:r w:rsidRPr="00940657">
        <w:rPr>
          <w:rFonts w:ascii="Trebuchet MS" w:hAnsi="Trebuchet MS" w:cs="Bookman Old Style"/>
          <w:sz w:val="28"/>
          <w:szCs w:val="28"/>
        </w:rPr>
        <w:t>é</w:t>
      </w:r>
      <w:r w:rsidRPr="00940657">
        <w:rPr>
          <w:rFonts w:ascii="Trebuchet MS" w:hAnsi="Trebuchet MS"/>
          <w:sz w:val="28"/>
          <w:szCs w:val="28"/>
        </w:rPr>
        <w:t>preuve la capacit</w:t>
      </w:r>
      <w:r w:rsidRPr="00940657">
        <w:rPr>
          <w:rFonts w:ascii="Trebuchet MS" w:hAnsi="Trebuchet MS" w:cs="Bookman Old Style"/>
          <w:sz w:val="28"/>
          <w:szCs w:val="28"/>
        </w:rPr>
        <w:t>é</w:t>
      </w:r>
      <w:r w:rsidRPr="00940657">
        <w:rPr>
          <w:rFonts w:ascii="Trebuchet MS" w:hAnsi="Trebuchet MS"/>
          <w:sz w:val="28"/>
          <w:szCs w:val="28"/>
        </w:rPr>
        <w:t xml:space="preserve"> d</w:t>
      </w:r>
      <w:r w:rsidRPr="00940657">
        <w:rPr>
          <w:rFonts w:ascii="Trebuchet MS" w:hAnsi="Trebuchet MS" w:cs="Bookman Old Style"/>
          <w:sz w:val="28"/>
          <w:szCs w:val="28"/>
        </w:rPr>
        <w:t>’</w:t>
      </w:r>
      <w:r w:rsidRPr="00940657">
        <w:rPr>
          <w:rFonts w:ascii="Trebuchet MS" w:hAnsi="Trebuchet MS"/>
          <w:sz w:val="28"/>
          <w:szCs w:val="28"/>
        </w:rPr>
        <w:t xml:space="preserve">accueil des </w:t>
      </w:r>
      <w:r w:rsidRPr="00940657">
        <w:rPr>
          <w:rFonts w:ascii="Trebuchet MS" w:hAnsi="Trebuchet MS" w:cs="Bookman Old Style"/>
          <w:sz w:val="28"/>
          <w:szCs w:val="28"/>
        </w:rPr>
        <w:t>é</w:t>
      </w:r>
      <w:r w:rsidRPr="00940657">
        <w:rPr>
          <w:rFonts w:ascii="Trebuchet MS" w:hAnsi="Trebuchet MS"/>
          <w:sz w:val="28"/>
          <w:szCs w:val="28"/>
        </w:rPr>
        <w:t xml:space="preserve">coles existantes. </w:t>
      </w:r>
      <w:r w:rsidRPr="00940657">
        <w:rPr>
          <w:rFonts w:ascii="Trebuchet MS" w:hAnsi="Trebuchet MS" w:cs="Bookman Old Style"/>
          <w:sz w:val="28"/>
          <w:szCs w:val="28"/>
        </w:rPr>
        <w:t>À</w:t>
      </w:r>
      <w:r w:rsidRPr="00940657">
        <w:rPr>
          <w:rFonts w:ascii="Trebuchet MS" w:hAnsi="Trebuchet MS"/>
          <w:sz w:val="28"/>
          <w:szCs w:val="28"/>
        </w:rPr>
        <w:t xml:space="preserve"> cela s</w:t>
      </w:r>
      <w:r w:rsidRPr="00940657">
        <w:rPr>
          <w:rFonts w:ascii="Trebuchet MS" w:hAnsi="Trebuchet MS" w:cs="Bookman Old Style"/>
          <w:sz w:val="28"/>
          <w:szCs w:val="28"/>
        </w:rPr>
        <w:t>’</w:t>
      </w:r>
      <w:r w:rsidRPr="00940657">
        <w:rPr>
          <w:rFonts w:ascii="Trebuchet MS" w:hAnsi="Trebuchet MS"/>
          <w:sz w:val="28"/>
          <w:szCs w:val="28"/>
        </w:rPr>
        <w:t>ajoutent des d</w:t>
      </w:r>
      <w:r w:rsidRPr="00940657">
        <w:rPr>
          <w:rFonts w:ascii="Trebuchet MS" w:hAnsi="Trebuchet MS" w:cs="Bookman Old Style"/>
          <w:sz w:val="28"/>
          <w:szCs w:val="28"/>
        </w:rPr>
        <w:t>é</w:t>
      </w:r>
      <w:r w:rsidRPr="00940657">
        <w:rPr>
          <w:rFonts w:ascii="Trebuchet MS" w:hAnsi="Trebuchet MS"/>
          <w:sz w:val="28"/>
          <w:szCs w:val="28"/>
        </w:rPr>
        <w:t>fis li</w:t>
      </w:r>
      <w:r w:rsidRPr="00940657">
        <w:rPr>
          <w:rFonts w:ascii="Trebuchet MS" w:hAnsi="Trebuchet MS" w:cs="Bookman Old Style"/>
          <w:sz w:val="28"/>
          <w:szCs w:val="28"/>
        </w:rPr>
        <w:t>é</w:t>
      </w:r>
      <w:r w:rsidRPr="00940657">
        <w:rPr>
          <w:rFonts w:ascii="Trebuchet MS" w:hAnsi="Trebuchet MS"/>
          <w:sz w:val="28"/>
          <w:szCs w:val="28"/>
        </w:rPr>
        <w:t xml:space="preserve">s </w:t>
      </w:r>
      <w:r w:rsidRPr="00940657">
        <w:rPr>
          <w:rFonts w:ascii="Trebuchet MS" w:hAnsi="Trebuchet MS" w:cs="Bookman Old Style"/>
          <w:sz w:val="28"/>
          <w:szCs w:val="28"/>
        </w:rPr>
        <w:t>à</w:t>
      </w:r>
      <w:r w:rsidRPr="00940657">
        <w:rPr>
          <w:rFonts w:ascii="Trebuchet MS" w:hAnsi="Trebuchet MS"/>
          <w:sz w:val="28"/>
          <w:szCs w:val="28"/>
        </w:rPr>
        <w:t xml:space="preserve"> la stabilit</w:t>
      </w:r>
      <w:r w:rsidRPr="00940657">
        <w:rPr>
          <w:rFonts w:ascii="Trebuchet MS" w:hAnsi="Trebuchet MS" w:cs="Bookman Old Style"/>
          <w:sz w:val="28"/>
          <w:szCs w:val="28"/>
        </w:rPr>
        <w:t>é</w:t>
      </w:r>
      <w:r w:rsidRPr="00940657">
        <w:rPr>
          <w:rFonts w:ascii="Trebuchet MS" w:hAnsi="Trebuchet MS"/>
          <w:sz w:val="28"/>
          <w:szCs w:val="28"/>
        </w:rPr>
        <w:t xml:space="preserve"> politique, </w:t>
      </w:r>
      <w:r w:rsidRPr="00940657">
        <w:rPr>
          <w:rFonts w:ascii="Trebuchet MS" w:hAnsi="Trebuchet MS" w:cs="Bookman Old Style"/>
          <w:sz w:val="28"/>
          <w:szCs w:val="28"/>
        </w:rPr>
        <w:t>à</w:t>
      </w:r>
      <w:r w:rsidRPr="00940657">
        <w:rPr>
          <w:rFonts w:ascii="Trebuchet MS" w:hAnsi="Trebuchet MS"/>
          <w:sz w:val="28"/>
          <w:szCs w:val="28"/>
        </w:rPr>
        <w:t xml:space="preserve"> la s</w:t>
      </w:r>
      <w:r w:rsidRPr="00940657">
        <w:rPr>
          <w:rFonts w:ascii="Trebuchet MS" w:hAnsi="Trebuchet MS" w:cs="Bookman Old Style"/>
          <w:sz w:val="28"/>
          <w:szCs w:val="28"/>
        </w:rPr>
        <w:t>é</w:t>
      </w:r>
      <w:r w:rsidRPr="00940657">
        <w:rPr>
          <w:rFonts w:ascii="Trebuchet MS" w:hAnsi="Trebuchet MS"/>
          <w:sz w:val="28"/>
          <w:szCs w:val="28"/>
        </w:rPr>
        <w:t>curit</w:t>
      </w:r>
      <w:r w:rsidRPr="00940657">
        <w:rPr>
          <w:rFonts w:ascii="Trebuchet MS" w:hAnsi="Trebuchet MS" w:cs="Bookman Old Style"/>
          <w:sz w:val="28"/>
          <w:szCs w:val="28"/>
        </w:rPr>
        <w:t>é</w:t>
      </w:r>
      <w:r w:rsidRPr="00940657">
        <w:rPr>
          <w:rFonts w:ascii="Trebuchet MS" w:hAnsi="Trebuchet MS"/>
          <w:sz w:val="28"/>
          <w:szCs w:val="28"/>
        </w:rPr>
        <w:t xml:space="preserve"> dans certaines provinces, et à la gestion budgétaire et administrative du secteur éducatif.</w:t>
      </w:r>
    </w:p>
    <w:p w14:paraId="164F1233" w14:textId="77777777" w:rsidR="00474A34" w:rsidRPr="00940657" w:rsidRDefault="00474A34" w:rsidP="00474A34">
      <w:pPr>
        <w:ind w:firstLine="1134"/>
        <w:jc w:val="both"/>
        <w:rPr>
          <w:rFonts w:ascii="Trebuchet MS" w:hAnsi="Trebuchet MS"/>
          <w:sz w:val="28"/>
          <w:szCs w:val="28"/>
        </w:rPr>
      </w:pPr>
      <w:r w:rsidRPr="00940657">
        <w:rPr>
          <w:rFonts w:ascii="Trebuchet MS" w:hAnsi="Trebuchet MS"/>
          <w:sz w:val="28"/>
          <w:szCs w:val="28"/>
        </w:rPr>
        <w:t>Dans ce contexte, l’intelligence artificielle (IA) offre des perspectives inédites pour anticiper, planifier et optimiser la construction et la réhabilitation des infrastructures scolaires sur l’ensemble du territoire national. Grâce à l’analyse massive de données démographiques, géospatiales et socio-économiques, l’IA peut aider les décideurs à mieux cibler les investissements, à réduire les inégalités et à améliorer la gouvernance du secteur éducatif.</w:t>
      </w:r>
    </w:p>
    <w:p w14:paraId="118DA89F" w14:textId="77777777" w:rsidR="00474A34" w:rsidRDefault="00474A34" w:rsidP="00474A34">
      <w:pPr>
        <w:ind w:firstLine="1134"/>
        <w:jc w:val="both"/>
        <w:rPr>
          <w:rFonts w:ascii="Trebuchet MS" w:hAnsi="Trebuchet MS"/>
          <w:b/>
          <w:bCs/>
          <w:sz w:val="28"/>
          <w:szCs w:val="28"/>
        </w:rPr>
      </w:pPr>
      <w:r w:rsidRPr="00940657">
        <w:rPr>
          <w:rFonts w:ascii="Trebuchet MS" w:hAnsi="Trebuchet MS"/>
          <w:sz w:val="28"/>
          <w:szCs w:val="28"/>
        </w:rPr>
        <w:t>Face à la croissance rapide de la population scolarisable, à l’extension de la gratuité de l’enseignement primaire et aux disparités régionales en matière d’infrastructures scolaires, </w:t>
      </w:r>
      <w:r w:rsidRPr="00940657">
        <w:rPr>
          <w:rFonts w:ascii="Trebuchet MS" w:hAnsi="Trebuchet MS"/>
          <w:b/>
          <w:bCs/>
          <w:sz w:val="28"/>
          <w:szCs w:val="28"/>
        </w:rPr>
        <w:t>comment l’intelligence artificielle peut-elle permettre une planification plus efficace et équitable des besoins en infrastructures scolaires à l’échelle nationale en RDC, afin d’anticiper les besoins à l’horizon 2030 et 2050</w:t>
      </w:r>
      <w:r w:rsidRPr="00940657">
        <w:rPr>
          <w:rFonts w:ascii="Arial" w:hAnsi="Arial" w:cs="Arial"/>
          <w:b/>
          <w:bCs/>
          <w:sz w:val="28"/>
          <w:szCs w:val="28"/>
        </w:rPr>
        <w:t> </w:t>
      </w:r>
      <w:r w:rsidRPr="00940657">
        <w:rPr>
          <w:rFonts w:ascii="Trebuchet MS" w:hAnsi="Trebuchet MS"/>
          <w:b/>
          <w:bCs/>
          <w:sz w:val="28"/>
          <w:szCs w:val="28"/>
        </w:rPr>
        <w:t>?</w:t>
      </w:r>
    </w:p>
    <w:p w14:paraId="4DC4D962" w14:textId="77777777" w:rsidR="00474A34" w:rsidRPr="00940657" w:rsidRDefault="00474A34" w:rsidP="00474A34">
      <w:pPr>
        <w:jc w:val="both"/>
        <w:rPr>
          <w:rFonts w:ascii="Trebuchet MS" w:hAnsi="Trebuchet MS"/>
          <w:b/>
          <w:bCs/>
          <w:sz w:val="28"/>
          <w:szCs w:val="28"/>
        </w:rPr>
      </w:pPr>
      <w:r w:rsidRPr="00940657">
        <w:rPr>
          <w:rFonts w:ascii="Trebuchet MS" w:hAnsi="Trebuchet MS"/>
          <w:b/>
          <w:bCs/>
          <w:sz w:val="28"/>
          <w:szCs w:val="28"/>
        </w:rPr>
        <w:lastRenderedPageBreak/>
        <w:t>HYPOTHÈSE</w:t>
      </w:r>
    </w:p>
    <w:p w14:paraId="13D45740" w14:textId="77777777" w:rsidR="00474A34" w:rsidRDefault="00474A34" w:rsidP="00474A34">
      <w:pPr>
        <w:ind w:firstLine="1134"/>
        <w:jc w:val="both"/>
        <w:rPr>
          <w:rFonts w:ascii="Trebuchet MS" w:hAnsi="Trebuchet MS"/>
          <w:sz w:val="28"/>
          <w:szCs w:val="28"/>
        </w:rPr>
      </w:pPr>
      <w:r w:rsidRPr="00940657">
        <w:rPr>
          <w:rFonts w:ascii="Trebuchet MS" w:hAnsi="Trebuchet MS"/>
          <w:sz w:val="28"/>
          <w:szCs w:val="28"/>
        </w:rPr>
        <w:t>L’application de l’intelligence artificielle, à travers l’analyse approfondie des données démographiques, éducatives et contextuelles, permettra de prédire de manière fiable et anticipée les besoins en infrastructures scolaires en RDC. Cette approche contribuera à optimiser l’allocation des ressources, à réduire les inégalités régionales et à renforcer la capacité du système éducatif à absorber la croissance des effectifs scolaires sur l’ensemble du territoire national.</w:t>
      </w:r>
    </w:p>
    <w:p w14:paraId="29435ED6" w14:textId="77777777" w:rsidR="00B57706" w:rsidRPr="00940657" w:rsidRDefault="00B57706" w:rsidP="00B57706">
      <w:pPr>
        <w:jc w:val="both"/>
        <w:rPr>
          <w:rFonts w:ascii="Trebuchet MS" w:hAnsi="Trebuchet MS"/>
          <w:b/>
          <w:bCs/>
          <w:sz w:val="28"/>
          <w:szCs w:val="28"/>
        </w:rPr>
      </w:pPr>
      <w:r w:rsidRPr="00940657">
        <w:rPr>
          <w:rFonts w:ascii="Trebuchet MS" w:hAnsi="Trebuchet MS"/>
          <w:b/>
          <w:bCs/>
          <w:sz w:val="28"/>
          <w:szCs w:val="28"/>
        </w:rPr>
        <w:t>OBJECTIFS</w:t>
      </w:r>
    </w:p>
    <w:p w14:paraId="189A06F2" w14:textId="77777777" w:rsidR="00B57706" w:rsidRPr="00940657" w:rsidRDefault="00B57706" w:rsidP="00B57706">
      <w:pPr>
        <w:numPr>
          <w:ilvl w:val="0"/>
          <w:numId w:val="1"/>
        </w:numPr>
        <w:tabs>
          <w:tab w:val="clear" w:pos="720"/>
          <w:tab w:val="num" w:pos="567"/>
        </w:tabs>
        <w:ind w:left="284" w:hanging="284"/>
        <w:jc w:val="both"/>
        <w:rPr>
          <w:rFonts w:ascii="Trebuchet MS" w:hAnsi="Trebuchet MS"/>
          <w:sz w:val="28"/>
          <w:szCs w:val="28"/>
        </w:rPr>
      </w:pPr>
      <w:r w:rsidRPr="00940657">
        <w:rPr>
          <w:rFonts w:ascii="Trebuchet MS" w:hAnsi="Trebuchet MS"/>
          <w:b/>
          <w:bCs/>
          <w:sz w:val="28"/>
          <w:szCs w:val="28"/>
        </w:rPr>
        <w:t>Développer une application d’IA</w:t>
      </w:r>
      <w:r w:rsidRPr="00940657">
        <w:rPr>
          <w:rFonts w:ascii="Trebuchet MS" w:hAnsi="Trebuchet MS"/>
          <w:sz w:val="28"/>
          <w:szCs w:val="28"/>
        </w:rPr>
        <w:t> permettant de prédire les besoins en infrastructures scolaires dans toutes les provinces de la RDC.</w:t>
      </w:r>
    </w:p>
    <w:p w14:paraId="6809252A" w14:textId="77777777" w:rsidR="00B57706" w:rsidRPr="00940657" w:rsidRDefault="00B57706" w:rsidP="00B57706">
      <w:pPr>
        <w:numPr>
          <w:ilvl w:val="0"/>
          <w:numId w:val="1"/>
        </w:numPr>
        <w:tabs>
          <w:tab w:val="clear" w:pos="720"/>
          <w:tab w:val="num" w:pos="567"/>
        </w:tabs>
        <w:ind w:left="284" w:hanging="284"/>
        <w:jc w:val="both"/>
        <w:rPr>
          <w:rFonts w:ascii="Trebuchet MS" w:hAnsi="Trebuchet MS"/>
          <w:sz w:val="28"/>
          <w:szCs w:val="28"/>
        </w:rPr>
      </w:pPr>
      <w:r w:rsidRPr="00940657">
        <w:rPr>
          <w:rFonts w:ascii="Trebuchet MS" w:hAnsi="Trebuchet MS"/>
          <w:b/>
          <w:bCs/>
          <w:sz w:val="28"/>
          <w:szCs w:val="28"/>
        </w:rPr>
        <w:t>Analyser et intégrer</w:t>
      </w:r>
      <w:r w:rsidRPr="00940657">
        <w:rPr>
          <w:rFonts w:ascii="Trebuchet MS" w:hAnsi="Trebuchet MS"/>
          <w:sz w:val="28"/>
          <w:szCs w:val="28"/>
        </w:rPr>
        <w:t> les données démographiques, scolaires, socio-économiques et contextuelles (sécurité, politiques éducatives, etc.) issues de sources nationales et internationales.</w:t>
      </w:r>
    </w:p>
    <w:p w14:paraId="41E39F63" w14:textId="77777777" w:rsidR="00B57706" w:rsidRPr="00940657" w:rsidRDefault="00B57706" w:rsidP="00B57706">
      <w:pPr>
        <w:numPr>
          <w:ilvl w:val="0"/>
          <w:numId w:val="1"/>
        </w:numPr>
        <w:tabs>
          <w:tab w:val="clear" w:pos="720"/>
          <w:tab w:val="num" w:pos="567"/>
        </w:tabs>
        <w:ind w:left="284" w:hanging="284"/>
        <w:jc w:val="both"/>
        <w:rPr>
          <w:rFonts w:ascii="Trebuchet MS" w:hAnsi="Trebuchet MS"/>
          <w:sz w:val="28"/>
          <w:szCs w:val="28"/>
        </w:rPr>
      </w:pPr>
      <w:r w:rsidRPr="00940657">
        <w:rPr>
          <w:rFonts w:ascii="Trebuchet MS" w:hAnsi="Trebuchet MS"/>
          <w:b/>
          <w:bCs/>
          <w:sz w:val="28"/>
          <w:szCs w:val="28"/>
        </w:rPr>
        <w:t>Proposer des modèles prédictifs</w:t>
      </w:r>
      <w:r w:rsidRPr="00940657">
        <w:rPr>
          <w:rFonts w:ascii="Trebuchet MS" w:hAnsi="Trebuchet MS"/>
          <w:sz w:val="28"/>
          <w:szCs w:val="28"/>
        </w:rPr>
        <w:t> pour anticiper les besoins en écoles, classes et équipements à l’horizon 2030 et 2050.</w:t>
      </w:r>
    </w:p>
    <w:p w14:paraId="54667EB7" w14:textId="77777777" w:rsidR="00B57706" w:rsidRPr="00940657" w:rsidRDefault="00B57706" w:rsidP="00B57706">
      <w:pPr>
        <w:numPr>
          <w:ilvl w:val="0"/>
          <w:numId w:val="1"/>
        </w:numPr>
        <w:tabs>
          <w:tab w:val="clear" w:pos="720"/>
          <w:tab w:val="num" w:pos="567"/>
        </w:tabs>
        <w:ind w:left="284" w:hanging="284"/>
        <w:jc w:val="both"/>
        <w:rPr>
          <w:rFonts w:ascii="Trebuchet MS" w:hAnsi="Trebuchet MS"/>
          <w:sz w:val="28"/>
          <w:szCs w:val="28"/>
        </w:rPr>
      </w:pPr>
      <w:r w:rsidRPr="00940657">
        <w:rPr>
          <w:rFonts w:ascii="Trebuchet MS" w:hAnsi="Trebuchet MS"/>
          <w:b/>
          <w:bCs/>
          <w:sz w:val="28"/>
          <w:szCs w:val="28"/>
        </w:rPr>
        <w:t>Offrir une interface conviviale</w:t>
      </w:r>
      <w:r w:rsidRPr="00940657">
        <w:rPr>
          <w:rFonts w:ascii="Trebuchet MS" w:hAnsi="Trebuchet MS"/>
          <w:sz w:val="28"/>
          <w:szCs w:val="28"/>
        </w:rPr>
        <w:t> pour les décideurs, avec des cartes interactives et des rapports automatisés, facilitant la prise de décision et la planification budgétaire.</w:t>
      </w:r>
    </w:p>
    <w:p w14:paraId="7B1825F1" w14:textId="77777777" w:rsidR="00B57706" w:rsidRDefault="00B57706" w:rsidP="00B57706">
      <w:pPr>
        <w:numPr>
          <w:ilvl w:val="0"/>
          <w:numId w:val="1"/>
        </w:numPr>
        <w:tabs>
          <w:tab w:val="clear" w:pos="720"/>
          <w:tab w:val="num" w:pos="567"/>
        </w:tabs>
        <w:ind w:left="284" w:hanging="284"/>
        <w:jc w:val="both"/>
        <w:rPr>
          <w:rFonts w:ascii="Trebuchet MS" w:hAnsi="Trebuchet MS"/>
          <w:sz w:val="28"/>
          <w:szCs w:val="28"/>
        </w:rPr>
      </w:pPr>
      <w:r w:rsidRPr="00940657">
        <w:rPr>
          <w:rFonts w:ascii="Trebuchet MS" w:hAnsi="Trebuchet MS"/>
          <w:b/>
          <w:bCs/>
          <w:sz w:val="28"/>
          <w:szCs w:val="28"/>
        </w:rPr>
        <w:t>Contribuer à une planification territoriale plus équitable</w:t>
      </w:r>
      <w:r w:rsidRPr="00940657">
        <w:rPr>
          <w:rFonts w:ascii="Trebuchet MS" w:hAnsi="Trebuchet MS"/>
          <w:sz w:val="28"/>
          <w:szCs w:val="28"/>
        </w:rPr>
        <w:t>, en réduisant les écarts entre provinces et en favorisant l’accès universel à une éducation de qualité.</w:t>
      </w:r>
    </w:p>
    <w:p w14:paraId="33B45C3D" w14:textId="77777777" w:rsidR="00B57706" w:rsidRDefault="00B57706" w:rsidP="00B57706">
      <w:pPr>
        <w:jc w:val="both"/>
        <w:rPr>
          <w:rFonts w:ascii="Trebuchet MS" w:hAnsi="Trebuchet MS"/>
          <w:sz w:val="28"/>
          <w:szCs w:val="28"/>
        </w:rPr>
      </w:pPr>
    </w:p>
    <w:p w14:paraId="44097728" w14:textId="77777777" w:rsidR="00B57706" w:rsidRDefault="00B57706" w:rsidP="00B57706">
      <w:pPr>
        <w:jc w:val="both"/>
        <w:rPr>
          <w:rFonts w:ascii="Trebuchet MS" w:hAnsi="Trebuchet MS"/>
          <w:sz w:val="28"/>
          <w:szCs w:val="28"/>
        </w:rPr>
      </w:pPr>
    </w:p>
    <w:p w14:paraId="6CAC27EF" w14:textId="77777777" w:rsidR="00B57706" w:rsidRDefault="00B57706" w:rsidP="00B57706">
      <w:pPr>
        <w:jc w:val="both"/>
        <w:rPr>
          <w:rFonts w:ascii="Trebuchet MS" w:hAnsi="Trebuchet MS"/>
          <w:sz w:val="28"/>
          <w:szCs w:val="28"/>
        </w:rPr>
      </w:pPr>
    </w:p>
    <w:p w14:paraId="3D44670E" w14:textId="77777777" w:rsidR="00B57706" w:rsidRDefault="00B57706" w:rsidP="00B57706">
      <w:pPr>
        <w:jc w:val="both"/>
        <w:rPr>
          <w:rFonts w:ascii="Trebuchet MS" w:hAnsi="Trebuchet MS"/>
          <w:sz w:val="28"/>
          <w:szCs w:val="28"/>
        </w:rPr>
      </w:pPr>
    </w:p>
    <w:p w14:paraId="1AF6C286" w14:textId="77777777" w:rsidR="00B57706" w:rsidRDefault="00B57706" w:rsidP="00B57706">
      <w:pPr>
        <w:jc w:val="both"/>
        <w:rPr>
          <w:rFonts w:ascii="Trebuchet MS" w:hAnsi="Trebuchet MS"/>
          <w:sz w:val="28"/>
          <w:szCs w:val="28"/>
        </w:rPr>
      </w:pPr>
    </w:p>
    <w:p w14:paraId="6B3C2359" w14:textId="77777777" w:rsidR="00B57706" w:rsidRDefault="00B57706" w:rsidP="00B57706">
      <w:pPr>
        <w:jc w:val="both"/>
        <w:rPr>
          <w:rFonts w:ascii="Trebuchet MS" w:hAnsi="Trebuchet MS"/>
          <w:sz w:val="28"/>
          <w:szCs w:val="28"/>
        </w:rPr>
      </w:pPr>
    </w:p>
    <w:p w14:paraId="0D776148" w14:textId="77777777" w:rsidR="00B57706" w:rsidRDefault="00B57706" w:rsidP="00B57706">
      <w:pPr>
        <w:jc w:val="both"/>
        <w:rPr>
          <w:rFonts w:ascii="Trebuchet MS" w:hAnsi="Trebuchet MS"/>
          <w:sz w:val="28"/>
          <w:szCs w:val="28"/>
        </w:rPr>
      </w:pPr>
    </w:p>
    <w:p w14:paraId="045721BC" w14:textId="77777777" w:rsidR="00B57706" w:rsidRDefault="00B57706" w:rsidP="00B57706">
      <w:pPr>
        <w:jc w:val="both"/>
        <w:rPr>
          <w:rFonts w:ascii="Trebuchet MS" w:hAnsi="Trebuchet MS"/>
          <w:sz w:val="28"/>
          <w:szCs w:val="28"/>
        </w:rPr>
      </w:pPr>
    </w:p>
    <w:tbl>
      <w:tblPr>
        <w:tblStyle w:val="Grilledutableau"/>
        <w:tblW w:w="14029" w:type="dxa"/>
        <w:tblLook w:val="04A0" w:firstRow="1" w:lastRow="0" w:firstColumn="1" w:lastColumn="0" w:noHBand="0" w:noVBand="1"/>
      </w:tblPr>
      <w:tblGrid>
        <w:gridCol w:w="4531"/>
        <w:gridCol w:w="9498"/>
      </w:tblGrid>
      <w:tr w:rsidR="00B57706" w14:paraId="6798EC91" w14:textId="77777777" w:rsidTr="00130736">
        <w:tc>
          <w:tcPr>
            <w:tcW w:w="4531" w:type="dxa"/>
          </w:tcPr>
          <w:p w14:paraId="3AC8100C" w14:textId="77777777" w:rsidR="00B57706" w:rsidRPr="007B2E18" w:rsidRDefault="00B57706" w:rsidP="00130736">
            <w:pPr>
              <w:tabs>
                <w:tab w:val="left" w:pos="284"/>
              </w:tabs>
              <w:jc w:val="both"/>
              <w:rPr>
                <w:rFonts w:ascii="Bookman Old Style" w:hAnsi="Bookman Old Style"/>
                <w:b/>
                <w:bCs/>
                <w:sz w:val="26"/>
                <w:szCs w:val="26"/>
              </w:rPr>
            </w:pPr>
            <w:r w:rsidRPr="007B2E18">
              <w:rPr>
                <w:rFonts w:ascii="Bookman Old Style" w:hAnsi="Bookman Old Style"/>
                <w:b/>
                <w:bCs/>
                <w:sz w:val="26"/>
                <w:szCs w:val="26"/>
              </w:rPr>
              <w:lastRenderedPageBreak/>
              <w:t>M</w:t>
            </w:r>
            <w:r>
              <w:rPr>
                <w:rFonts w:ascii="Bookman Old Style" w:hAnsi="Bookman Old Style"/>
                <w:b/>
                <w:bCs/>
                <w:sz w:val="26"/>
                <w:szCs w:val="26"/>
              </w:rPr>
              <w:t>ETHODOLOGIE DU TRAVAIL</w:t>
            </w:r>
          </w:p>
        </w:tc>
        <w:tc>
          <w:tcPr>
            <w:tcW w:w="9498" w:type="dxa"/>
          </w:tcPr>
          <w:p w14:paraId="281C7A9F" w14:textId="77777777" w:rsidR="00B57706" w:rsidRDefault="00B57706" w:rsidP="00130736">
            <w:pPr>
              <w:tabs>
                <w:tab w:val="left" w:pos="284"/>
              </w:tabs>
              <w:jc w:val="both"/>
              <w:rPr>
                <w:rFonts w:ascii="Bookman Old Style" w:hAnsi="Bookman Old Style"/>
                <w:sz w:val="26"/>
                <w:szCs w:val="26"/>
              </w:rPr>
            </w:pPr>
          </w:p>
        </w:tc>
      </w:tr>
      <w:tr w:rsidR="00B57706" w14:paraId="5FC121A5" w14:textId="77777777" w:rsidTr="00130736">
        <w:tc>
          <w:tcPr>
            <w:tcW w:w="4531" w:type="dxa"/>
          </w:tcPr>
          <w:p w14:paraId="70B86977" w14:textId="77777777" w:rsidR="00B57706" w:rsidRPr="007B2E18" w:rsidRDefault="00B57706" w:rsidP="00B57706">
            <w:pPr>
              <w:pStyle w:val="Paragraphedeliste"/>
              <w:numPr>
                <w:ilvl w:val="1"/>
                <w:numId w:val="2"/>
              </w:numPr>
              <w:tabs>
                <w:tab w:val="left" w:pos="284"/>
              </w:tabs>
              <w:jc w:val="both"/>
              <w:rPr>
                <w:rFonts w:ascii="Bookman Old Style" w:hAnsi="Bookman Old Style"/>
                <w:b/>
                <w:bCs/>
                <w:sz w:val="26"/>
                <w:szCs w:val="26"/>
                <w:u w:val="single"/>
              </w:rPr>
            </w:pPr>
            <w:r w:rsidRPr="007B2E18">
              <w:rPr>
                <w:rFonts w:ascii="Bookman Old Style" w:hAnsi="Bookman Old Style"/>
                <w:b/>
                <w:bCs/>
                <w:sz w:val="26"/>
                <w:szCs w:val="26"/>
                <w:u w:val="single"/>
              </w:rPr>
              <w:t xml:space="preserve">Etude Documentaire </w:t>
            </w:r>
          </w:p>
          <w:p w14:paraId="6DB2DE8F" w14:textId="77777777" w:rsidR="00B57706" w:rsidRDefault="00B57706" w:rsidP="00130736">
            <w:pPr>
              <w:tabs>
                <w:tab w:val="left" w:pos="284"/>
              </w:tabs>
              <w:jc w:val="both"/>
              <w:rPr>
                <w:rFonts w:ascii="Bookman Old Style" w:hAnsi="Bookman Old Style"/>
                <w:sz w:val="26"/>
                <w:szCs w:val="26"/>
              </w:rPr>
            </w:pPr>
          </w:p>
        </w:tc>
        <w:tc>
          <w:tcPr>
            <w:tcW w:w="9498" w:type="dxa"/>
          </w:tcPr>
          <w:p w14:paraId="0210F62F" w14:textId="77777777" w:rsidR="00B57706" w:rsidRDefault="00B57706" w:rsidP="00130736">
            <w:pPr>
              <w:tabs>
                <w:tab w:val="left" w:pos="284"/>
              </w:tabs>
              <w:jc w:val="both"/>
              <w:rPr>
                <w:rFonts w:ascii="Bookman Old Style" w:hAnsi="Bookman Old Style"/>
                <w:sz w:val="26"/>
                <w:szCs w:val="26"/>
              </w:rPr>
            </w:pPr>
          </w:p>
        </w:tc>
      </w:tr>
      <w:tr w:rsidR="00B57706" w14:paraId="1B2FB871" w14:textId="77777777" w:rsidTr="00130736">
        <w:tc>
          <w:tcPr>
            <w:tcW w:w="4531" w:type="dxa"/>
          </w:tcPr>
          <w:p w14:paraId="0F34961B" w14:textId="77777777" w:rsidR="00B57706" w:rsidRDefault="00B57706" w:rsidP="00130736">
            <w:pPr>
              <w:tabs>
                <w:tab w:val="left" w:pos="284"/>
              </w:tabs>
              <w:jc w:val="both"/>
              <w:rPr>
                <w:rFonts w:ascii="Bookman Old Style" w:hAnsi="Bookman Old Style"/>
                <w:sz w:val="26"/>
                <w:szCs w:val="26"/>
              </w:rPr>
            </w:pPr>
            <w:r w:rsidRPr="003743DD">
              <w:rPr>
                <w:rFonts w:ascii="Bookman Old Style" w:hAnsi="Bookman Old Style"/>
                <w:b/>
                <w:bCs/>
                <w:i/>
                <w:iCs/>
                <w:sz w:val="26"/>
                <w:szCs w:val="26"/>
              </w:rPr>
              <w:t>Cible</w:t>
            </w:r>
          </w:p>
        </w:tc>
        <w:tc>
          <w:tcPr>
            <w:tcW w:w="9498" w:type="dxa"/>
          </w:tcPr>
          <w:p w14:paraId="6F6F4825" w14:textId="77777777" w:rsidR="00B57706" w:rsidRDefault="00B57706" w:rsidP="00130736">
            <w:pPr>
              <w:tabs>
                <w:tab w:val="left" w:pos="284"/>
              </w:tabs>
              <w:jc w:val="both"/>
              <w:rPr>
                <w:rFonts w:ascii="Bookman Old Style" w:hAnsi="Bookman Old Style"/>
                <w:sz w:val="26"/>
                <w:szCs w:val="26"/>
              </w:rPr>
            </w:pPr>
            <w:r>
              <w:rPr>
                <w:rFonts w:ascii="Bookman Old Style" w:hAnsi="Bookman Old Style"/>
                <w:sz w:val="26"/>
                <w:szCs w:val="26"/>
              </w:rPr>
              <w:t>La Presse, organisation national et international, institution publique </w:t>
            </w:r>
          </w:p>
        </w:tc>
      </w:tr>
      <w:tr w:rsidR="00B57706" w14:paraId="30CE1CB1" w14:textId="77777777" w:rsidTr="00130736">
        <w:tc>
          <w:tcPr>
            <w:tcW w:w="4531" w:type="dxa"/>
          </w:tcPr>
          <w:p w14:paraId="10C38A6A" w14:textId="77777777" w:rsidR="00B57706" w:rsidRDefault="00B57706" w:rsidP="00130736">
            <w:pPr>
              <w:tabs>
                <w:tab w:val="left" w:pos="284"/>
              </w:tabs>
              <w:jc w:val="both"/>
              <w:rPr>
                <w:rFonts w:ascii="Bookman Old Style" w:hAnsi="Bookman Old Style"/>
                <w:sz w:val="26"/>
                <w:szCs w:val="26"/>
              </w:rPr>
            </w:pPr>
            <w:r w:rsidRPr="003743DD">
              <w:rPr>
                <w:rFonts w:ascii="Bookman Old Style" w:hAnsi="Bookman Old Style"/>
                <w:b/>
                <w:bCs/>
                <w:i/>
                <w:iCs/>
                <w:sz w:val="26"/>
                <w:szCs w:val="26"/>
              </w:rPr>
              <w:t>Technique</w:t>
            </w:r>
          </w:p>
        </w:tc>
        <w:tc>
          <w:tcPr>
            <w:tcW w:w="9498" w:type="dxa"/>
          </w:tcPr>
          <w:p w14:paraId="38A1C34C" w14:textId="77777777" w:rsidR="00B57706" w:rsidRDefault="00B57706" w:rsidP="00130736">
            <w:pPr>
              <w:tabs>
                <w:tab w:val="left" w:pos="284"/>
              </w:tabs>
              <w:jc w:val="both"/>
              <w:rPr>
                <w:rFonts w:ascii="Bookman Old Style" w:hAnsi="Bookman Old Style"/>
                <w:sz w:val="26"/>
                <w:szCs w:val="26"/>
              </w:rPr>
            </w:pPr>
            <w:r>
              <w:rPr>
                <w:rFonts w:ascii="Bookman Old Style" w:hAnsi="Bookman Old Style"/>
                <w:sz w:val="26"/>
                <w:szCs w:val="26"/>
              </w:rPr>
              <w:t>Lecture de la Documentation (PSND-MEPST/RDC 2024-2029, Projet 145T, CAP VERS LA VISION RDC 2050,</w:t>
            </w:r>
            <w:r w:rsidRPr="00937B21">
              <w:rPr>
                <w:rFonts w:ascii="Arial" w:hAnsi="Arial" w:cs="Arial"/>
                <w:color w:val="EEF0FF"/>
                <w:sz w:val="27"/>
                <w:szCs w:val="27"/>
                <w:shd w:val="clear" w:color="auto" w:fill="34457F"/>
              </w:rPr>
              <w:t xml:space="preserve"> </w:t>
            </w:r>
            <w:r w:rsidRPr="00937B21">
              <w:rPr>
                <w:rFonts w:ascii="Bookman Old Style" w:hAnsi="Bookman Old Style"/>
                <w:sz w:val="26"/>
                <w:szCs w:val="26"/>
              </w:rPr>
              <w:t>Le Plan Quinquennal 2024-2029</w:t>
            </w:r>
            <w:r>
              <w:rPr>
                <w:rFonts w:ascii="Bookman Old Style" w:hAnsi="Bookman Old Style"/>
                <w:sz w:val="26"/>
                <w:szCs w:val="26"/>
              </w:rPr>
              <w:t xml:space="preserve"> de l’EPST</w:t>
            </w:r>
            <w:r w:rsidRPr="00937B21">
              <w:rPr>
                <w:rFonts w:ascii="Bookman Old Style" w:hAnsi="Bookman Old Style"/>
                <w:sz w:val="26"/>
                <w:szCs w:val="26"/>
              </w:rPr>
              <w:t xml:space="preserve"> en RDC</w:t>
            </w:r>
            <w:r>
              <w:rPr>
                <w:rFonts w:ascii="Bookman Old Style" w:hAnsi="Bookman Old Style"/>
                <w:sz w:val="26"/>
                <w:szCs w:val="26"/>
              </w:rPr>
              <w:t>, l</w:t>
            </w:r>
            <w:r w:rsidRPr="00D93D1B">
              <w:rPr>
                <w:rFonts w:ascii="Bookman Old Style" w:hAnsi="Bookman Old Style"/>
                <w:sz w:val="26"/>
                <w:szCs w:val="26"/>
              </w:rPr>
              <w:t>es rapports d'activités</w:t>
            </w:r>
            <w:r>
              <w:rPr>
                <w:rFonts w:ascii="Bookman Old Style" w:hAnsi="Bookman Old Style"/>
                <w:sz w:val="26"/>
                <w:szCs w:val="26"/>
              </w:rPr>
              <w:t xml:space="preserve"> de juin 2024-février 2025</w:t>
            </w:r>
            <w:r w:rsidRPr="00D93D1B">
              <w:rPr>
                <w:rFonts w:ascii="Bookman Old Style" w:hAnsi="Bookman Old Style"/>
                <w:sz w:val="26"/>
                <w:szCs w:val="26"/>
              </w:rPr>
              <w:t xml:space="preserve"> du ministère</w:t>
            </w:r>
            <w:r>
              <w:rPr>
                <w:rFonts w:ascii="Bookman Old Style" w:hAnsi="Bookman Old Style"/>
                <w:sz w:val="26"/>
                <w:szCs w:val="26"/>
              </w:rPr>
              <w:t xml:space="preserve"> de l’EPST) ; Consultation du Site officielle de l’EPST, des enquêtes de l’INS, Banque Mondiale, etc.</w:t>
            </w:r>
          </w:p>
        </w:tc>
      </w:tr>
      <w:tr w:rsidR="00B57706" w14:paraId="4BCCB00B" w14:textId="77777777" w:rsidTr="00130736">
        <w:tc>
          <w:tcPr>
            <w:tcW w:w="4531" w:type="dxa"/>
          </w:tcPr>
          <w:p w14:paraId="6E2F8339" w14:textId="77777777" w:rsidR="00B57706" w:rsidRPr="007B2E18" w:rsidRDefault="00B57706" w:rsidP="00B57706">
            <w:pPr>
              <w:pStyle w:val="Paragraphedeliste"/>
              <w:numPr>
                <w:ilvl w:val="1"/>
                <w:numId w:val="2"/>
              </w:numPr>
              <w:tabs>
                <w:tab w:val="left" w:pos="284"/>
              </w:tabs>
              <w:jc w:val="both"/>
              <w:rPr>
                <w:rFonts w:ascii="Bookman Old Style" w:hAnsi="Bookman Old Style"/>
                <w:b/>
                <w:bCs/>
                <w:sz w:val="26"/>
                <w:szCs w:val="26"/>
                <w:u w:val="single"/>
              </w:rPr>
            </w:pPr>
            <w:r w:rsidRPr="007B2E18">
              <w:rPr>
                <w:rFonts w:ascii="Bookman Old Style" w:hAnsi="Bookman Old Style"/>
                <w:b/>
                <w:bCs/>
                <w:sz w:val="26"/>
                <w:szCs w:val="26"/>
                <w:u w:val="single"/>
              </w:rPr>
              <w:t>E</w:t>
            </w:r>
            <w:r>
              <w:rPr>
                <w:rFonts w:ascii="Bookman Old Style" w:hAnsi="Bookman Old Style"/>
                <w:b/>
                <w:bCs/>
                <w:sz w:val="26"/>
                <w:szCs w:val="26"/>
                <w:u w:val="single"/>
              </w:rPr>
              <w:t>nquête</w:t>
            </w:r>
          </w:p>
          <w:p w14:paraId="2FCA0224" w14:textId="77777777" w:rsidR="00B57706" w:rsidRDefault="00B57706" w:rsidP="00130736">
            <w:pPr>
              <w:tabs>
                <w:tab w:val="left" w:pos="284"/>
              </w:tabs>
              <w:jc w:val="both"/>
              <w:rPr>
                <w:rFonts w:ascii="Bookman Old Style" w:hAnsi="Bookman Old Style"/>
                <w:sz w:val="26"/>
                <w:szCs w:val="26"/>
              </w:rPr>
            </w:pPr>
          </w:p>
        </w:tc>
        <w:tc>
          <w:tcPr>
            <w:tcW w:w="9498" w:type="dxa"/>
          </w:tcPr>
          <w:p w14:paraId="73C0F039" w14:textId="77777777" w:rsidR="00B57706" w:rsidRDefault="00B57706" w:rsidP="00130736">
            <w:pPr>
              <w:tabs>
                <w:tab w:val="left" w:pos="284"/>
              </w:tabs>
              <w:jc w:val="both"/>
              <w:rPr>
                <w:rFonts w:ascii="Bookman Old Style" w:hAnsi="Bookman Old Style"/>
                <w:sz w:val="26"/>
                <w:szCs w:val="26"/>
              </w:rPr>
            </w:pPr>
          </w:p>
        </w:tc>
      </w:tr>
      <w:tr w:rsidR="00B57706" w14:paraId="3B915088" w14:textId="77777777" w:rsidTr="00130736">
        <w:tc>
          <w:tcPr>
            <w:tcW w:w="4531" w:type="dxa"/>
          </w:tcPr>
          <w:p w14:paraId="068A8139" w14:textId="77777777" w:rsidR="00B57706" w:rsidRDefault="00B57706" w:rsidP="00130736">
            <w:pPr>
              <w:tabs>
                <w:tab w:val="left" w:pos="284"/>
              </w:tabs>
              <w:jc w:val="both"/>
              <w:rPr>
                <w:rFonts w:ascii="Bookman Old Style" w:hAnsi="Bookman Old Style"/>
                <w:sz w:val="26"/>
                <w:szCs w:val="26"/>
              </w:rPr>
            </w:pPr>
            <w:r w:rsidRPr="003743DD">
              <w:rPr>
                <w:rFonts w:ascii="Bookman Old Style" w:hAnsi="Bookman Old Style"/>
                <w:b/>
                <w:bCs/>
                <w:i/>
                <w:iCs/>
                <w:sz w:val="26"/>
                <w:szCs w:val="26"/>
              </w:rPr>
              <w:t>Cible</w:t>
            </w:r>
          </w:p>
        </w:tc>
        <w:tc>
          <w:tcPr>
            <w:tcW w:w="9498" w:type="dxa"/>
          </w:tcPr>
          <w:p w14:paraId="0A8C186A" w14:textId="77777777" w:rsidR="00B57706" w:rsidRDefault="00B57706" w:rsidP="00130736">
            <w:pPr>
              <w:tabs>
                <w:tab w:val="left" w:pos="284"/>
              </w:tabs>
              <w:jc w:val="both"/>
              <w:rPr>
                <w:rFonts w:ascii="Bookman Old Style" w:hAnsi="Bookman Old Style"/>
                <w:sz w:val="26"/>
                <w:szCs w:val="26"/>
              </w:rPr>
            </w:pPr>
            <w:r>
              <w:rPr>
                <w:rFonts w:ascii="Bookman Old Style" w:hAnsi="Bookman Old Style"/>
                <w:sz w:val="26"/>
                <w:szCs w:val="26"/>
              </w:rPr>
              <w:t>Expert de l’EPST, structure privée et publique de différents domaines</w:t>
            </w:r>
          </w:p>
        </w:tc>
      </w:tr>
      <w:tr w:rsidR="00B57706" w14:paraId="7731F7FA" w14:textId="77777777" w:rsidTr="00130736">
        <w:tc>
          <w:tcPr>
            <w:tcW w:w="4531" w:type="dxa"/>
          </w:tcPr>
          <w:p w14:paraId="50CB49D2" w14:textId="77777777" w:rsidR="00B57706" w:rsidRPr="003743DD" w:rsidRDefault="00B57706" w:rsidP="00130736">
            <w:pPr>
              <w:tabs>
                <w:tab w:val="left" w:pos="284"/>
              </w:tabs>
              <w:jc w:val="both"/>
              <w:rPr>
                <w:rFonts w:ascii="Bookman Old Style" w:hAnsi="Bookman Old Style"/>
                <w:b/>
                <w:bCs/>
                <w:i/>
                <w:iCs/>
                <w:sz w:val="26"/>
                <w:szCs w:val="26"/>
              </w:rPr>
            </w:pPr>
            <w:r w:rsidRPr="003743DD">
              <w:rPr>
                <w:rFonts w:ascii="Bookman Old Style" w:hAnsi="Bookman Old Style"/>
                <w:b/>
                <w:bCs/>
                <w:i/>
                <w:iCs/>
                <w:sz w:val="26"/>
                <w:szCs w:val="26"/>
              </w:rPr>
              <w:t>Technique</w:t>
            </w:r>
          </w:p>
        </w:tc>
        <w:tc>
          <w:tcPr>
            <w:tcW w:w="9498" w:type="dxa"/>
          </w:tcPr>
          <w:p w14:paraId="21DBE405" w14:textId="77777777" w:rsidR="00B57706" w:rsidRPr="007B2E18" w:rsidRDefault="00B57706" w:rsidP="00130736">
            <w:pPr>
              <w:tabs>
                <w:tab w:val="left" w:pos="284"/>
              </w:tabs>
              <w:jc w:val="both"/>
              <w:rPr>
                <w:rFonts w:ascii="Bookman Old Style" w:hAnsi="Bookman Old Style"/>
                <w:b/>
                <w:bCs/>
                <w:i/>
                <w:iCs/>
                <w:sz w:val="26"/>
                <w:szCs w:val="26"/>
              </w:rPr>
            </w:pPr>
            <w:r w:rsidRPr="007B2E18">
              <w:rPr>
                <w:rFonts w:ascii="Bookman Old Style" w:hAnsi="Bookman Old Style"/>
                <w:sz w:val="26"/>
                <w:szCs w:val="26"/>
              </w:rPr>
              <w:t>Interview</w:t>
            </w:r>
            <w:r>
              <w:rPr>
                <w:rFonts w:ascii="Bookman Old Style" w:hAnsi="Bookman Old Style"/>
                <w:sz w:val="26"/>
                <w:szCs w:val="26"/>
              </w:rPr>
              <w:t xml:space="preserve"> téléphonique et présentiel</w:t>
            </w:r>
            <w:r w:rsidRPr="007B2E18">
              <w:rPr>
                <w:rFonts w:ascii="Bookman Old Style" w:hAnsi="Bookman Old Style"/>
                <w:sz w:val="26"/>
                <w:szCs w:val="26"/>
              </w:rPr>
              <w:t xml:space="preserve"> avec les experts de la DEP, DIGE/EPST, chefs de bureau du service population à l’hôtel de ville, directeur et statisticiens de l’INS ; observation de l’environnement de Kinshasa, milieu éducatif, etc</w:t>
            </w:r>
          </w:p>
          <w:p w14:paraId="0BC7486B" w14:textId="77777777" w:rsidR="00B57706" w:rsidRDefault="00B57706" w:rsidP="00130736">
            <w:pPr>
              <w:tabs>
                <w:tab w:val="left" w:pos="284"/>
              </w:tabs>
              <w:jc w:val="both"/>
              <w:rPr>
                <w:rFonts w:ascii="Bookman Old Style" w:hAnsi="Bookman Old Style"/>
                <w:sz w:val="26"/>
                <w:szCs w:val="26"/>
              </w:rPr>
            </w:pPr>
          </w:p>
        </w:tc>
      </w:tr>
    </w:tbl>
    <w:p w14:paraId="6311BE8D" w14:textId="77777777" w:rsidR="00B57706" w:rsidRPr="00940657" w:rsidRDefault="00B57706" w:rsidP="00B57706">
      <w:pPr>
        <w:jc w:val="both"/>
        <w:rPr>
          <w:rFonts w:ascii="Trebuchet MS" w:hAnsi="Trebuchet MS"/>
          <w:sz w:val="28"/>
          <w:szCs w:val="28"/>
        </w:rPr>
      </w:pPr>
    </w:p>
    <w:p w14:paraId="54FECB29" w14:textId="77777777" w:rsidR="00474A34" w:rsidRDefault="00474A34" w:rsidP="00474A34">
      <w:pPr>
        <w:ind w:firstLine="1134"/>
        <w:jc w:val="both"/>
        <w:rPr>
          <w:rFonts w:ascii="Trebuchet MS" w:hAnsi="Trebuchet MS"/>
          <w:sz w:val="28"/>
          <w:szCs w:val="28"/>
        </w:rPr>
      </w:pPr>
    </w:p>
    <w:p w14:paraId="47CFF1BE" w14:textId="77777777" w:rsidR="00B57706" w:rsidRDefault="00B57706" w:rsidP="00474A34">
      <w:pPr>
        <w:ind w:firstLine="1134"/>
        <w:jc w:val="both"/>
        <w:rPr>
          <w:rFonts w:ascii="Trebuchet MS" w:hAnsi="Trebuchet MS"/>
          <w:sz w:val="28"/>
          <w:szCs w:val="28"/>
        </w:rPr>
      </w:pPr>
    </w:p>
    <w:p w14:paraId="533A3FB0" w14:textId="77777777" w:rsidR="00B57706" w:rsidRDefault="00B57706" w:rsidP="00474A34">
      <w:pPr>
        <w:ind w:firstLine="1134"/>
        <w:jc w:val="both"/>
        <w:rPr>
          <w:rFonts w:ascii="Trebuchet MS" w:hAnsi="Trebuchet MS"/>
          <w:sz w:val="28"/>
          <w:szCs w:val="28"/>
        </w:rPr>
      </w:pPr>
    </w:p>
    <w:p w14:paraId="2504F121" w14:textId="77777777" w:rsidR="00B57706" w:rsidRDefault="00B57706" w:rsidP="00474A34">
      <w:pPr>
        <w:ind w:firstLine="1134"/>
        <w:jc w:val="both"/>
        <w:rPr>
          <w:rFonts w:ascii="Trebuchet MS" w:hAnsi="Trebuchet MS"/>
          <w:sz w:val="28"/>
          <w:szCs w:val="28"/>
        </w:rPr>
      </w:pPr>
    </w:p>
    <w:p w14:paraId="1A545189" w14:textId="77777777" w:rsidR="00B57706" w:rsidRDefault="00B57706" w:rsidP="00474A34">
      <w:pPr>
        <w:ind w:firstLine="1134"/>
        <w:jc w:val="both"/>
        <w:rPr>
          <w:rFonts w:ascii="Trebuchet MS" w:hAnsi="Trebuchet MS"/>
          <w:sz w:val="28"/>
          <w:szCs w:val="28"/>
        </w:rPr>
      </w:pPr>
    </w:p>
    <w:p w14:paraId="41F0B348" w14:textId="77777777" w:rsidR="00B57706" w:rsidRDefault="00B57706" w:rsidP="00474A34">
      <w:pPr>
        <w:ind w:firstLine="1134"/>
        <w:jc w:val="both"/>
        <w:rPr>
          <w:rFonts w:ascii="Trebuchet MS" w:hAnsi="Trebuchet MS"/>
          <w:sz w:val="28"/>
          <w:szCs w:val="28"/>
        </w:rPr>
      </w:pPr>
    </w:p>
    <w:p w14:paraId="7A1F2153" w14:textId="77777777" w:rsidR="00B57706" w:rsidRDefault="00B57706" w:rsidP="00474A34">
      <w:pPr>
        <w:ind w:firstLine="1134"/>
        <w:jc w:val="both"/>
        <w:rPr>
          <w:rFonts w:ascii="Trebuchet MS" w:hAnsi="Trebuchet MS"/>
          <w:sz w:val="28"/>
          <w:szCs w:val="28"/>
        </w:rPr>
      </w:pPr>
    </w:p>
    <w:p w14:paraId="37670690" w14:textId="77777777" w:rsidR="00B57706" w:rsidRDefault="00B57706" w:rsidP="00474A34">
      <w:pPr>
        <w:ind w:firstLine="1134"/>
        <w:jc w:val="both"/>
        <w:rPr>
          <w:rFonts w:ascii="Trebuchet MS" w:hAnsi="Trebuchet MS"/>
          <w:sz w:val="28"/>
          <w:szCs w:val="28"/>
        </w:rPr>
      </w:pPr>
    </w:p>
    <w:p w14:paraId="1D1D6BA0" w14:textId="77777777" w:rsidR="00B57706" w:rsidRDefault="00B57706" w:rsidP="00474A34">
      <w:pPr>
        <w:ind w:firstLine="1134"/>
        <w:jc w:val="both"/>
        <w:rPr>
          <w:rFonts w:ascii="Trebuchet MS" w:hAnsi="Trebuchet MS"/>
          <w:sz w:val="28"/>
          <w:szCs w:val="28"/>
        </w:rPr>
      </w:pPr>
    </w:p>
    <w:p w14:paraId="551F8061" w14:textId="77777777" w:rsidR="00B57706" w:rsidRDefault="00B57706" w:rsidP="00474A34">
      <w:pPr>
        <w:ind w:firstLine="1134"/>
        <w:jc w:val="both"/>
        <w:rPr>
          <w:rFonts w:ascii="Trebuchet MS" w:hAnsi="Trebuchet MS"/>
          <w:sz w:val="28"/>
          <w:szCs w:val="28"/>
        </w:rPr>
      </w:pPr>
    </w:p>
    <w:p w14:paraId="1E20CEB9" w14:textId="77777777" w:rsidR="00B57706" w:rsidRDefault="00B57706" w:rsidP="00474A34">
      <w:pPr>
        <w:ind w:firstLine="1134"/>
        <w:jc w:val="both"/>
        <w:rPr>
          <w:rFonts w:ascii="Trebuchet MS" w:hAnsi="Trebuchet MS"/>
          <w:sz w:val="28"/>
          <w:szCs w:val="28"/>
        </w:rPr>
      </w:pPr>
    </w:p>
    <w:p w14:paraId="0AF26289" w14:textId="77777777" w:rsidR="00B57706" w:rsidRDefault="00B57706" w:rsidP="00474A34">
      <w:pPr>
        <w:ind w:firstLine="1134"/>
        <w:jc w:val="both"/>
        <w:rPr>
          <w:rFonts w:ascii="Trebuchet MS" w:hAnsi="Trebuchet MS"/>
          <w:sz w:val="28"/>
          <w:szCs w:val="28"/>
        </w:rPr>
      </w:pPr>
    </w:p>
    <w:p w14:paraId="0C0CB526" w14:textId="77777777" w:rsidR="00B57706" w:rsidRDefault="00B57706" w:rsidP="00474A34">
      <w:pPr>
        <w:ind w:firstLine="1134"/>
        <w:jc w:val="both"/>
        <w:rPr>
          <w:rFonts w:ascii="Trebuchet MS" w:hAnsi="Trebuchet MS"/>
          <w:sz w:val="28"/>
          <w:szCs w:val="28"/>
        </w:rPr>
      </w:pPr>
    </w:p>
    <w:p w14:paraId="11CF0242" w14:textId="77777777" w:rsidR="00B57706" w:rsidRDefault="00B57706" w:rsidP="00474A34">
      <w:pPr>
        <w:ind w:firstLine="1134"/>
        <w:jc w:val="both"/>
        <w:rPr>
          <w:rFonts w:ascii="Trebuchet MS" w:hAnsi="Trebuchet MS"/>
          <w:sz w:val="28"/>
          <w:szCs w:val="28"/>
        </w:rPr>
      </w:pPr>
    </w:p>
    <w:p w14:paraId="223E3F09" w14:textId="77777777" w:rsidR="00B57706" w:rsidRDefault="00B57706" w:rsidP="00474A34">
      <w:pPr>
        <w:ind w:firstLine="1134"/>
        <w:jc w:val="both"/>
        <w:rPr>
          <w:rFonts w:ascii="Trebuchet MS" w:hAnsi="Trebuchet MS"/>
          <w:sz w:val="28"/>
          <w:szCs w:val="28"/>
        </w:rPr>
      </w:pPr>
    </w:p>
    <w:p w14:paraId="7BD045D6" w14:textId="77777777" w:rsidR="00B57706" w:rsidRPr="00940657" w:rsidRDefault="00B57706" w:rsidP="00B57706">
      <w:pPr>
        <w:jc w:val="both"/>
        <w:rPr>
          <w:rFonts w:ascii="Trebuchet MS" w:hAnsi="Trebuchet MS"/>
          <w:b/>
          <w:bCs/>
          <w:sz w:val="28"/>
          <w:szCs w:val="28"/>
        </w:rPr>
      </w:pPr>
      <w:r w:rsidRPr="00940657">
        <w:rPr>
          <w:rFonts w:ascii="Trebuchet MS" w:hAnsi="Trebuchet MS"/>
          <w:b/>
          <w:bCs/>
          <w:sz w:val="28"/>
          <w:szCs w:val="28"/>
        </w:rPr>
        <w:lastRenderedPageBreak/>
        <w:t>CHOIX ET DÉLIMITATION DU SUJET</w:t>
      </w:r>
    </w:p>
    <w:p w14:paraId="00142F50" w14:textId="778F05FF" w:rsidR="00B57706" w:rsidRPr="00940657" w:rsidRDefault="00B57706" w:rsidP="00B57706">
      <w:pPr>
        <w:ind w:firstLine="1134"/>
        <w:jc w:val="both"/>
        <w:rPr>
          <w:rFonts w:ascii="Trebuchet MS" w:hAnsi="Trebuchet MS"/>
          <w:sz w:val="28"/>
          <w:szCs w:val="28"/>
        </w:rPr>
      </w:pPr>
      <w:r w:rsidRPr="00940657">
        <w:rPr>
          <w:rFonts w:ascii="Trebuchet MS" w:hAnsi="Trebuchet MS"/>
          <w:sz w:val="28"/>
          <w:szCs w:val="28"/>
        </w:rPr>
        <w:t>Le choix de ce projet s’inscrit dans une volonté de répondre aux défis de la planification éducative à l’échelle de la RDC. Il s’agit de développer une application d’intelligence artificielle capable de prédire les besoins en infrastructures scolaires (écoles, classes) pour toutes les provinces du pays, en tenant compte de l’évolution démographique, de la politique de gratuité, des contextes de sécurité, et des disparités régionales.</w:t>
      </w:r>
    </w:p>
    <w:p w14:paraId="5E263BC8" w14:textId="77777777" w:rsidR="00B57706" w:rsidRPr="00940657" w:rsidRDefault="00B57706" w:rsidP="00474A34">
      <w:pPr>
        <w:ind w:firstLine="1134"/>
        <w:jc w:val="both"/>
        <w:rPr>
          <w:rFonts w:ascii="Trebuchet MS" w:hAnsi="Trebuchet MS"/>
          <w:sz w:val="28"/>
          <w:szCs w:val="28"/>
        </w:rPr>
      </w:pPr>
    </w:p>
    <w:p w14:paraId="39D9742B" w14:textId="77777777" w:rsidR="00474A34" w:rsidRDefault="00474A34"/>
    <w:sectPr w:rsidR="00474A3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7103C" w14:textId="77777777" w:rsidR="00CB7F81" w:rsidRDefault="00CB7F81" w:rsidP="00B57706">
      <w:pPr>
        <w:spacing w:after="0" w:line="240" w:lineRule="auto"/>
      </w:pPr>
      <w:r>
        <w:separator/>
      </w:r>
    </w:p>
  </w:endnote>
  <w:endnote w:type="continuationSeparator" w:id="0">
    <w:p w14:paraId="0D441558" w14:textId="77777777" w:rsidR="00CB7F81" w:rsidRDefault="00CB7F81" w:rsidP="00B5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1E9C6" w14:textId="77777777" w:rsidR="00CB7F81" w:rsidRDefault="00CB7F81" w:rsidP="00B57706">
      <w:pPr>
        <w:spacing w:after="0" w:line="240" w:lineRule="auto"/>
      </w:pPr>
      <w:r>
        <w:separator/>
      </w:r>
    </w:p>
  </w:footnote>
  <w:footnote w:type="continuationSeparator" w:id="0">
    <w:p w14:paraId="659DE1E3" w14:textId="77777777" w:rsidR="00CB7F81" w:rsidRDefault="00CB7F81" w:rsidP="00B5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942380892"/>
      <w:docPartObj>
        <w:docPartGallery w:val="Page Numbers (Top of Page)"/>
        <w:docPartUnique/>
      </w:docPartObj>
    </w:sdtPr>
    <w:sdtEndPr>
      <w:rPr>
        <w:b/>
        <w:bCs/>
        <w:color w:val="auto"/>
        <w:spacing w:val="0"/>
      </w:rPr>
    </w:sdtEndPr>
    <w:sdtContent>
      <w:p w14:paraId="7AE13EFC" w14:textId="3D2F6570" w:rsidR="00B57706" w:rsidRDefault="00B57706">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Pr>
            <w:b/>
            <w:bCs/>
          </w:rPr>
          <w:t>2</w:t>
        </w:r>
        <w:r>
          <w:rPr>
            <w:b/>
            <w:bCs/>
          </w:rPr>
          <w:fldChar w:fldCharType="end"/>
        </w:r>
      </w:p>
    </w:sdtContent>
  </w:sdt>
  <w:p w14:paraId="683AA5C9" w14:textId="77777777" w:rsidR="00B57706" w:rsidRDefault="00B577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E5F03"/>
    <w:multiLevelType w:val="multilevel"/>
    <w:tmpl w:val="6FC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A71ABC"/>
    <w:multiLevelType w:val="multilevel"/>
    <w:tmpl w:val="1910B872"/>
    <w:lvl w:ilvl="0">
      <w:start w:val="1"/>
      <w:numFmt w:val="decimal"/>
      <w:lvlText w:val="%1."/>
      <w:lvlJc w:val="left"/>
      <w:pPr>
        <w:ind w:left="81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2250" w:hanging="180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970" w:hanging="2520"/>
      </w:pPr>
      <w:rPr>
        <w:rFonts w:hint="default"/>
      </w:rPr>
    </w:lvl>
  </w:abstractNum>
  <w:num w:numId="1" w16cid:durableId="1505778984">
    <w:abstractNumId w:val="0"/>
  </w:num>
  <w:num w:numId="2" w16cid:durableId="40364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34"/>
    <w:rsid w:val="00474A34"/>
    <w:rsid w:val="00B1793C"/>
    <w:rsid w:val="00B57706"/>
    <w:rsid w:val="00CB7F81"/>
    <w:rsid w:val="00E342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47DF"/>
  <w15:chartTrackingRefBased/>
  <w15:docId w15:val="{1865F2F2-0EE1-4BC8-98C8-D8D02D49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A34"/>
  </w:style>
  <w:style w:type="paragraph" w:styleId="Titre1">
    <w:name w:val="heading 1"/>
    <w:basedOn w:val="Normal"/>
    <w:next w:val="Normal"/>
    <w:link w:val="Titre1Car"/>
    <w:uiPriority w:val="9"/>
    <w:qFormat/>
    <w:rsid w:val="00474A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74A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74A3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74A3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74A3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74A3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4A3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4A3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4A3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4A3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74A3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74A3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74A3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74A3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74A3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4A3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4A3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4A34"/>
    <w:rPr>
      <w:rFonts w:eastAsiaTheme="majorEastAsia" w:cstheme="majorBidi"/>
      <w:color w:val="272727" w:themeColor="text1" w:themeTint="D8"/>
    </w:rPr>
  </w:style>
  <w:style w:type="paragraph" w:styleId="Titre">
    <w:name w:val="Title"/>
    <w:basedOn w:val="Normal"/>
    <w:next w:val="Normal"/>
    <w:link w:val="TitreCar"/>
    <w:uiPriority w:val="10"/>
    <w:qFormat/>
    <w:rsid w:val="00474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4A3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4A3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4A3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4A34"/>
    <w:pPr>
      <w:spacing w:before="160"/>
      <w:jc w:val="center"/>
    </w:pPr>
    <w:rPr>
      <w:i/>
      <w:iCs/>
      <w:color w:val="404040" w:themeColor="text1" w:themeTint="BF"/>
    </w:rPr>
  </w:style>
  <w:style w:type="character" w:customStyle="1" w:styleId="CitationCar">
    <w:name w:val="Citation Car"/>
    <w:basedOn w:val="Policepardfaut"/>
    <w:link w:val="Citation"/>
    <w:uiPriority w:val="29"/>
    <w:rsid w:val="00474A34"/>
    <w:rPr>
      <w:i/>
      <w:iCs/>
      <w:color w:val="404040" w:themeColor="text1" w:themeTint="BF"/>
    </w:rPr>
  </w:style>
  <w:style w:type="paragraph" w:styleId="Paragraphedeliste">
    <w:name w:val="List Paragraph"/>
    <w:basedOn w:val="Normal"/>
    <w:uiPriority w:val="34"/>
    <w:qFormat/>
    <w:rsid w:val="00474A34"/>
    <w:pPr>
      <w:ind w:left="720"/>
      <w:contextualSpacing/>
    </w:pPr>
  </w:style>
  <w:style w:type="character" w:styleId="Accentuationintense">
    <w:name w:val="Intense Emphasis"/>
    <w:basedOn w:val="Policepardfaut"/>
    <w:uiPriority w:val="21"/>
    <w:qFormat/>
    <w:rsid w:val="00474A34"/>
    <w:rPr>
      <w:i/>
      <w:iCs/>
      <w:color w:val="2F5496" w:themeColor="accent1" w:themeShade="BF"/>
    </w:rPr>
  </w:style>
  <w:style w:type="paragraph" w:styleId="Citationintense">
    <w:name w:val="Intense Quote"/>
    <w:basedOn w:val="Normal"/>
    <w:next w:val="Normal"/>
    <w:link w:val="CitationintenseCar"/>
    <w:uiPriority w:val="30"/>
    <w:qFormat/>
    <w:rsid w:val="00474A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74A34"/>
    <w:rPr>
      <w:i/>
      <w:iCs/>
      <w:color w:val="2F5496" w:themeColor="accent1" w:themeShade="BF"/>
    </w:rPr>
  </w:style>
  <w:style w:type="character" w:styleId="Rfrenceintense">
    <w:name w:val="Intense Reference"/>
    <w:basedOn w:val="Policepardfaut"/>
    <w:uiPriority w:val="32"/>
    <w:qFormat/>
    <w:rsid w:val="00474A34"/>
    <w:rPr>
      <w:b/>
      <w:bCs/>
      <w:smallCaps/>
      <w:color w:val="2F5496" w:themeColor="accent1" w:themeShade="BF"/>
      <w:spacing w:val="5"/>
    </w:rPr>
  </w:style>
  <w:style w:type="table" w:styleId="Grilledutableau">
    <w:name w:val="Table Grid"/>
    <w:basedOn w:val="TableauNormal"/>
    <w:uiPriority w:val="39"/>
    <w:rsid w:val="00B5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57706"/>
    <w:pPr>
      <w:tabs>
        <w:tab w:val="center" w:pos="4536"/>
        <w:tab w:val="right" w:pos="9072"/>
      </w:tabs>
      <w:spacing w:after="0" w:line="240" w:lineRule="auto"/>
    </w:pPr>
  </w:style>
  <w:style w:type="character" w:customStyle="1" w:styleId="En-tteCar">
    <w:name w:val="En-tête Car"/>
    <w:basedOn w:val="Policepardfaut"/>
    <w:link w:val="En-tte"/>
    <w:uiPriority w:val="99"/>
    <w:rsid w:val="00B57706"/>
  </w:style>
  <w:style w:type="paragraph" w:styleId="Pieddepage">
    <w:name w:val="footer"/>
    <w:basedOn w:val="Normal"/>
    <w:link w:val="PieddepageCar"/>
    <w:uiPriority w:val="99"/>
    <w:unhideWhenUsed/>
    <w:rsid w:val="00B577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4</Pages>
  <Words>717</Words>
  <Characters>3946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mutomboilunga3220@outlook.com</dc:creator>
  <cp:keywords/>
  <dc:description/>
  <cp:lastModifiedBy>mutomboilunga3220@outlook.com</cp:lastModifiedBy>
  <cp:revision>2</cp:revision>
  <dcterms:created xsi:type="dcterms:W3CDTF">2025-07-09T19:09:00Z</dcterms:created>
  <dcterms:modified xsi:type="dcterms:W3CDTF">2025-07-10T06:01:00Z</dcterms:modified>
</cp:coreProperties>
</file>