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1207" w14:textId="188BF3FE" w:rsidR="002F2296" w:rsidRDefault="002F2296" w:rsidP="002F2296">
      <w:pPr>
        <w:jc w:val="both"/>
        <w:rPr>
          <w:rFonts w:ascii="Trebuchet MS" w:hAnsi="Trebuchet MS"/>
          <w:sz w:val="28"/>
          <w:szCs w:val="28"/>
        </w:rPr>
      </w:pPr>
      <w:r>
        <w:rPr>
          <w:rFonts w:ascii="Trebuchet MS" w:hAnsi="Trebuchet MS"/>
          <w:sz w:val="28"/>
          <w:szCs w:val="28"/>
        </w:rPr>
        <w:t xml:space="preserve">Projet : </w:t>
      </w:r>
      <w:r w:rsidRPr="002F2296">
        <w:rPr>
          <w:rFonts w:ascii="Trebuchet MS" w:hAnsi="Trebuchet MS"/>
          <w:sz w:val="28"/>
          <w:szCs w:val="28"/>
          <w:highlight w:val="magenta"/>
        </w:rPr>
        <w:t>SIPBIS</w:t>
      </w:r>
      <w:r>
        <w:rPr>
          <w:rFonts w:ascii="Trebuchet MS" w:hAnsi="Trebuchet MS"/>
          <w:sz w:val="28"/>
          <w:szCs w:val="28"/>
        </w:rPr>
        <w:t xml:space="preserve"> </w:t>
      </w:r>
    </w:p>
    <w:p w14:paraId="0E34B6F4" w14:textId="77777777" w:rsidR="002F2296" w:rsidRDefault="002F2296" w:rsidP="002F2296">
      <w:pPr>
        <w:jc w:val="both"/>
        <w:rPr>
          <w:rFonts w:ascii="Trebuchet MS" w:hAnsi="Trebuchet MS"/>
          <w:sz w:val="28"/>
          <w:szCs w:val="28"/>
        </w:rPr>
      </w:pPr>
      <w:r w:rsidRPr="002F2296">
        <w:rPr>
          <w:rFonts w:ascii="Trebuchet MS" w:hAnsi="Trebuchet MS"/>
          <w:sz w:val="28"/>
          <w:szCs w:val="28"/>
        </w:rPr>
        <w:t>L’analyse réalisée est une </w:t>
      </w:r>
      <w:r w:rsidRPr="002F2296">
        <w:rPr>
          <w:rFonts w:ascii="Trebuchet MS" w:hAnsi="Trebuchet MS"/>
          <w:b/>
          <w:bCs/>
          <w:sz w:val="28"/>
          <w:szCs w:val="28"/>
        </w:rPr>
        <w:t>analyse descriptive et exploratoire des données historiques</w:t>
      </w:r>
      <w:r w:rsidRPr="002F2296">
        <w:rPr>
          <w:rFonts w:ascii="Trebuchet MS" w:hAnsi="Trebuchet MS"/>
          <w:sz w:val="28"/>
          <w:szCs w:val="28"/>
        </w:rPr>
        <w:t xml:space="preserve"> de la scolarisation primaire en RDC, basée </w:t>
      </w:r>
      <w:r>
        <w:rPr>
          <w:rFonts w:ascii="Trebuchet MS" w:hAnsi="Trebuchet MS"/>
          <w:sz w:val="28"/>
          <w:szCs w:val="28"/>
        </w:rPr>
        <w:t>sur la Base de Donnée</w:t>
      </w:r>
      <w:r w:rsidRPr="002F2296">
        <w:rPr>
          <w:rFonts w:ascii="Trebuchet MS" w:hAnsi="Trebuchet MS"/>
          <w:sz w:val="28"/>
          <w:szCs w:val="28"/>
        </w:rPr>
        <w:t> </w:t>
      </w:r>
      <w:proofErr w:type="spellStart"/>
      <w:r w:rsidRPr="002F2296">
        <w:rPr>
          <w:rFonts w:ascii="Trebuchet MS" w:hAnsi="Trebuchet MS"/>
          <w:sz w:val="28"/>
          <w:szCs w:val="28"/>
        </w:rPr>
        <w:t>Besoin_scolaire</w:t>
      </w:r>
      <w:proofErr w:type="spellEnd"/>
      <w:r w:rsidRPr="002F2296">
        <w:rPr>
          <w:rFonts w:ascii="Trebuchet MS" w:hAnsi="Trebuchet MS"/>
          <w:sz w:val="28"/>
          <w:szCs w:val="28"/>
        </w:rPr>
        <w:t> (feuille </w:t>
      </w:r>
      <w:r w:rsidRPr="002F2296">
        <w:rPr>
          <w:rFonts w:ascii="Trebuchet MS" w:hAnsi="Trebuchet MS"/>
          <w:sz w:val="28"/>
          <w:szCs w:val="28"/>
        </w:rPr>
        <w:t>BD Nettoyage</w:t>
      </w:r>
      <w:r w:rsidRPr="002F2296">
        <w:rPr>
          <w:rFonts w:ascii="Trebuchet MS" w:hAnsi="Trebuchet MS"/>
          <w:sz w:val="28"/>
          <w:szCs w:val="28"/>
        </w:rPr>
        <w:t>)</w:t>
      </w:r>
      <w:r>
        <w:rPr>
          <w:rFonts w:ascii="Trebuchet MS" w:hAnsi="Trebuchet MS"/>
          <w:sz w:val="28"/>
          <w:szCs w:val="28"/>
        </w:rPr>
        <w:t>.</w:t>
      </w:r>
    </w:p>
    <w:p w14:paraId="1699488A" w14:textId="5FC7C746" w:rsidR="002F2296" w:rsidRPr="002F2296" w:rsidRDefault="002F2296" w:rsidP="002F2296">
      <w:pPr>
        <w:jc w:val="both"/>
        <w:rPr>
          <w:rFonts w:ascii="Trebuchet MS" w:hAnsi="Trebuchet MS"/>
          <w:sz w:val="28"/>
          <w:szCs w:val="28"/>
        </w:rPr>
      </w:pPr>
      <w:r w:rsidRPr="002F2296">
        <w:rPr>
          <w:rFonts w:ascii="Trebuchet MS" w:hAnsi="Trebuchet MS"/>
          <w:sz w:val="28"/>
          <w:szCs w:val="28"/>
        </w:rPr>
        <w:t xml:space="preserve"> </w:t>
      </w:r>
      <w:proofErr w:type="gramStart"/>
      <w:r w:rsidRPr="002F2296">
        <w:rPr>
          <w:rFonts w:ascii="Trebuchet MS" w:hAnsi="Trebuchet MS"/>
          <w:sz w:val="28"/>
          <w:szCs w:val="28"/>
        </w:rPr>
        <w:t>les</w:t>
      </w:r>
      <w:proofErr w:type="gramEnd"/>
      <w:r w:rsidRPr="002F2296">
        <w:rPr>
          <w:rFonts w:ascii="Trebuchet MS" w:hAnsi="Trebuchet MS"/>
          <w:sz w:val="28"/>
          <w:szCs w:val="28"/>
        </w:rPr>
        <w:t xml:space="preserve"> grandes étapes et la nature de cette analyse</w:t>
      </w:r>
      <w:r w:rsidRPr="002F2296">
        <w:rPr>
          <w:rFonts w:ascii="Arial" w:hAnsi="Arial" w:cs="Arial"/>
          <w:sz w:val="28"/>
          <w:szCs w:val="28"/>
        </w:rPr>
        <w:t> </w:t>
      </w:r>
      <w:r w:rsidRPr="002F2296">
        <w:rPr>
          <w:rFonts w:ascii="Trebuchet MS" w:hAnsi="Trebuchet MS"/>
          <w:sz w:val="28"/>
          <w:szCs w:val="28"/>
        </w:rPr>
        <w:t>:</w:t>
      </w:r>
    </w:p>
    <w:p w14:paraId="118090A8" w14:textId="77777777" w:rsidR="002F2296" w:rsidRPr="002F2296" w:rsidRDefault="002F2296" w:rsidP="002F2296">
      <w:pPr>
        <w:jc w:val="both"/>
        <w:rPr>
          <w:rFonts w:ascii="Trebuchet MS" w:hAnsi="Trebuchet MS"/>
          <w:b/>
          <w:bCs/>
          <w:sz w:val="28"/>
          <w:szCs w:val="28"/>
        </w:rPr>
      </w:pPr>
      <w:r w:rsidRPr="002F2296">
        <w:rPr>
          <w:rFonts w:ascii="Trebuchet MS" w:hAnsi="Trebuchet MS"/>
          <w:b/>
          <w:bCs/>
          <w:sz w:val="28"/>
          <w:szCs w:val="28"/>
        </w:rPr>
        <w:t>1. Analyse descriptive des tendances</w:t>
      </w:r>
    </w:p>
    <w:p w14:paraId="0C3A2B31" w14:textId="77777777" w:rsidR="002F2296" w:rsidRPr="002F2296" w:rsidRDefault="002F2296" w:rsidP="002F2296">
      <w:pPr>
        <w:numPr>
          <w:ilvl w:val="0"/>
          <w:numId w:val="1"/>
        </w:numPr>
        <w:jc w:val="both"/>
        <w:rPr>
          <w:rFonts w:ascii="Trebuchet MS" w:hAnsi="Trebuchet MS"/>
          <w:sz w:val="28"/>
          <w:szCs w:val="28"/>
        </w:rPr>
      </w:pPr>
      <w:r w:rsidRPr="002F2296">
        <w:rPr>
          <w:rFonts w:ascii="Trebuchet MS" w:hAnsi="Trebuchet MS"/>
          <w:b/>
          <w:bCs/>
          <w:sz w:val="28"/>
          <w:szCs w:val="28"/>
        </w:rPr>
        <w:t>Population scolarisable</w:t>
      </w:r>
      <w:r w:rsidRPr="002F2296">
        <w:rPr>
          <w:rFonts w:ascii="Arial" w:hAnsi="Arial" w:cs="Arial"/>
          <w:sz w:val="28"/>
          <w:szCs w:val="28"/>
        </w:rPr>
        <w:t> </w:t>
      </w:r>
      <w:r w:rsidRPr="002F2296">
        <w:rPr>
          <w:rFonts w:ascii="Trebuchet MS" w:hAnsi="Trebuchet MS"/>
          <w:sz w:val="28"/>
          <w:szCs w:val="28"/>
        </w:rPr>
        <w:t>: Évolution de l’effectif des enfants en âge d’aller à l’école primaire, montrant une croissance continue sur plus de 20 ans.</w:t>
      </w:r>
    </w:p>
    <w:p w14:paraId="2E97A615" w14:textId="77777777" w:rsidR="002F2296" w:rsidRPr="002F2296" w:rsidRDefault="002F2296" w:rsidP="002F2296">
      <w:pPr>
        <w:numPr>
          <w:ilvl w:val="0"/>
          <w:numId w:val="1"/>
        </w:numPr>
        <w:jc w:val="both"/>
        <w:rPr>
          <w:rFonts w:ascii="Trebuchet MS" w:hAnsi="Trebuchet MS"/>
          <w:sz w:val="28"/>
          <w:szCs w:val="28"/>
        </w:rPr>
      </w:pPr>
      <w:r w:rsidRPr="002F2296">
        <w:rPr>
          <w:rFonts w:ascii="Trebuchet MS" w:hAnsi="Trebuchet MS"/>
          <w:b/>
          <w:bCs/>
          <w:sz w:val="28"/>
          <w:szCs w:val="28"/>
        </w:rPr>
        <w:t>Élèves inscrits</w:t>
      </w:r>
      <w:r w:rsidRPr="002F2296">
        <w:rPr>
          <w:rFonts w:ascii="Arial" w:hAnsi="Arial" w:cs="Arial"/>
          <w:sz w:val="28"/>
          <w:szCs w:val="28"/>
        </w:rPr>
        <w:t> </w:t>
      </w:r>
      <w:r w:rsidRPr="002F2296">
        <w:rPr>
          <w:rFonts w:ascii="Trebuchet MS" w:hAnsi="Trebuchet MS"/>
          <w:sz w:val="28"/>
          <w:szCs w:val="28"/>
        </w:rPr>
        <w:t>: Suivi du nombre d’élèves inscrits au primaire, avec une croissance régulière puis une accélération notable après l’introduction de la gratuité de l’enseignement en 2019-2020.</w:t>
      </w:r>
    </w:p>
    <w:p w14:paraId="0ACB3EB6" w14:textId="77777777" w:rsidR="002F2296" w:rsidRPr="002F2296" w:rsidRDefault="002F2296" w:rsidP="002F2296">
      <w:pPr>
        <w:numPr>
          <w:ilvl w:val="0"/>
          <w:numId w:val="1"/>
        </w:numPr>
        <w:jc w:val="both"/>
        <w:rPr>
          <w:rFonts w:ascii="Trebuchet MS" w:hAnsi="Trebuchet MS"/>
          <w:sz w:val="28"/>
          <w:szCs w:val="28"/>
        </w:rPr>
      </w:pPr>
      <w:r w:rsidRPr="002F2296">
        <w:rPr>
          <w:rFonts w:ascii="Trebuchet MS" w:hAnsi="Trebuchet MS"/>
          <w:b/>
          <w:bCs/>
          <w:sz w:val="28"/>
          <w:szCs w:val="28"/>
        </w:rPr>
        <w:t>Nombre de classes organisées</w:t>
      </w:r>
      <w:r w:rsidRPr="002F2296">
        <w:rPr>
          <w:rFonts w:ascii="Arial" w:hAnsi="Arial" w:cs="Arial"/>
          <w:sz w:val="28"/>
          <w:szCs w:val="28"/>
        </w:rPr>
        <w:t> </w:t>
      </w:r>
      <w:r w:rsidRPr="002F2296">
        <w:rPr>
          <w:rFonts w:ascii="Trebuchet MS" w:hAnsi="Trebuchet MS"/>
          <w:sz w:val="28"/>
          <w:szCs w:val="28"/>
        </w:rPr>
        <w:t>: Évolution du nombre de classes, qui augmente en parallèle avec les inscriptions, surtout après 2019-2020.</w:t>
      </w:r>
    </w:p>
    <w:p w14:paraId="32317FBE" w14:textId="77777777" w:rsidR="002F2296" w:rsidRPr="002F2296" w:rsidRDefault="002F2296" w:rsidP="002F2296">
      <w:pPr>
        <w:jc w:val="both"/>
        <w:rPr>
          <w:rFonts w:ascii="Trebuchet MS" w:hAnsi="Trebuchet MS"/>
          <w:b/>
          <w:bCs/>
          <w:sz w:val="28"/>
          <w:szCs w:val="28"/>
        </w:rPr>
      </w:pPr>
      <w:r w:rsidRPr="002F2296">
        <w:rPr>
          <w:rFonts w:ascii="Trebuchet MS" w:hAnsi="Trebuchet MS"/>
          <w:b/>
          <w:bCs/>
          <w:sz w:val="28"/>
          <w:szCs w:val="28"/>
        </w:rPr>
        <w:t>2. Analyse des relations entre variables</w:t>
      </w:r>
    </w:p>
    <w:p w14:paraId="2FFE7BA2" w14:textId="77777777" w:rsidR="002F2296" w:rsidRPr="002F2296" w:rsidRDefault="002F2296" w:rsidP="002F2296">
      <w:pPr>
        <w:numPr>
          <w:ilvl w:val="0"/>
          <w:numId w:val="2"/>
        </w:numPr>
        <w:jc w:val="both"/>
        <w:rPr>
          <w:rFonts w:ascii="Trebuchet MS" w:hAnsi="Trebuchet MS"/>
          <w:sz w:val="28"/>
          <w:szCs w:val="28"/>
        </w:rPr>
      </w:pPr>
      <w:r w:rsidRPr="002F2296">
        <w:rPr>
          <w:rFonts w:ascii="Trebuchet MS" w:hAnsi="Trebuchet MS"/>
          <w:sz w:val="28"/>
          <w:szCs w:val="28"/>
        </w:rPr>
        <w:t>Mise en évidence des liens logiques et statistiques entre</w:t>
      </w:r>
      <w:r w:rsidRPr="002F2296">
        <w:rPr>
          <w:rFonts w:ascii="Arial" w:hAnsi="Arial" w:cs="Arial"/>
          <w:sz w:val="28"/>
          <w:szCs w:val="28"/>
        </w:rPr>
        <w:t> </w:t>
      </w:r>
      <w:r w:rsidRPr="002F2296">
        <w:rPr>
          <w:rFonts w:ascii="Trebuchet MS" w:hAnsi="Trebuchet MS"/>
          <w:sz w:val="28"/>
          <w:szCs w:val="28"/>
        </w:rPr>
        <w:t>:</w:t>
      </w:r>
    </w:p>
    <w:p w14:paraId="50D9C700" w14:textId="77777777" w:rsidR="002F2296" w:rsidRPr="002F2296" w:rsidRDefault="002F2296" w:rsidP="002F2296">
      <w:pPr>
        <w:numPr>
          <w:ilvl w:val="1"/>
          <w:numId w:val="2"/>
        </w:numPr>
        <w:jc w:val="both"/>
        <w:rPr>
          <w:rFonts w:ascii="Trebuchet MS" w:hAnsi="Trebuchet MS"/>
          <w:sz w:val="28"/>
          <w:szCs w:val="28"/>
        </w:rPr>
      </w:pPr>
      <w:r w:rsidRPr="002F2296">
        <w:rPr>
          <w:rFonts w:ascii="Trebuchet MS" w:hAnsi="Trebuchet MS"/>
          <w:sz w:val="28"/>
          <w:szCs w:val="28"/>
        </w:rPr>
        <w:t>Population scolarisable et élèves inscrits</w:t>
      </w:r>
    </w:p>
    <w:p w14:paraId="4DB419F9" w14:textId="77777777" w:rsidR="002F2296" w:rsidRPr="002F2296" w:rsidRDefault="002F2296" w:rsidP="002F2296">
      <w:pPr>
        <w:numPr>
          <w:ilvl w:val="1"/>
          <w:numId w:val="2"/>
        </w:numPr>
        <w:jc w:val="both"/>
        <w:rPr>
          <w:rFonts w:ascii="Trebuchet MS" w:hAnsi="Trebuchet MS"/>
          <w:sz w:val="28"/>
          <w:szCs w:val="28"/>
        </w:rPr>
      </w:pPr>
      <w:r w:rsidRPr="002F2296">
        <w:rPr>
          <w:rFonts w:ascii="Trebuchet MS" w:hAnsi="Trebuchet MS"/>
          <w:sz w:val="28"/>
          <w:szCs w:val="28"/>
        </w:rPr>
        <w:t>Élèves inscrits et nombre de classes organisées</w:t>
      </w:r>
    </w:p>
    <w:p w14:paraId="11555088" w14:textId="77777777" w:rsidR="002F2296" w:rsidRPr="002F2296" w:rsidRDefault="002F2296" w:rsidP="002F2296">
      <w:pPr>
        <w:numPr>
          <w:ilvl w:val="1"/>
          <w:numId w:val="2"/>
        </w:numPr>
        <w:jc w:val="both"/>
        <w:rPr>
          <w:rFonts w:ascii="Trebuchet MS" w:hAnsi="Trebuchet MS"/>
          <w:sz w:val="28"/>
          <w:szCs w:val="28"/>
        </w:rPr>
      </w:pPr>
      <w:r w:rsidRPr="002F2296">
        <w:rPr>
          <w:rFonts w:ascii="Trebuchet MS" w:hAnsi="Trebuchet MS"/>
          <w:sz w:val="28"/>
          <w:szCs w:val="28"/>
        </w:rPr>
        <w:t>Impact de la gratuité d’enseignement sur les inscriptions</w:t>
      </w:r>
    </w:p>
    <w:p w14:paraId="10FF3A8A" w14:textId="77777777" w:rsidR="002F2296" w:rsidRPr="002F2296" w:rsidRDefault="002F2296" w:rsidP="002F2296">
      <w:pPr>
        <w:numPr>
          <w:ilvl w:val="1"/>
          <w:numId w:val="2"/>
        </w:numPr>
        <w:jc w:val="both"/>
        <w:rPr>
          <w:rFonts w:ascii="Trebuchet MS" w:hAnsi="Trebuchet MS"/>
          <w:sz w:val="28"/>
          <w:szCs w:val="28"/>
        </w:rPr>
      </w:pPr>
      <w:r w:rsidRPr="002F2296">
        <w:rPr>
          <w:rFonts w:ascii="Trebuchet MS" w:hAnsi="Trebuchet MS"/>
          <w:sz w:val="28"/>
          <w:szCs w:val="28"/>
        </w:rPr>
        <w:t>Influence potentielle de la variable «</w:t>
      </w:r>
      <w:r w:rsidRPr="002F2296">
        <w:rPr>
          <w:rFonts w:ascii="Arial" w:hAnsi="Arial" w:cs="Arial"/>
          <w:sz w:val="28"/>
          <w:szCs w:val="28"/>
        </w:rPr>
        <w:t> </w:t>
      </w:r>
      <w:r w:rsidRPr="002F2296">
        <w:rPr>
          <w:rFonts w:ascii="Trebuchet MS" w:hAnsi="Trebuchet MS"/>
          <w:sz w:val="28"/>
          <w:szCs w:val="28"/>
        </w:rPr>
        <w:t>Guerre</w:t>
      </w:r>
      <w:r w:rsidRPr="002F2296">
        <w:rPr>
          <w:rFonts w:ascii="Arial" w:hAnsi="Arial" w:cs="Arial"/>
          <w:sz w:val="28"/>
          <w:szCs w:val="28"/>
        </w:rPr>
        <w:t> </w:t>
      </w:r>
      <w:r w:rsidRPr="002F2296">
        <w:rPr>
          <w:rFonts w:ascii="Trebuchet MS" w:hAnsi="Trebuchet MS" w:cs="Trebuchet MS"/>
          <w:sz w:val="28"/>
          <w:szCs w:val="28"/>
        </w:rPr>
        <w:t>»</w:t>
      </w:r>
      <w:r w:rsidRPr="002F2296">
        <w:rPr>
          <w:rFonts w:ascii="Trebuchet MS" w:hAnsi="Trebuchet MS"/>
          <w:sz w:val="28"/>
          <w:szCs w:val="28"/>
        </w:rPr>
        <w:t xml:space="preserve"> sur les effectifs et infrastructures1</w:t>
      </w:r>
    </w:p>
    <w:p w14:paraId="2A757E66" w14:textId="77777777" w:rsidR="002F2296" w:rsidRPr="002F2296" w:rsidRDefault="002F2296" w:rsidP="002F2296">
      <w:pPr>
        <w:jc w:val="both"/>
        <w:rPr>
          <w:rFonts w:ascii="Trebuchet MS" w:hAnsi="Trebuchet MS"/>
          <w:b/>
          <w:bCs/>
          <w:sz w:val="28"/>
          <w:szCs w:val="28"/>
        </w:rPr>
      </w:pPr>
      <w:r w:rsidRPr="002F2296">
        <w:rPr>
          <w:rFonts w:ascii="Trebuchet MS" w:hAnsi="Trebuchet MS"/>
          <w:b/>
          <w:bCs/>
          <w:sz w:val="28"/>
          <w:szCs w:val="28"/>
        </w:rPr>
        <w:t>3. Analyse de l’impact des politiques et du contexte</w:t>
      </w:r>
    </w:p>
    <w:p w14:paraId="787EE6B8" w14:textId="77777777" w:rsidR="002F2296" w:rsidRPr="002F2296" w:rsidRDefault="002F2296" w:rsidP="002F2296">
      <w:pPr>
        <w:numPr>
          <w:ilvl w:val="0"/>
          <w:numId w:val="3"/>
        </w:numPr>
        <w:jc w:val="both"/>
        <w:rPr>
          <w:rFonts w:ascii="Trebuchet MS" w:hAnsi="Trebuchet MS"/>
          <w:sz w:val="28"/>
          <w:szCs w:val="28"/>
        </w:rPr>
      </w:pPr>
      <w:r w:rsidRPr="002F2296">
        <w:rPr>
          <w:rFonts w:ascii="Trebuchet MS" w:hAnsi="Trebuchet MS"/>
          <w:sz w:val="28"/>
          <w:szCs w:val="28"/>
        </w:rPr>
        <w:t>Observation de l’effet de la </w:t>
      </w:r>
      <w:r w:rsidRPr="002F2296">
        <w:rPr>
          <w:rFonts w:ascii="Trebuchet MS" w:hAnsi="Trebuchet MS"/>
          <w:b/>
          <w:bCs/>
          <w:sz w:val="28"/>
          <w:szCs w:val="28"/>
        </w:rPr>
        <w:t>gratuité</w:t>
      </w:r>
      <w:r w:rsidRPr="002F2296">
        <w:rPr>
          <w:rFonts w:ascii="Arial" w:hAnsi="Arial" w:cs="Arial"/>
          <w:sz w:val="28"/>
          <w:szCs w:val="28"/>
        </w:rPr>
        <w:t> </w:t>
      </w:r>
      <w:r w:rsidRPr="002F2296">
        <w:rPr>
          <w:rFonts w:ascii="Trebuchet MS" w:hAnsi="Trebuchet MS"/>
          <w:sz w:val="28"/>
          <w:szCs w:val="28"/>
        </w:rPr>
        <w:t>: bond des inscriptions et des besoins en classes à partir de 2019-2020.</w:t>
      </w:r>
    </w:p>
    <w:p w14:paraId="37660E9D" w14:textId="77777777" w:rsidR="002F2296" w:rsidRPr="002F2296" w:rsidRDefault="002F2296" w:rsidP="002F2296">
      <w:pPr>
        <w:numPr>
          <w:ilvl w:val="0"/>
          <w:numId w:val="3"/>
        </w:numPr>
        <w:jc w:val="both"/>
        <w:rPr>
          <w:rFonts w:ascii="Trebuchet MS" w:hAnsi="Trebuchet MS"/>
          <w:sz w:val="28"/>
          <w:szCs w:val="28"/>
        </w:rPr>
      </w:pPr>
      <w:r w:rsidRPr="002F2296">
        <w:rPr>
          <w:rFonts w:ascii="Trebuchet MS" w:hAnsi="Trebuchet MS"/>
          <w:sz w:val="28"/>
          <w:szCs w:val="28"/>
        </w:rPr>
        <w:t>Prise en compte de la variable </w:t>
      </w:r>
      <w:r w:rsidRPr="002F2296">
        <w:rPr>
          <w:rFonts w:ascii="Trebuchet MS" w:hAnsi="Trebuchet MS"/>
          <w:b/>
          <w:bCs/>
          <w:sz w:val="28"/>
          <w:szCs w:val="28"/>
        </w:rPr>
        <w:t>Guerre</w:t>
      </w:r>
      <w:r w:rsidRPr="002F2296">
        <w:rPr>
          <w:rFonts w:ascii="Trebuchet MS" w:hAnsi="Trebuchet MS"/>
          <w:sz w:val="28"/>
          <w:szCs w:val="28"/>
        </w:rPr>
        <w:t> (à partir de 2019-2020), qui signale une période de crise nationale pouvant affecter la qualité ou la répartition des infrastructures, même si la croissance des effectifs se poursuit1.</w:t>
      </w:r>
    </w:p>
    <w:p w14:paraId="614B7AEB" w14:textId="77777777" w:rsidR="002F2296" w:rsidRPr="002F2296" w:rsidRDefault="002F2296" w:rsidP="002F2296">
      <w:pPr>
        <w:jc w:val="both"/>
        <w:rPr>
          <w:rFonts w:ascii="Trebuchet MS" w:hAnsi="Trebuchet MS"/>
          <w:b/>
          <w:bCs/>
          <w:sz w:val="28"/>
          <w:szCs w:val="28"/>
        </w:rPr>
      </w:pPr>
      <w:r w:rsidRPr="002F2296">
        <w:rPr>
          <w:rFonts w:ascii="Trebuchet MS" w:hAnsi="Trebuchet MS"/>
          <w:b/>
          <w:bCs/>
          <w:sz w:val="28"/>
          <w:szCs w:val="28"/>
        </w:rPr>
        <w:t>4. Identification de la problématique</w:t>
      </w:r>
    </w:p>
    <w:p w14:paraId="27B77A11" w14:textId="77777777" w:rsidR="002F2296" w:rsidRPr="002F2296" w:rsidRDefault="002F2296" w:rsidP="002F2296">
      <w:pPr>
        <w:numPr>
          <w:ilvl w:val="0"/>
          <w:numId w:val="4"/>
        </w:numPr>
        <w:jc w:val="both"/>
        <w:rPr>
          <w:rFonts w:ascii="Trebuchet MS" w:hAnsi="Trebuchet MS"/>
          <w:sz w:val="28"/>
          <w:szCs w:val="28"/>
        </w:rPr>
      </w:pPr>
      <w:r w:rsidRPr="002F2296">
        <w:rPr>
          <w:rFonts w:ascii="Trebuchet MS" w:hAnsi="Trebuchet MS"/>
          <w:b/>
          <w:bCs/>
          <w:sz w:val="28"/>
          <w:szCs w:val="28"/>
        </w:rPr>
        <w:lastRenderedPageBreak/>
        <w:t>Pression croissante</w:t>
      </w:r>
      <w:r w:rsidRPr="002F2296">
        <w:rPr>
          <w:rFonts w:ascii="Trebuchet MS" w:hAnsi="Trebuchet MS"/>
          <w:sz w:val="28"/>
          <w:szCs w:val="28"/>
        </w:rPr>
        <w:t> sur les infrastructures scolaires due à la croissance démographique et à la gratuité.</w:t>
      </w:r>
    </w:p>
    <w:p w14:paraId="44D298D8" w14:textId="77777777" w:rsidR="002F2296" w:rsidRPr="002F2296" w:rsidRDefault="002F2296" w:rsidP="002F2296">
      <w:pPr>
        <w:numPr>
          <w:ilvl w:val="0"/>
          <w:numId w:val="4"/>
        </w:numPr>
        <w:jc w:val="both"/>
        <w:rPr>
          <w:rFonts w:ascii="Trebuchet MS" w:hAnsi="Trebuchet MS"/>
          <w:sz w:val="28"/>
          <w:szCs w:val="28"/>
        </w:rPr>
      </w:pPr>
      <w:r w:rsidRPr="002F2296">
        <w:rPr>
          <w:rFonts w:ascii="Trebuchet MS" w:hAnsi="Trebuchet MS"/>
          <w:b/>
          <w:bCs/>
          <w:sz w:val="28"/>
          <w:szCs w:val="28"/>
        </w:rPr>
        <w:t>Risque d’insuffisance</w:t>
      </w:r>
      <w:r w:rsidRPr="002F2296">
        <w:rPr>
          <w:rFonts w:ascii="Trebuchet MS" w:hAnsi="Trebuchet MS"/>
          <w:sz w:val="28"/>
          <w:szCs w:val="28"/>
        </w:rPr>
        <w:t> de classes et d’écoles, avec conséquences sur la qualité et l’équité de l’éducation.</w:t>
      </w:r>
    </w:p>
    <w:p w14:paraId="5E3E78EC" w14:textId="77777777" w:rsidR="002F2296" w:rsidRPr="002F2296" w:rsidRDefault="002F2296" w:rsidP="002F2296">
      <w:pPr>
        <w:jc w:val="both"/>
        <w:rPr>
          <w:rFonts w:ascii="Trebuchet MS" w:hAnsi="Trebuchet MS"/>
          <w:b/>
          <w:bCs/>
          <w:sz w:val="28"/>
          <w:szCs w:val="28"/>
        </w:rPr>
      </w:pPr>
      <w:r w:rsidRPr="002F2296">
        <w:rPr>
          <w:rFonts w:ascii="Trebuchet MS" w:hAnsi="Trebuchet MS"/>
          <w:b/>
          <w:bCs/>
          <w:sz w:val="28"/>
          <w:szCs w:val="28"/>
        </w:rPr>
        <w:t>5. Justification de la solution</w:t>
      </w:r>
    </w:p>
    <w:p w14:paraId="1DB1E980" w14:textId="77777777" w:rsidR="002F2296" w:rsidRPr="002F2296" w:rsidRDefault="002F2296" w:rsidP="002F2296">
      <w:pPr>
        <w:numPr>
          <w:ilvl w:val="0"/>
          <w:numId w:val="5"/>
        </w:numPr>
        <w:jc w:val="both"/>
        <w:rPr>
          <w:rFonts w:ascii="Trebuchet MS" w:hAnsi="Trebuchet MS"/>
          <w:sz w:val="28"/>
          <w:szCs w:val="28"/>
        </w:rPr>
      </w:pPr>
      <w:r w:rsidRPr="002F2296">
        <w:rPr>
          <w:rFonts w:ascii="Trebuchet MS" w:hAnsi="Trebuchet MS"/>
          <w:sz w:val="28"/>
          <w:szCs w:val="28"/>
        </w:rPr>
        <w:t>Les tendances et ruptures observées justifient le recours à une </w:t>
      </w:r>
      <w:r w:rsidRPr="002F2296">
        <w:rPr>
          <w:rFonts w:ascii="Trebuchet MS" w:hAnsi="Trebuchet MS"/>
          <w:b/>
          <w:bCs/>
          <w:sz w:val="28"/>
          <w:szCs w:val="28"/>
        </w:rPr>
        <w:t>solution d’intelligence artificielle</w:t>
      </w:r>
      <w:r w:rsidRPr="002F2296">
        <w:rPr>
          <w:rFonts w:ascii="Trebuchet MS" w:hAnsi="Trebuchet MS"/>
          <w:sz w:val="28"/>
          <w:szCs w:val="28"/>
        </w:rPr>
        <w:t> pour anticiper et planifier les besoins en infrastructures scolaires, en intégrant les dynamiques démographiques, politiques et contextuelles.</w:t>
      </w:r>
    </w:p>
    <w:p w14:paraId="4D579F54" w14:textId="77777777" w:rsidR="002F2296" w:rsidRPr="002F2296" w:rsidRDefault="002F2296" w:rsidP="002F2296">
      <w:pPr>
        <w:jc w:val="both"/>
        <w:rPr>
          <w:rFonts w:ascii="Trebuchet MS" w:hAnsi="Trebuchet MS"/>
          <w:sz w:val="28"/>
          <w:szCs w:val="28"/>
        </w:rPr>
      </w:pPr>
      <w:r w:rsidRPr="002F2296">
        <w:rPr>
          <w:rFonts w:ascii="Trebuchet MS" w:hAnsi="Trebuchet MS"/>
          <w:b/>
          <w:bCs/>
          <w:sz w:val="28"/>
          <w:szCs w:val="28"/>
        </w:rPr>
        <w:t>En résumé</w:t>
      </w:r>
      <w:r w:rsidRPr="002F2296">
        <w:rPr>
          <w:rFonts w:ascii="Arial" w:hAnsi="Arial" w:cs="Arial"/>
          <w:b/>
          <w:bCs/>
          <w:sz w:val="28"/>
          <w:szCs w:val="28"/>
        </w:rPr>
        <w:t> </w:t>
      </w:r>
      <w:r w:rsidRPr="002F2296">
        <w:rPr>
          <w:rFonts w:ascii="Trebuchet MS" w:hAnsi="Trebuchet MS"/>
          <w:b/>
          <w:bCs/>
          <w:sz w:val="28"/>
          <w:szCs w:val="28"/>
        </w:rPr>
        <w:t>:</w:t>
      </w:r>
      <w:r w:rsidRPr="002F2296">
        <w:rPr>
          <w:rFonts w:ascii="Trebuchet MS" w:hAnsi="Trebuchet MS"/>
          <w:sz w:val="28"/>
          <w:szCs w:val="28"/>
        </w:rPr>
        <w:br/>
        <w:t>Il s’agit d’une analyse descriptive, temporelle et relationnelle des données existantes, permettant de comprendre l’évolution, les facteurs explicatifs et les défis du secteur scolaire en RDC, afin de justifier la pertinence d’une solution prédictive basée sur l’IA1.</w:t>
      </w:r>
    </w:p>
    <w:p w14:paraId="13D80E04" w14:textId="77777777" w:rsidR="002F2296" w:rsidRPr="002F2296" w:rsidRDefault="002F2296" w:rsidP="002F2296">
      <w:pPr>
        <w:jc w:val="both"/>
        <w:rPr>
          <w:rFonts w:ascii="Trebuchet MS" w:hAnsi="Trebuchet MS"/>
          <w:sz w:val="28"/>
          <w:szCs w:val="28"/>
        </w:rPr>
      </w:pPr>
    </w:p>
    <w:sectPr w:rsidR="002F2296" w:rsidRPr="002F2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47097"/>
    <w:multiLevelType w:val="multilevel"/>
    <w:tmpl w:val="38DCD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AE5F42"/>
    <w:multiLevelType w:val="multilevel"/>
    <w:tmpl w:val="840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9794F"/>
    <w:multiLevelType w:val="multilevel"/>
    <w:tmpl w:val="499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F5AD9"/>
    <w:multiLevelType w:val="multilevel"/>
    <w:tmpl w:val="219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426CC7"/>
    <w:multiLevelType w:val="multilevel"/>
    <w:tmpl w:val="D21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191471">
    <w:abstractNumId w:val="2"/>
  </w:num>
  <w:num w:numId="2" w16cid:durableId="229000713">
    <w:abstractNumId w:val="0"/>
  </w:num>
  <w:num w:numId="3" w16cid:durableId="874194331">
    <w:abstractNumId w:val="4"/>
  </w:num>
  <w:num w:numId="4" w16cid:durableId="1651400544">
    <w:abstractNumId w:val="3"/>
  </w:num>
  <w:num w:numId="5" w16cid:durableId="198207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96"/>
    <w:rsid w:val="002F2296"/>
    <w:rsid w:val="00B17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FEC8"/>
  <w15:chartTrackingRefBased/>
  <w15:docId w15:val="{18717EDE-B3A5-40D9-B42F-11382542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22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F22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F229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F229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F229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F22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22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22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22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29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F229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F229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F229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F229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F22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22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22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2296"/>
    <w:rPr>
      <w:rFonts w:eastAsiaTheme="majorEastAsia" w:cstheme="majorBidi"/>
      <w:color w:val="272727" w:themeColor="text1" w:themeTint="D8"/>
    </w:rPr>
  </w:style>
  <w:style w:type="paragraph" w:styleId="Titre">
    <w:name w:val="Title"/>
    <w:basedOn w:val="Normal"/>
    <w:next w:val="Normal"/>
    <w:link w:val="TitreCar"/>
    <w:uiPriority w:val="10"/>
    <w:qFormat/>
    <w:rsid w:val="002F2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22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22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22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2296"/>
    <w:pPr>
      <w:spacing w:before="160"/>
      <w:jc w:val="center"/>
    </w:pPr>
    <w:rPr>
      <w:i/>
      <w:iCs/>
      <w:color w:val="404040" w:themeColor="text1" w:themeTint="BF"/>
    </w:rPr>
  </w:style>
  <w:style w:type="character" w:customStyle="1" w:styleId="CitationCar">
    <w:name w:val="Citation Car"/>
    <w:basedOn w:val="Policepardfaut"/>
    <w:link w:val="Citation"/>
    <w:uiPriority w:val="29"/>
    <w:rsid w:val="002F2296"/>
    <w:rPr>
      <w:i/>
      <w:iCs/>
      <w:color w:val="404040" w:themeColor="text1" w:themeTint="BF"/>
    </w:rPr>
  </w:style>
  <w:style w:type="paragraph" w:styleId="Paragraphedeliste">
    <w:name w:val="List Paragraph"/>
    <w:basedOn w:val="Normal"/>
    <w:uiPriority w:val="34"/>
    <w:qFormat/>
    <w:rsid w:val="002F2296"/>
    <w:pPr>
      <w:ind w:left="720"/>
      <w:contextualSpacing/>
    </w:pPr>
  </w:style>
  <w:style w:type="character" w:styleId="Accentuationintense">
    <w:name w:val="Intense Emphasis"/>
    <w:basedOn w:val="Policepardfaut"/>
    <w:uiPriority w:val="21"/>
    <w:qFormat/>
    <w:rsid w:val="002F2296"/>
    <w:rPr>
      <w:i/>
      <w:iCs/>
      <w:color w:val="2F5496" w:themeColor="accent1" w:themeShade="BF"/>
    </w:rPr>
  </w:style>
  <w:style w:type="paragraph" w:styleId="Citationintense">
    <w:name w:val="Intense Quote"/>
    <w:basedOn w:val="Normal"/>
    <w:next w:val="Normal"/>
    <w:link w:val="CitationintenseCar"/>
    <w:uiPriority w:val="30"/>
    <w:qFormat/>
    <w:rsid w:val="002F2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F2296"/>
    <w:rPr>
      <w:i/>
      <w:iCs/>
      <w:color w:val="2F5496" w:themeColor="accent1" w:themeShade="BF"/>
    </w:rPr>
  </w:style>
  <w:style w:type="character" w:styleId="Rfrenceintense">
    <w:name w:val="Intense Reference"/>
    <w:basedOn w:val="Policepardfaut"/>
    <w:uiPriority w:val="32"/>
    <w:qFormat/>
    <w:rsid w:val="002F22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79374">
      <w:bodyDiv w:val="1"/>
      <w:marLeft w:val="0"/>
      <w:marRight w:val="0"/>
      <w:marTop w:val="0"/>
      <w:marBottom w:val="0"/>
      <w:divBdr>
        <w:top w:val="none" w:sz="0" w:space="0" w:color="auto"/>
        <w:left w:val="none" w:sz="0" w:space="0" w:color="auto"/>
        <w:bottom w:val="none" w:sz="0" w:space="0" w:color="auto"/>
        <w:right w:val="none" w:sz="0" w:space="0" w:color="auto"/>
      </w:divBdr>
    </w:div>
    <w:div w:id="146507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355</Words>
  <Characters>1954</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mutomboilunga3220@outlook.com</dc:creator>
  <cp:keywords/>
  <dc:description/>
  <cp:lastModifiedBy>mutomboilunga3220@outlook.com</cp:lastModifiedBy>
  <cp:revision>1</cp:revision>
  <dcterms:created xsi:type="dcterms:W3CDTF">2025-07-09T20:15:00Z</dcterms:created>
  <dcterms:modified xsi:type="dcterms:W3CDTF">2025-07-09T20:26:00Z</dcterms:modified>
</cp:coreProperties>
</file>