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02DE3" w14:textId="3F28243B" w:rsidR="00762240" w:rsidRDefault="00762240" w:rsidP="00762240">
      <w:pPr>
        <w:jc w:val="center"/>
        <w:rPr>
          <w:rFonts w:ascii="Bookman Old Style" w:hAnsi="Bookman Old Style"/>
          <w:b/>
          <w:bCs/>
          <w:sz w:val="26"/>
          <w:szCs w:val="26"/>
        </w:rPr>
      </w:pPr>
      <w:r>
        <w:rPr>
          <w:rFonts w:ascii="Bookman Old Style" w:hAnsi="Bookman Old Style"/>
          <w:b/>
          <w:bCs/>
          <w:sz w:val="26"/>
          <w:szCs w:val="26"/>
        </w:rPr>
        <w:t>INTRODUCTION</w:t>
      </w:r>
    </w:p>
    <w:p w14:paraId="2B54170A" w14:textId="689FDA8C"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1.1 Contexte général</w:t>
      </w:r>
    </w:p>
    <w:p w14:paraId="5404B778"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La République Démocratique du Congo (RDC) est le plus vaste pays d’Afrique subsaharienne et l’un des plus peuplés, avec une population estimée à plus de 100 millions d’habitants (Banque mondiale, 2024). La croissance démographique y est l’une des plus fortes au monde, avec un taux annuel moyen supérieur à 3</w:t>
      </w:r>
      <w:r w:rsidRPr="00762240">
        <w:rPr>
          <w:rFonts w:ascii="Times New Roman" w:hAnsi="Times New Roman" w:cs="Times New Roman"/>
          <w:sz w:val="26"/>
          <w:szCs w:val="26"/>
        </w:rPr>
        <w:t> </w:t>
      </w:r>
      <w:r w:rsidRPr="00762240">
        <w:rPr>
          <w:rFonts w:ascii="Bookman Old Style" w:hAnsi="Bookman Old Style"/>
          <w:sz w:val="26"/>
          <w:szCs w:val="26"/>
        </w:rPr>
        <w:t>% (UNICEF, 2023). Cette dynamique exerce une pression consid</w:t>
      </w:r>
      <w:r w:rsidRPr="00762240">
        <w:rPr>
          <w:rFonts w:ascii="Bookman Old Style" w:hAnsi="Bookman Old Style" w:cs="Bookman Old Style"/>
          <w:sz w:val="26"/>
          <w:szCs w:val="26"/>
        </w:rPr>
        <w:t>é</w:t>
      </w:r>
      <w:r w:rsidRPr="00762240">
        <w:rPr>
          <w:rFonts w:ascii="Bookman Old Style" w:hAnsi="Bookman Old Style"/>
          <w:sz w:val="26"/>
          <w:szCs w:val="26"/>
        </w:rPr>
        <w:t>rable sur les infrastructures publiques, en particulier sur le syst</w:t>
      </w:r>
      <w:r w:rsidRPr="00762240">
        <w:rPr>
          <w:rFonts w:ascii="Bookman Old Style" w:hAnsi="Bookman Old Style" w:cs="Bookman Old Style"/>
          <w:sz w:val="26"/>
          <w:szCs w:val="26"/>
        </w:rPr>
        <w:t>è</w:t>
      </w:r>
      <w:r w:rsidRPr="00762240">
        <w:rPr>
          <w:rFonts w:ascii="Bookman Old Style" w:hAnsi="Bookman Old Style"/>
          <w:sz w:val="26"/>
          <w:szCs w:val="26"/>
        </w:rPr>
        <w:t xml:space="preserve">me </w:t>
      </w:r>
      <w:r w:rsidRPr="00762240">
        <w:rPr>
          <w:rFonts w:ascii="Bookman Old Style" w:hAnsi="Bookman Old Style" w:cs="Bookman Old Style"/>
          <w:sz w:val="26"/>
          <w:szCs w:val="26"/>
        </w:rPr>
        <w:t>é</w:t>
      </w:r>
      <w:r w:rsidRPr="00762240">
        <w:rPr>
          <w:rFonts w:ascii="Bookman Old Style" w:hAnsi="Bookman Old Style"/>
          <w:sz w:val="26"/>
          <w:szCs w:val="26"/>
        </w:rPr>
        <w:t>ducatif.</w:t>
      </w:r>
    </w:p>
    <w:p w14:paraId="53FF5274" w14:textId="7E5B814D" w:rsidR="00762240" w:rsidRDefault="00762240" w:rsidP="00762240">
      <w:pPr>
        <w:jc w:val="both"/>
        <w:rPr>
          <w:rFonts w:ascii="Bookman Old Style" w:hAnsi="Bookman Old Style"/>
          <w:sz w:val="26"/>
          <w:szCs w:val="26"/>
        </w:rPr>
      </w:pPr>
      <w:r w:rsidRPr="00762240">
        <w:rPr>
          <w:rFonts w:ascii="Bookman Old Style" w:hAnsi="Bookman Old Style"/>
          <w:sz w:val="26"/>
          <w:szCs w:val="26"/>
        </w:rPr>
        <w:t xml:space="preserve">Selon les données du Ministère de l’Enseignement Primaire, Secondaire et Technique (EPST) et les statistiques issues de la base de données nationale (voir </w:t>
      </w:r>
      <w:r>
        <w:rPr>
          <w:rFonts w:ascii="Bookman Old Style" w:hAnsi="Bookman Old Style"/>
          <w:sz w:val="26"/>
          <w:szCs w:val="26"/>
        </w:rPr>
        <w:t>la BD</w:t>
      </w:r>
      <w:r w:rsidRPr="00762240">
        <w:rPr>
          <w:rFonts w:ascii="Bookman Old Style" w:hAnsi="Bookman Old Style"/>
          <w:sz w:val="26"/>
          <w:szCs w:val="26"/>
        </w:rPr>
        <w:t> </w:t>
      </w:r>
      <w:r w:rsidRPr="00762240">
        <w:rPr>
          <w:rFonts w:ascii="Bookman Old Style" w:hAnsi="Bookman Old Style"/>
          <w:b/>
          <w:bCs/>
          <w:sz w:val="26"/>
          <w:szCs w:val="26"/>
        </w:rPr>
        <w:t>Besoin_scolaire.xlsx</w:t>
      </w:r>
      <w:r w:rsidRPr="00762240">
        <w:rPr>
          <w:rFonts w:ascii="Bookman Old Style" w:hAnsi="Bookman Old Style"/>
          <w:sz w:val="26"/>
          <w:szCs w:val="26"/>
        </w:rPr>
        <w:t>), la population scolarisable au primaire est passée de 10,8 millions en 2000-2001 à plus de 21,6 millions en 2023-2024. Parallèlement, le nombre d’élèves inscrits au primaire a plus que doublé, atteignant 21,3 millions en 2023-2024. Cette croissance s’est accélérée depuis l’instauration de la gratuité de l’enseignement primaire en 2019, politique phare du gouvernement congolais pour favoriser l’accès universel à l’éducation (UNESCO, 2022).</w:t>
      </w:r>
    </w:p>
    <w:p w14:paraId="175A4451" w14:textId="5926706D" w:rsidR="002F2D8C" w:rsidRPr="00762240" w:rsidRDefault="002F2D8C" w:rsidP="00762240">
      <w:pPr>
        <w:jc w:val="both"/>
        <w:rPr>
          <w:rFonts w:ascii="Trebuchet MS" w:hAnsi="Trebuchet MS"/>
          <w:sz w:val="28"/>
          <w:szCs w:val="28"/>
        </w:rPr>
      </w:pPr>
      <w:r w:rsidRPr="00940657">
        <w:rPr>
          <w:rFonts w:ascii="Trebuchet MS" w:hAnsi="Trebuchet MS"/>
          <w:sz w:val="28"/>
          <w:szCs w:val="28"/>
        </w:rPr>
        <w:t>Les disparités régionales sont marquées</w:t>
      </w:r>
      <w:r w:rsidRPr="00940657">
        <w:rPr>
          <w:rFonts w:ascii="Arial" w:hAnsi="Arial" w:cs="Arial"/>
          <w:sz w:val="28"/>
          <w:szCs w:val="28"/>
        </w:rPr>
        <w:t> </w:t>
      </w:r>
      <w:r w:rsidRPr="00940657">
        <w:rPr>
          <w:rFonts w:ascii="Trebuchet MS" w:hAnsi="Trebuchet MS"/>
          <w:sz w:val="28"/>
          <w:szCs w:val="28"/>
        </w:rPr>
        <w:t>: si certaines grandes villes b</w:t>
      </w:r>
      <w:r w:rsidRPr="00940657">
        <w:rPr>
          <w:rFonts w:ascii="Trebuchet MS" w:hAnsi="Trebuchet MS" w:cs="Bookman Old Style"/>
          <w:sz w:val="28"/>
          <w:szCs w:val="28"/>
        </w:rPr>
        <w:t>é</w:t>
      </w:r>
      <w:r w:rsidRPr="00940657">
        <w:rPr>
          <w:rFonts w:ascii="Trebuchet MS" w:hAnsi="Trebuchet MS"/>
          <w:sz w:val="28"/>
          <w:szCs w:val="28"/>
        </w:rPr>
        <w:t>n</w:t>
      </w:r>
      <w:r w:rsidRPr="00940657">
        <w:rPr>
          <w:rFonts w:ascii="Trebuchet MS" w:hAnsi="Trebuchet MS" w:cs="Bookman Old Style"/>
          <w:sz w:val="28"/>
          <w:szCs w:val="28"/>
        </w:rPr>
        <w:t>é</w:t>
      </w:r>
      <w:r w:rsidRPr="00940657">
        <w:rPr>
          <w:rFonts w:ascii="Trebuchet MS" w:hAnsi="Trebuchet MS"/>
          <w:sz w:val="28"/>
          <w:szCs w:val="28"/>
        </w:rPr>
        <w:t>ficient d</w:t>
      </w:r>
      <w:r w:rsidRPr="00940657">
        <w:rPr>
          <w:rFonts w:ascii="Trebuchet MS" w:hAnsi="Trebuchet MS" w:cs="Bookman Old Style"/>
          <w:sz w:val="28"/>
          <w:szCs w:val="28"/>
        </w:rPr>
        <w:t>’</w:t>
      </w:r>
      <w:r w:rsidRPr="00940657">
        <w:rPr>
          <w:rFonts w:ascii="Trebuchet MS" w:hAnsi="Trebuchet MS"/>
          <w:sz w:val="28"/>
          <w:szCs w:val="28"/>
        </w:rPr>
        <w:t>un r</w:t>
      </w:r>
      <w:r w:rsidRPr="00940657">
        <w:rPr>
          <w:rFonts w:ascii="Trebuchet MS" w:hAnsi="Trebuchet MS" w:cs="Bookman Old Style"/>
          <w:sz w:val="28"/>
          <w:szCs w:val="28"/>
        </w:rPr>
        <w:t>é</w:t>
      </w:r>
      <w:r w:rsidRPr="00940657">
        <w:rPr>
          <w:rFonts w:ascii="Trebuchet MS" w:hAnsi="Trebuchet MS"/>
          <w:sz w:val="28"/>
          <w:szCs w:val="28"/>
        </w:rPr>
        <w:t>seau d</w:t>
      </w:r>
      <w:r w:rsidRPr="00940657">
        <w:rPr>
          <w:rFonts w:ascii="Trebuchet MS" w:hAnsi="Trebuchet MS" w:cs="Bookman Old Style"/>
          <w:sz w:val="28"/>
          <w:szCs w:val="28"/>
        </w:rPr>
        <w:t>’é</w:t>
      </w:r>
      <w:r w:rsidRPr="00940657">
        <w:rPr>
          <w:rFonts w:ascii="Trebuchet MS" w:hAnsi="Trebuchet MS"/>
          <w:sz w:val="28"/>
          <w:szCs w:val="28"/>
        </w:rPr>
        <w:t>coles relativement d</w:t>
      </w:r>
      <w:r w:rsidRPr="00940657">
        <w:rPr>
          <w:rFonts w:ascii="Trebuchet MS" w:hAnsi="Trebuchet MS" w:cs="Bookman Old Style"/>
          <w:sz w:val="28"/>
          <w:szCs w:val="28"/>
        </w:rPr>
        <w:t>é</w:t>
      </w:r>
      <w:r w:rsidRPr="00940657">
        <w:rPr>
          <w:rFonts w:ascii="Trebuchet MS" w:hAnsi="Trebuchet MS"/>
          <w:sz w:val="28"/>
          <w:szCs w:val="28"/>
        </w:rPr>
        <w:t>velopp</w:t>
      </w:r>
      <w:r w:rsidRPr="00940657">
        <w:rPr>
          <w:rFonts w:ascii="Trebuchet MS" w:hAnsi="Trebuchet MS" w:cs="Bookman Old Style"/>
          <w:sz w:val="28"/>
          <w:szCs w:val="28"/>
        </w:rPr>
        <w:t>é</w:t>
      </w:r>
      <w:r w:rsidRPr="00940657">
        <w:rPr>
          <w:rFonts w:ascii="Trebuchet MS" w:hAnsi="Trebuchet MS"/>
          <w:sz w:val="28"/>
          <w:szCs w:val="28"/>
        </w:rPr>
        <w:t>, de vastes territoires ruraux et p</w:t>
      </w:r>
      <w:r w:rsidRPr="00940657">
        <w:rPr>
          <w:rFonts w:ascii="Trebuchet MS" w:hAnsi="Trebuchet MS" w:cs="Bookman Old Style"/>
          <w:sz w:val="28"/>
          <w:szCs w:val="28"/>
        </w:rPr>
        <w:t>é</w:t>
      </w:r>
      <w:r w:rsidRPr="00940657">
        <w:rPr>
          <w:rFonts w:ascii="Trebuchet MS" w:hAnsi="Trebuchet MS"/>
          <w:sz w:val="28"/>
          <w:szCs w:val="28"/>
        </w:rPr>
        <w:t>riph</w:t>
      </w:r>
      <w:r w:rsidRPr="00940657">
        <w:rPr>
          <w:rFonts w:ascii="Trebuchet MS" w:hAnsi="Trebuchet MS" w:cs="Bookman Old Style"/>
          <w:sz w:val="28"/>
          <w:szCs w:val="28"/>
        </w:rPr>
        <w:t>é</w:t>
      </w:r>
      <w:r w:rsidRPr="00940657">
        <w:rPr>
          <w:rFonts w:ascii="Trebuchet MS" w:hAnsi="Trebuchet MS"/>
          <w:sz w:val="28"/>
          <w:szCs w:val="28"/>
        </w:rPr>
        <w:t>riques restent sous-</w:t>
      </w:r>
      <w:r w:rsidRPr="00940657">
        <w:rPr>
          <w:rFonts w:ascii="Trebuchet MS" w:hAnsi="Trebuchet MS" w:cs="Bookman Old Style"/>
          <w:sz w:val="28"/>
          <w:szCs w:val="28"/>
        </w:rPr>
        <w:t>é</w:t>
      </w:r>
      <w:r w:rsidRPr="00940657">
        <w:rPr>
          <w:rFonts w:ascii="Trebuchet MS" w:hAnsi="Trebuchet MS"/>
          <w:sz w:val="28"/>
          <w:szCs w:val="28"/>
        </w:rPr>
        <w:t>quip</w:t>
      </w:r>
      <w:r w:rsidRPr="00940657">
        <w:rPr>
          <w:rFonts w:ascii="Trebuchet MS" w:hAnsi="Trebuchet MS" w:cs="Bookman Old Style"/>
          <w:sz w:val="28"/>
          <w:szCs w:val="28"/>
        </w:rPr>
        <w:t>é</w:t>
      </w:r>
      <w:r w:rsidRPr="00940657">
        <w:rPr>
          <w:rFonts w:ascii="Trebuchet MS" w:hAnsi="Trebuchet MS"/>
          <w:sz w:val="28"/>
          <w:szCs w:val="28"/>
        </w:rPr>
        <w:t>s, accentuant les in</w:t>
      </w:r>
      <w:r w:rsidRPr="00940657">
        <w:rPr>
          <w:rFonts w:ascii="Trebuchet MS" w:hAnsi="Trebuchet MS" w:cs="Bookman Old Style"/>
          <w:sz w:val="28"/>
          <w:szCs w:val="28"/>
        </w:rPr>
        <w:t>é</w:t>
      </w:r>
      <w:r w:rsidRPr="00940657">
        <w:rPr>
          <w:rFonts w:ascii="Trebuchet MS" w:hAnsi="Trebuchet MS"/>
          <w:sz w:val="28"/>
          <w:szCs w:val="28"/>
        </w:rPr>
        <w:t>galit</w:t>
      </w:r>
      <w:r w:rsidRPr="00940657">
        <w:rPr>
          <w:rFonts w:ascii="Trebuchet MS" w:hAnsi="Trebuchet MS" w:cs="Bookman Old Style"/>
          <w:sz w:val="28"/>
          <w:szCs w:val="28"/>
        </w:rPr>
        <w:t>é</w:t>
      </w:r>
      <w:r w:rsidRPr="00940657">
        <w:rPr>
          <w:rFonts w:ascii="Trebuchet MS" w:hAnsi="Trebuchet MS"/>
          <w:sz w:val="28"/>
          <w:szCs w:val="28"/>
        </w:rPr>
        <w:t>s d</w:t>
      </w:r>
      <w:r w:rsidRPr="00940657">
        <w:rPr>
          <w:rFonts w:ascii="Trebuchet MS" w:hAnsi="Trebuchet MS" w:cs="Bookman Old Style"/>
          <w:sz w:val="28"/>
          <w:szCs w:val="28"/>
        </w:rPr>
        <w:t>’</w:t>
      </w:r>
      <w:r w:rsidRPr="00940657">
        <w:rPr>
          <w:rFonts w:ascii="Trebuchet MS" w:hAnsi="Trebuchet MS"/>
          <w:sz w:val="28"/>
          <w:szCs w:val="28"/>
        </w:rPr>
        <w:t>acc</w:t>
      </w:r>
      <w:r w:rsidRPr="00940657">
        <w:rPr>
          <w:rFonts w:ascii="Trebuchet MS" w:hAnsi="Trebuchet MS" w:cs="Bookman Old Style"/>
          <w:sz w:val="28"/>
          <w:szCs w:val="28"/>
        </w:rPr>
        <w:t>è</w:t>
      </w:r>
      <w:r w:rsidRPr="00940657">
        <w:rPr>
          <w:rFonts w:ascii="Trebuchet MS" w:hAnsi="Trebuchet MS"/>
          <w:sz w:val="28"/>
          <w:szCs w:val="28"/>
        </w:rPr>
        <w:t xml:space="preserve">s </w:t>
      </w:r>
      <w:r w:rsidRPr="00940657">
        <w:rPr>
          <w:rFonts w:ascii="Trebuchet MS" w:hAnsi="Trebuchet MS" w:cs="Bookman Old Style"/>
          <w:sz w:val="28"/>
          <w:szCs w:val="28"/>
        </w:rPr>
        <w:t>à</w:t>
      </w:r>
      <w:r w:rsidRPr="00940657">
        <w:rPr>
          <w:rFonts w:ascii="Trebuchet MS" w:hAnsi="Trebuchet MS"/>
          <w:sz w:val="28"/>
          <w:szCs w:val="28"/>
        </w:rPr>
        <w:t xml:space="preserve"> l</w:t>
      </w:r>
      <w:r w:rsidRPr="00940657">
        <w:rPr>
          <w:rFonts w:ascii="Trebuchet MS" w:hAnsi="Trebuchet MS" w:cs="Bookman Old Style"/>
          <w:sz w:val="28"/>
          <w:szCs w:val="28"/>
        </w:rPr>
        <w:t>’é</w:t>
      </w:r>
      <w:r w:rsidRPr="00940657">
        <w:rPr>
          <w:rFonts w:ascii="Trebuchet MS" w:hAnsi="Trebuchet MS"/>
          <w:sz w:val="28"/>
          <w:szCs w:val="28"/>
        </w:rPr>
        <w:t>ducation. Par ailleurs, la gratuit</w:t>
      </w:r>
      <w:r w:rsidRPr="00940657">
        <w:rPr>
          <w:rFonts w:ascii="Trebuchet MS" w:hAnsi="Trebuchet MS" w:cs="Bookman Old Style"/>
          <w:sz w:val="28"/>
          <w:szCs w:val="28"/>
        </w:rPr>
        <w:t>é</w:t>
      </w:r>
      <w:r w:rsidRPr="00940657">
        <w:rPr>
          <w:rFonts w:ascii="Trebuchet MS" w:hAnsi="Trebuchet MS"/>
          <w:sz w:val="28"/>
          <w:szCs w:val="28"/>
        </w:rPr>
        <w:t xml:space="preserve"> de l</w:t>
      </w:r>
      <w:r w:rsidRPr="00940657">
        <w:rPr>
          <w:rFonts w:ascii="Trebuchet MS" w:hAnsi="Trebuchet MS" w:cs="Bookman Old Style"/>
          <w:sz w:val="28"/>
          <w:szCs w:val="28"/>
        </w:rPr>
        <w:t>’</w:t>
      </w:r>
      <w:r w:rsidRPr="00940657">
        <w:rPr>
          <w:rFonts w:ascii="Trebuchet MS" w:hAnsi="Trebuchet MS"/>
          <w:sz w:val="28"/>
          <w:szCs w:val="28"/>
        </w:rPr>
        <w:t>enseignement primaire instaur</w:t>
      </w:r>
      <w:r w:rsidRPr="00940657">
        <w:rPr>
          <w:rFonts w:ascii="Trebuchet MS" w:hAnsi="Trebuchet MS" w:cs="Bookman Old Style"/>
          <w:sz w:val="28"/>
          <w:szCs w:val="28"/>
        </w:rPr>
        <w:t>é</w:t>
      </w:r>
      <w:r w:rsidRPr="00940657">
        <w:rPr>
          <w:rFonts w:ascii="Trebuchet MS" w:hAnsi="Trebuchet MS"/>
          <w:sz w:val="28"/>
          <w:szCs w:val="28"/>
        </w:rPr>
        <w:t>e en 2019 a provoqu</w:t>
      </w:r>
      <w:r w:rsidRPr="00940657">
        <w:rPr>
          <w:rFonts w:ascii="Trebuchet MS" w:hAnsi="Trebuchet MS" w:cs="Bookman Old Style"/>
          <w:sz w:val="28"/>
          <w:szCs w:val="28"/>
        </w:rPr>
        <w:t>é</w:t>
      </w:r>
      <w:r w:rsidRPr="00940657">
        <w:rPr>
          <w:rFonts w:ascii="Trebuchet MS" w:hAnsi="Trebuchet MS"/>
          <w:sz w:val="28"/>
          <w:szCs w:val="28"/>
        </w:rPr>
        <w:t xml:space="preserve"> une hausse spectaculaire des inscriptions, mettant </w:t>
      </w:r>
      <w:r w:rsidRPr="00940657">
        <w:rPr>
          <w:rFonts w:ascii="Trebuchet MS" w:hAnsi="Trebuchet MS" w:cs="Bookman Old Style"/>
          <w:sz w:val="28"/>
          <w:szCs w:val="28"/>
        </w:rPr>
        <w:t>à</w:t>
      </w:r>
      <w:r w:rsidRPr="00940657">
        <w:rPr>
          <w:rFonts w:ascii="Trebuchet MS" w:hAnsi="Trebuchet MS"/>
          <w:sz w:val="28"/>
          <w:szCs w:val="28"/>
        </w:rPr>
        <w:t xml:space="preserve"> rude </w:t>
      </w:r>
      <w:r w:rsidRPr="00940657">
        <w:rPr>
          <w:rFonts w:ascii="Trebuchet MS" w:hAnsi="Trebuchet MS" w:cs="Bookman Old Style"/>
          <w:sz w:val="28"/>
          <w:szCs w:val="28"/>
        </w:rPr>
        <w:t>é</w:t>
      </w:r>
      <w:r w:rsidRPr="00940657">
        <w:rPr>
          <w:rFonts w:ascii="Trebuchet MS" w:hAnsi="Trebuchet MS"/>
          <w:sz w:val="28"/>
          <w:szCs w:val="28"/>
        </w:rPr>
        <w:t>preuve la capacit</w:t>
      </w:r>
      <w:r w:rsidRPr="00940657">
        <w:rPr>
          <w:rFonts w:ascii="Trebuchet MS" w:hAnsi="Trebuchet MS" w:cs="Bookman Old Style"/>
          <w:sz w:val="28"/>
          <w:szCs w:val="28"/>
        </w:rPr>
        <w:t>é</w:t>
      </w:r>
      <w:r w:rsidRPr="00940657">
        <w:rPr>
          <w:rFonts w:ascii="Trebuchet MS" w:hAnsi="Trebuchet MS"/>
          <w:sz w:val="28"/>
          <w:szCs w:val="28"/>
        </w:rPr>
        <w:t xml:space="preserve"> d</w:t>
      </w:r>
      <w:r w:rsidRPr="00940657">
        <w:rPr>
          <w:rFonts w:ascii="Trebuchet MS" w:hAnsi="Trebuchet MS" w:cs="Bookman Old Style"/>
          <w:sz w:val="28"/>
          <w:szCs w:val="28"/>
        </w:rPr>
        <w:t>’</w:t>
      </w:r>
      <w:r w:rsidRPr="00940657">
        <w:rPr>
          <w:rFonts w:ascii="Trebuchet MS" w:hAnsi="Trebuchet MS"/>
          <w:sz w:val="28"/>
          <w:szCs w:val="28"/>
        </w:rPr>
        <w:t xml:space="preserve">accueil des </w:t>
      </w:r>
      <w:r w:rsidRPr="00940657">
        <w:rPr>
          <w:rFonts w:ascii="Trebuchet MS" w:hAnsi="Trebuchet MS" w:cs="Bookman Old Style"/>
          <w:sz w:val="28"/>
          <w:szCs w:val="28"/>
        </w:rPr>
        <w:t>é</w:t>
      </w:r>
      <w:r w:rsidRPr="00940657">
        <w:rPr>
          <w:rFonts w:ascii="Trebuchet MS" w:hAnsi="Trebuchet MS"/>
          <w:sz w:val="28"/>
          <w:szCs w:val="28"/>
        </w:rPr>
        <w:t xml:space="preserve">coles existantes. </w:t>
      </w:r>
      <w:r w:rsidRPr="00940657">
        <w:rPr>
          <w:rFonts w:ascii="Trebuchet MS" w:hAnsi="Trebuchet MS" w:cs="Bookman Old Style"/>
          <w:sz w:val="28"/>
          <w:szCs w:val="28"/>
        </w:rPr>
        <w:t>À</w:t>
      </w:r>
      <w:r w:rsidRPr="00940657">
        <w:rPr>
          <w:rFonts w:ascii="Trebuchet MS" w:hAnsi="Trebuchet MS"/>
          <w:sz w:val="28"/>
          <w:szCs w:val="28"/>
        </w:rPr>
        <w:t xml:space="preserve"> cela s</w:t>
      </w:r>
      <w:r w:rsidRPr="00940657">
        <w:rPr>
          <w:rFonts w:ascii="Trebuchet MS" w:hAnsi="Trebuchet MS" w:cs="Bookman Old Style"/>
          <w:sz w:val="28"/>
          <w:szCs w:val="28"/>
        </w:rPr>
        <w:t>’</w:t>
      </w:r>
      <w:r w:rsidRPr="00940657">
        <w:rPr>
          <w:rFonts w:ascii="Trebuchet MS" w:hAnsi="Trebuchet MS"/>
          <w:sz w:val="28"/>
          <w:szCs w:val="28"/>
        </w:rPr>
        <w:t>ajoutent des d</w:t>
      </w:r>
      <w:r w:rsidRPr="00940657">
        <w:rPr>
          <w:rFonts w:ascii="Trebuchet MS" w:hAnsi="Trebuchet MS" w:cs="Bookman Old Style"/>
          <w:sz w:val="28"/>
          <w:szCs w:val="28"/>
        </w:rPr>
        <w:t>é</w:t>
      </w:r>
      <w:r w:rsidRPr="00940657">
        <w:rPr>
          <w:rFonts w:ascii="Trebuchet MS" w:hAnsi="Trebuchet MS"/>
          <w:sz w:val="28"/>
          <w:szCs w:val="28"/>
        </w:rPr>
        <w:t>fis li</w:t>
      </w:r>
      <w:r w:rsidRPr="00940657">
        <w:rPr>
          <w:rFonts w:ascii="Trebuchet MS" w:hAnsi="Trebuchet MS" w:cs="Bookman Old Style"/>
          <w:sz w:val="28"/>
          <w:szCs w:val="28"/>
        </w:rPr>
        <w:t>é</w:t>
      </w:r>
      <w:r w:rsidRPr="00940657">
        <w:rPr>
          <w:rFonts w:ascii="Trebuchet MS" w:hAnsi="Trebuchet MS"/>
          <w:sz w:val="28"/>
          <w:szCs w:val="28"/>
        </w:rPr>
        <w:t xml:space="preserve">s </w:t>
      </w:r>
      <w:r w:rsidRPr="00940657">
        <w:rPr>
          <w:rFonts w:ascii="Trebuchet MS" w:hAnsi="Trebuchet MS" w:cs="Bookman Old Style"/>
          <w:sz w:val="28"/>
          <w:szCs w:val="28"/>
        </w:rPr>
        <w:t>à</w:t>
      </w:r>
      <w:r w:rsidRPr="00940657">
        <w:rPr>
          <w:rFonts w:ascii="Trebuchet MS" w:hAnsi="Trebuchet MS"/>
          <w:sz w:val="28"/>
          <w:szCs w:val="28"/>
        </w:rPr>
        <w:t xml:space="preserve"> la stabilit</w:t>
      </w:r>
      <w:r w:rsidRPr="00940657">
        <w:rPr>
          <w:rFonts w:ascii="Trebuchet MS" w:hAnsi="Trebuchet MS" w:cs="Bookman Old Style"/>
          <w:sz w:val="28"/>
          <w:szCs w:val="28"/>
        </w:rPr>
        <w:t>é</w:t>
      </w:r>
      <w:r w:rsidRPr="00940657">
        <w:rPr>
          <w:rFonts w:ascii="Trebuchet MS" w:hAnsi="Trebuchet MS"/>
          <w:sz w:val="28"/>
          <w:szCs w:val="28"/>
        </w:rPr>
        <w:t xml:space="preserve"> politique, </w:t>
      </w:r>
      <w:r w:rsidRPr="00940657">
        <w:rPr>
          <w:rFonts w:ascii="Trebuchet MS" w:hAnsi="Trebuchet MS" w:cs="Bookman Old Style"/>
          <w:sz w:val="28"/>
          <w:szCs w:val="28"/>
        </w:rPr>
        <w:t>à</w:t>
      </w:r>
      <w:r w:rsidRPr="00940657">
        <w:rPr>
          <w:rFonts w:ascii="Trebuchet MS" w:hAnsi="Trebuchet MS"/>
          <w:sz w:val="28"/>
          <w:szCs w:val="28"/>
        </w:rPr>
        <w:t xml:space="preserve"> la s</w:t>
      </w:r>
      <w:r w:rsidRPr="00940657">
        <w:rPr>
          <w:rFonts w:ascii="Trebuchet MS" w:hAnsi="Trebuchet MS" w:cs="Bookman Old Style"/>
          <w:sz w:val="28"/>
          <w:szCs w:val="28"/>
        </w:rPr>
        <w:t>é</w:t>
      </w:r>
      <w:r w:rsidRPr="00940657">
        <w:rPr>
          <w:rFonts w:ascii="Trebuchet MS" w:hAnsi="Trebuchet MS"/>
          <w:sz w:val="28"/>
          <w:szCs w:val="28"/>
        </w:rPr>
        <w:t>curit</w:t>
      </w:r>
      <w:r w:rsidRPr="00940657">
        <w:rPr>
          <w:rFonts w:ascii="Trebuchet MS" w:hAnsi="Trebuchet MS" w:cs="Bookman Old Style"/>
          <w:sz w:val="28"/>
          <w:szCs w:val="28"/>
        </w:rPr>
        <w:t>é</w:t>
      </w:r>
      <w:r w:rsidRPr="00940657">
        <w:rPr>
          <w:rFonts w:ascii="Trebuchet MS" w:hAnsi="Trebuchet MS"/>
          <w:sz w:val="28"/>
          <w:szCs w:val="28"/>
        </w:rPr>
        <w:t xml:space="preserve"> dans certaines provinces, et à la gestion budgétaire et administrative du secteur éducatif.</w:t>
      </w:r>
    </w:p>
    <w:p w14:paraId="050B2082" w14:textId="77777777" w:rsidR="00762240" w:rsidRDefault="00762240" w:rsidP="00762240">
      <w:pPr>
        <w:jc w:val="both"/>
        <w:rPr>
          <w:rFonts w:ascii="Bookman Old Style" w:hAnsi="Bookman Old Style"/>
          <w:sz w:val="26"/>
          <w:szCs w:val="26"/>
        </w:rPr>
      </w:pPr>
      <w:r w:rsidRPr="00762240">
        <w:rPr>
          <w:rFonts w:ascii="Bookman Old Style" w:hAnsi="Bookman Old Style"/>
          <w:sz w:val="26"/>
          <w:szCs w:val="26"/>
        </w:rPr>
        <w:t>Cependant, cette expansion rapide s’accompagne de défis majeurs</w:t>
      </w:r>
      <w:r w:rsidRPr="00762240">
        <w:rPr>
          <w:rFonts w:ascii="Times New Roman" w:hAnsi="Times New Roman" w:cs="Times New Roman"/>
          <w:sz w:val="26"/>
          <w:szCs w:val="26"/>
        </w:rPr>
        <w:t> </w:t>
      </w:r>
      <w:r w:rsidRPr="00762240">
        <w:rPr>
          <w:rFonts w:ascii="Bookman Old Style" w:hAnsi="Bookman Old Style"/>
          <w:sz w:val="26"/>
          <w:szCs w:val="26"/>
        </w:rPr>
        <w:t>: d</w:t>
      </w:r>
      <w:r w:rsidRPr="00762240">
        <w:rPr>
          <w:rFonts w:ascii="Bookman Old Style" w:hAnsi="Bookman Old Style" w:cs="Bookman Old Style"/>
          <w:sz w:val="26"/>
          <w:szCs w:val="26"/>
        </w:rPr>
        <w:t>é</w:t>
      </w:r>
      <w:r w:rsidRPr="00762240">
        <w:rPr>
          <w:rFonts w:ascii="Bookman Old Style" w:hAnsi="Bookman Old Style"/>
          <w:sz w:val="26"/>
          <w:szCs w:val="26"/>
        </w:rPr>
        <w:t>ficit chronique en salles de classe, surpeuplement, disparit</w:t>
      </w:r>
      <w:r w:rsidRPr="00762240">
        <w:rPr>
          <w:rFonts w:ascii="Bookman Old Style" w:hAnsi="Bookman Old Style" w:cs="Bookman Old Style"/>
          <w:sz w:val="26"/>
          <w:szCs w:val="26"/>
        </w:rPr>
        <w:t>é</w:t>
      </w:r>
      <w:r w:rsidRPr="00762240">
        <w:rPr>
          <w:rFonts w:ascii="Bookman Old Style" w:hAnsi="Bookman Old Style"/>
          <w:sz w:val="26"/>
          <w:szCs w:val="26"/>
        </w:rPr>
        <w:t>s r</w:t>
      </w:r>
      <w:r w:rsidRPr="00762240">
        <w:rPr>
          <w:rFonts w:ascii="Bookman Old Style" w:hAnsi="Bookman Old Style" w:cs="Bookman Old Style"/>
          <w:sz w:val="26"/>
          <w:szCs w:val="26"/>
        </w:rPr>
        <w:t>é</w:t>
      </w:r>
      <w:r w:rsidRPr="00762240">
        <w:rPr>
          <w:rFonts w:ascii="Bookman Old Style" w:hAnsi="Bookman Old Style"/>
          <w:sz w:val="26"/>
          <w:szCs w:val="26"/>
        </w:rPr>
        <w:t>gionales marqu</w:t>
      </w:r>
      <w:r w:rsidRPr="00762240">
        <w:rPr>
          <w:rFonts w:ascii="Bookman Old Style" w:hAnsi="Bookman Old Style" w:cs="Bookman Old Style"/>
          <w:sz w:val="26"/>
          <w:szCs w:val="26"/>
        </w:rPr>
        <w:t>é</w:t>
      </w:r>
      <w:r w:rsidRPr="00762240">
        <w:rPr>
          <w:rFonts w:ascii="Bookman Old Style" w:hAnsi="Bookman Old Style"/>
          <w:sz w:val="26"/>
          <w:szCs w:val="26"/>
        </w:rPr>
        <w:t>es, et contextes d</w:t>
      </w:r>
      <w:r w:rsidRPr="00762240">
        <w:rPr>
          <w:rFonts w:ascii="Bookman Old Style" w:hAnsi="Bookman Old Style" w:cs="Bookman Old Style"/>
          <w:sz w:val="26"/>
          <w:szCs w:val="26"/>
        </w:rPr>
        <w:t>’</w:t>
      </w:r>
      <w:r w:rsidRPr="00762240">
        <w:rPr>
          <w:rFonts w:ascii="Bookman Old Style" w:hAnsi="Bookman Old Style"/>
          <w:sz w:val="26"/>
          <w:szCs w:val="26"/>
        </w:rPr>
        <w:t>ins</w:t>
      </w:r>
      <w:r w:rsidRPr="00762240">
        <w:rPr>
          <w:rFonts w:ascii="Bookman Old Style" w:hAnsi="Bookman Old Style" w:cs="Bookman Old Style"/>
          <w:sz w:val="26"/>
          <w:szCs w:val="26"/>
        </w:rPr>
        <w:t>é</w:t>
      </w:r>
      <w:r w:rsidRPr="00762240">
        <w:rPr>
          <w:rFonts w:ascii="Bookman Old Style" w:hAnsi="Bookman Old Style"/>
          <w:sz w:val="26"/>
          <w:szCs w:val="26"/>
        </w:rPr>
        <w:t>curit</w:t>
      </w:r>
      <w:r w:rsidRPr="00762240">
        <w:rPr>
          <w:rFonts w:ascii="Bookman Old Style" w:hAnsi="Bookman Old Style" w:cs="Bookman Old Style"/>
          <w:sz w:val="26"/>
          <w:szCs w:val="26"/>
        </w:rPr>
        <w:t>é</w:t>
      </w:r>
      <w:r w:rsidRPr="00762240">
        <w:rPr>
          <w:rFonts w:ascii="Bookman Old Style" w:hAnsi="Bookman Old Style"/>
          <w:sz w:val="26"/>
          <w:szCs w:val="26"/>
        </w:rPr>
        <w:t xml:space="preserve"> dans certaines provinces (UNICEF, 2023</w:t>
      </w:r>
      <w:r w:rsidRPr="00762240">
        <w:rPr>
          <w:rFonts w:ascii="Times New Roman" w:hAnsi="Times New Roman" w:cs="Times New Roman"/>
          <w:sz w:val="26"/>
          <w:szCs w:val="26"/>
        </w:rPr>
        <w:t> </w:t>
      </w:r>
      <w:r w:rsidRPr="00762240">
        <w:rPr>
          <w:rFonts w:ascii="Bookman Old Style" w:hAnsi="Bookman Old Style"/>
          <w:sz w:val="26"/>
          <w:szCs w:val="26"/>
        </w:rPr>
        <w:t>; Banque mondiale, 2024). La planification et l</w:t>
      </w:r>
      <w:r w:rsidRPr="00762240">
        <w:rPr>
          <w:rFonts w:ascii="Bookman Old Style" w:hAnsi="Bookman Old Style" w:cs="Bookman Old Style"/>
          <w:sz w:val="26"/>
          <w:szCs w:val="26"/>
        </w:rPr>
        <w:t>’</w:t>
      </w:r>
      <w:r w:rsidRPr="00762240">
        <w:rPr>
          <w:rFonts w:ascii="Bookman Old Style" w:hAnsi="Bookman Old Style"/>
          <w:sz w:val="26"/>
          <w:szCs w:val="26"/>
        </w:rPr>
        <w:t>anticipation des besoins en infrastructures scolaires constituent donc un enjeu strat</w:t>
      </w:r>
      <w:r w:rsidRPr="00762240">
        <w:rPr>
          <w:rFonts w:ascii="Bookman Old Style" w:hAnsi="Bookman Old Style" w:cs="Bookman Old Style"/>
          <w:sz w:val="26"/>
          <w:szCs w:val="26"/>
        </w:rPr>
        <w:t>é</w:t>
      </w:r>
      <w:r w:rsidRPr="00762240">
        <w:rPr>
          <w:rFonts w:ascii="Bookman Old Style" w:hAnsi="Bookman Old Style"/>
          <w:sz w:val="26"/>
          <w:szCs w:val="26"/>
        </w:rPr>
        <w:t>gique pour l</w:t>
      </w:r>
      <w:r w:rsidRPr="00762240">
        <w:rPr>
          <w:rFonts w:ascii="Bookman Old Style" w:hAnsi="Bookman Old Style" w:cs="Bookman Old Style"/>
          <w:sz w:val="26"/>
          <w:szCs w:val="26"/>
        </w:rPr>
        <w:t>’</w:t>
      </w:r>
      <w:r w:rsidRPr="00762240">
        <w:rPr>
          <w:rFonts w:ascii="Bookman Old Style" w:hAnsi="Bookman Old Style"/>
          <w:sz w:val="26"/>
          <w:szCs w:val="26"/>
        </w:rPr>
        <w:t>avenir du pays.</w:t>
      </w:r>
    </w:p>
    <w:p w14:paraId="3D0B97EF" w14:textId="4983BE69" w:rsidR="002F2D8C" w:rsidRPr="00762240" w:rsidRDefault="002F2D8C" w:rsidP="002F2D8C">
      <w:pPr>
        <w:ind w:firstLine="1134"/>
        <w:jc w:val="both"/>
        <w:rPr>
          <w:rFonts w:ascii="Trebuchet MS" w:hAnsi="Trebuchet MS"/>
          <w:sz w:val="28"/>
          <w:szCs w:val="28"/>
        </w:rPr>
      </w:pPr>
      <w:r w:rsidRPr="00940657">
        <w:rPr>
          <w:rFonts w:ascii="Trebuchet MS" w:hAnsi="Trebuchet MS"/>
          <w:sz w:val="28"/>
          <w:szCs w:val="28"/>
        </w:rPr>
        <w:t xml:space="preserve">Dans ce contexte, l’intelligence artificielle (IA) offre des perspectives inédites pour anticiper, planifier et optimiser la construction et la réhabilitation des infrastructures scolaires sur </w:t>
      </w:r>
      <w:r w:rsidRPr="00940657">
        <w:rPr>
          <w:rFonts w:ascii="Trebuchet MS" w:hAnsi="Trebuchet MS"/>
          <w:sz w:val="28"/>
          <w:szCs w:val="28"/>
        </w:rPr>
        <w:lastRenderedPageBreak/>
        <w:t>l’ensemble du territoire national. Grâce à l’analyse massive de données démographiques, géospatiales et socio-économiques, l’IA peut aider les décideurs à mieux cibler les investissements, à réduire les inégalités et à améliorer la gouvernance du secteur éducatif.</w:t>
      </w:r>
    </w:p>
    <w:p w14:paraId="16EAD214"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1.2 Justification du choix du sujet</w:t>
      </w:r>
    </w:p>
    <w:p w14:paraId="4989FB3E" w14:textId="77777777" w:rsidR="00762240" w:rsidRDefault="00762240" w:rsidP="00762240">
      <w:pPr>
        <w:jc w:val="both"/>
        <w:rPr>
          <w:rFonts w:ascii="Bookman Old Style" w:hAnsi="Bookman Old Style"/>
          <w:sz w:val="26"/>
          <w:szCs w:val="26"/>
        </w:rPr>
      </w:pPr>
      <w:r w:rsidRPr="00762240">
        <w:rPr>
          <w:rFonts w:ascii="Bookman Old Style" w:hAnsi="Bookman Old Style"/>
          <w:sz w:val="26"/>
          <w:szCs w:val="26"/>
        </w:rPr>
        <w:t>Le choix de ce sujet s’explique par l’urgence et la complexité de la problématique éducative en RDC. Malgré des efforts notables, les infrastructures scolaires restent insuffisantes face à la croissance des effectifs. Les politiques publiques, telles que la gratuité, bien qu’efficaces pour accroître l’accès, accentuent la pression sur un système déjà fragile (UNESCO, 2022).</w:t>
      </w:r>
    </w:p>
    <w:tbl>
      <w:tblPr>
        <w:tblStyle w:val="Grilledutableau"/>
        <w:tblW w:w="0" w:type="auto"/>
        <w:tblLook w:val="04A0" w:firstRow="1" w:lastRow="0" w:firstColumn="1" w:lastColumn="0" w:noHBand="0" w:noVBand="1"/>
      </w:tblPr>
      <w:tblGrid>
        <w:gridCol w:w="2350"/>
        <w:gridCol w:w="2513"/>
        <w:gridCol w:w="2425"/>
        <w:gridCol w:w="1774"/>
      </w:tblGrid>
      <w:tr w:rsidR="00124AB2" w14:paraId="46E146DE" w14:textId="77777777" w:rsidTr="00130736">
        <w:tc>
          <w:tcPr>
            <w:tcW w:w="3498" w:type="dxa"/>
          </w:tcPr>
          <w:p w14:paraId="236A4D47" w14:textId="77777777" w:rsidR="00124AB2" w:rsidRDefault="00124AB2" w:rsidP="00130736">
            <w:pPr>
              <w:jc w:val="both"/>
              <w:rPr>
                <w:rFonts w:ascii="Bookman Old Style" w:hAnsi="Bookman Old Style"/>
                <w:sz w:val="26"/>
                <w:szCs w:val="26"/>
              </w:rPr>
            </w:pPr>
            <w:r>
              <w:rPr>
                <w:rFonts w:ascii="Bookman Old Style" w:hAnsi="Bookman Old Style"/>
                <w:sz w:val="26"/>
                <w:szCs w:val="26"/>
              </w:rPr>
              <w:t xml:space="preserve">Grille d’analyse sur la </w:t>
            </w:r>
            <w:r w:rsidRPr="00225714">
              <w:rPr>
                <w:rFonts w:ascii="Bookman Old Style" w:hAnsi="Bookman Old Style"/>
                <w:b/>
                <w:bCs/>
                <w:sz w:val="26"/>
                <w:szCs w:val="26"/>
              </w:rPr>
              <w:t>Gouvernance et Gestion du Système Éducatif</w:t>
            </w:r>
          </w:p>
        </w:tc>
        <w:tc>
          <w:tcPr>
            <w:tcW w:w="3498" w:type="dxa"/>
          </w:tcPr>
          <w:p w14:paraId="40236E8A" w14:textId="77777777" w:rsidR="00124AB2" w:rsidRDefault="00124AB2" w:rsidP="00130736">
            <w:pPr>
              <w:jc w:val="both"/>
              <w:rPr>
                <w:rFonts w:ascii="Bookman Old Style" w:hAnsi="Bookman Old Style"/>
                <w:sz w:val="26"/>
                <w:szCs w:val="26"/>
              </w:rPr>
            </w:pPr>
          </w:p>
        </w:tc>
        <w:tc>
          <w:tcPr>
            <w:tcW w:w="3499" w:type="dxa"/>
          </w:tcPr>
          <w:p w14:paraId="2A54847E" w14:textId="77777777" w:rsidR="00124AB2" w:rsidRDefault="00124AB2" w:rsidP="00130736">
            <w:pPr>
              <w:jc w:val="both"/>
              <w:rPr>
                <w:rFonts w:ascii="Bookman Old Style" w:hAnsi="Bookman Old Style"/>
                <w:sz w:val="26"/>
                <w:szCs w:val="26"/>
              </w:rPr>
            </w:pPr>
          </w:p>
        </w:tc>
        <w:tc>
          <w:tcPr>
            <w:tcW w:w="3499" w:type="dxa"/>
          </w:tcPr>
          <w:p w14:paraId="076B9FE2" w14:textId="77777777" w:rsidR="00124AB2" w:rsidRDefault="00124AB2" w:rsidP="00130736">
            <w:pPr>
              <w:jc w:val="both"/>
              <w:rPr>
                <w:rFonts w:ascii="Bookman Old Style" w:hAnsi="Bookman Old Style"/>
                <w:sz w:val="26"/>
                <w:szCs w:val="26"/>
              </w:rPr>
            </w:pPr>
          </w:p>
        </w:tc>
      </w:tr>
      <w:tr w:rsidR="00124AB2" w14:paraId="45923523" w14:textId="77777777" w:rsidTr="00130736">
        <w:tc>
          <w:tcPr>
            <w:tcW w:w="3498" w:type="dxa"/>
          </w:tcPr>
          <w:p w14:paraId="4B687B1B" w14:textId="77777777" w:rsidR="00124AB2" w:rsidRPr="00880676" w:rsidRDefault="00124AB2" w:rsidP="00130736">
            <w:pPr>
              <w:jc w:val="center"/>
              <w:rPr>
                <w:rFonts w:ascii="Bookman Old Style" w:hAnsi="Bookman Old Style"/>
                <w:b/>
                <w:bCs/>
                <w:i/>
                <w:iCs/>
              </w:rPr>
            </w:pPr>
            <w:r w:rsidRPr="00880676">
              <w:rPr>
                <w:rFonts w:ascii="Bookman Old Style" w:hAnsi="Bookman Old Style"/>
                <w:b/>
                <w:bCs/>
                <w:i/>
                <w:iCs/>
              </w:rPr>
              <w:t>Problème</w:t>
            </w:r>
          </w:p>
        </w:tc>
        <w:tc>
          <w:tcPr>
            <w:tcW w:w="3498" w:type="dxa"/>
          </w:tcPr>
          <w:p w14:paraId="02478717" w14:textId="77777777" w:rsidR="00124AB2" w:rsidRPr="00880676" w:rsidRDefault="00124AB2" w:rsidP="00130736">
            <w:pPr>
              <w:jc w:val="center"/>
              <w:rPr>
                <w:rFonts w:ascii="Bookman Old Style" w:hAnsi="Bookman Old Style"/>
                <w:b/>
                <w:bCs/>
                <w:i/>
                <w:iCs/>
              </w:rPr>
            </w:pPr>
            <w:r w:rsidRPr="00880676">
              <w:rPr>
                <w:rFonts w:ascii="Bookman Old Style" w:hAnsi="Bookman Old Style"/>
                <w:b/>
                <w:bCs/>
                <w:i/>
                <w:iCs/>
              </w:rPr>
              <w:t>Causes</w:t>
            </w:r>
          </w:p>
        </w:tc>
        <w:tc>
          <w:tcPr>
            <w:tcW w:w="3499" w:type="dxa"/>
          </w:tcPr>
          <w:p w14:paraId="0D162D63" w14:textId="77777777" w:rsidR="00124AB2" w:rsidRPr="00880676" w:rsidRDefault="00124AB2" w:rsidP="00130736">
            <w:pPr>
              <w:jc w:val="center"/>
              <w:rPr>
                <w:rFonts w:ascii="Bookman Old Style" w:hAnsi="Bookman Old Style"/>
                <w:b/>
                <w:bCs/>
                <w:i/>
                <w:iCs/>
              </w:rPr>
            </w:pPr>
            <w:r w:rsidRPr="00880676">
              <w:rPr>
                <w:rFonts w:ascii="Bookman Old Style" w:hAnsi="Bookman Old Style"/>
                <w:b/>
                <w:bCs/>
                <w:i/>
                <w:iCs/>
              </w:rPr>
              <w:t>Stratégies d’affrontement</w:t>
            </w:r>
          </w:p>
        </w:tc>
        <w:tc>
          <w:tcPr>
            <w:tcW w:w="3499" w:type="dxa"/>
          </w:tcPr>
          <w:p w14:paraId="26D7F301" w14:textId="77777777" w:rsidR="00124AB2" w:rsidRPr="00880676" w:rsidRDefault="00124AB2" w:rsidP="00130736">
            <w:pPr>
              <w:jc w:val="center"/>
              <w:rPr>
                <w:rFonts w:ascii="Bookman Old Style" w:hAnsi="Bookman Old Style"/>
                <w:b/>
                <w:bCs/>
                <w:i/>
                <w:iCs/>
              </w:rPr>
            </w:pPr>
            <w:r w:rsidRPr="00880676">
              <w:rPr>
                <w:rFonts w:ascii="Bookman Old Style" w:hAnsi="Bookman Old Style"/>
                <w:b/>
                <w:bCs/>
                <w:i/>
                <w:iCs/>
              </w:rPr>
              <w:t>Solution possible</w:t>
            </w:r>
          </w:p>
        </w:tc>
      </w:tr>
      <w:tr w:rsidR="00124AB2" w14:paraId="479AF108" w14:textId="77777777" w:rsidTr="00130736">
        <w:tc>
          <w:tcPr>
            <w:tcW w:w="3498" w:type="dxa"/>
          </w:tcPr>
          <w:p w14:paraId="150D4AC2" w14:textId="77777777" w:rsidR="00124AB2" w:rsidRDefault="00124AB2" w:rsidP="00130736">
            <w:pPr>
              <w:jc w:val="both"/>
              <w:rPr>
                <w:rFonts w:ascii="Bookman Old Style" w:hAnsi="Bookman Old Style"/>
                <w:b/>
                <w:bCs/>
                <w:sz w:val="22"/>
                <w:szCs w:val="22"/>
              </w:rPr>
            </w:pPr>
          </w:p>
          <w:p w14:paraId="39F9B7C3" w14:textId="77777777" w:rsidR="00124AB2" w:rsidRDefault="00124AB2" w:rsidP="00130736">
            <w:pPr>
              <w:jc w:val="both"/>
              <w:rPr>
                <w:rFonts w:ascii="Bookman Old Style" w:hAnsi="Bookman Old Style"/>
                <w:b/>
                <w:bCs/>
                <w:sz w:val="22"/>
                <w:szCs w:val="22"/>
              </w:rPr>
            </w:pPr>
          </w:p>
          <w:p w14:paraId="3C0B9206" w14:textId="77777777" w:rsidR="00124AB2" w:rsidRDefault="00124AB2" w:rsidP="00130736">
            <w:pPr>
              <w:jc w:val="both"/>
              <w:rPr>
                <w:rFonts w:ascii="Bookman Old Style" w:hAnsi="Bookman Old Style"/>
                <w:b/>
                <w:bCs/>
                <w:sz w:val="22"/>
                <w:szCs w:val="22"/>
              </w:rPr>
            </w:pPr>
          </w:p>
          <w:p w14:paraId="22EDD662" w14:textId="77777777" w:rsidR="00124AB2" w:rsidRPr="00880676" w:rsidRDefault="00124AB2" w:rsidP="00130736">
            <w:pPr>
              <w:jc w:val="both"/>
              <w:rPr>
                <w:rFonts w:ascii="Bookman Old Style" w:hAnsi="Bookman Old Style"/>
                <w:sz w:val="26"/>
                <w:szCs w:val="26"/>
              </w:rPr>
            </w:pPr>
            <w:r w:rsidRPr="00225714">
              <w:rPr>
                <w:rFonts w:ascii="Bookman Old Style" w:hAnsi="Bookman Old Style"/>
                <w:b/>
                <w:bCs/>
                <w:sz w:val="22"/>
                <w:szCs w:val="22"/>
              </w:rPr>
              <w:t xml:space="preserve">La planification inefficace et réactive des infrastructures </w:t>
            </w:r>
            <w:r w:rsidRPr="00880676">
              <w:rPr>
                <w:rFonts w:ascii="Bookman Old Style" w:hAnsi="Bookman Old Style"/>
                <w:b/>
                <w:bCs/>
                <w:sz w:val="22"/>
                <w:szCs w:val="22"/>
              </w:rPr>
              <w:t>scolaires</w:t>
            </w:r>
            <w:r w:rsidRPr="00880676">
              <w:rPr>
                <w:rFonts w:ascii="Bookman Old Style" w:hAnsi="Bookman Old Style"/>
                <w:sz w:val="22"/>
                <w:szCs w:val="22"/>
              </w:rPr>
              <w:t xml:space="preserve"> (</w:t>
            </w:r>
            <w:r w:rsidRPr="00225714">
              <w:rPr>
                <w:rFonts w:ascii="Bookman Old Style" w:hAnsi="Bookman Old Style"/>
                <w:sz w:val="22"/>
                <w:szCs w:val="22"/>
              </w:rPr>
              <w:t>qui mène à un manque d'infrastructures ou à des infrastructures mal réparties)</w:t>
            </w:r>
          </w:p>
        </w:tc>
        <w:tc>
          <w:tcPr>
            <w:tcW w:w="3498" w:type="dxa"/>
          </w:tcPr>
          <w:p w14:paraId="19463E27" w14:textId="77777777" w:rsidR="00124AB2" w:rsidRPr="00880676" w:rsidRDefault="00124AB2" w:rsidP="00124AB2">
            <w:pPr>
              <w:numPr>
                <w:ilvl w:val="0"/>
                <w:numId w:val="6"/>
              </w:numPr>
              <w:tabs>
                <w:tab w:val="clear" w:pos="720"/>
              </w:tabs>
              <w:spacing w:after="160" w:line="278" w:lineRule="auto"/>
              <w:ind w:left="214" w:hanging="214"/>
              <w:jc w:val="both"/>
              <w:rPr>
                <w:rFonts w:ascii="Bookman Old Style" w:hAnsi="Bookman Old Style"/>
                <w:sz w:val="26"/>
                <w:szCs w:val="26"/>
              </w:rPr>
            </w:pPr>
            <w:r w:rsidRPr="00225714">
              <w:rPr>
                <w:rFonts w:ascii="Bookman Old Style" w:hAnsi="Bookman Old Style"/>
                <w:sz w:val="22"/>
                <w:szCs w:val="22"/>
              </w:rPr>
              <w:t xml:space="preserve">La </w:t>
            </w:r>
            <w:r w:rsidRPr="00225714">
              <w:rPr>
                <w:rFonts w:ascii="Bookman Old Style" w:hAnsi="Bookman Old Style"/>
                <w:b/>
                <w:bCs/>
                <w:sz w:val="22"/>
                <w:szCs w:val="22"/>
              </w:rPr>
              <w:t>surpopulation des classes</w:t>
            </w:r>
            <w:r>
              <w:rPr>
                <w:rFonts w:ascii="Bookman Old Style" w:hAnsi="Bookman Old Style"/>
                <w:b/>
                <w:bCs/>
                <w:sz w:val="22"/>
                <w:szCs w:val="22"/>
              </w:rPr>
              <w:t> ;</w:t>
            </w:r>
            <w:r w:rsidRPr="00225714">
              <w:rPr>
                <w:rFonts w:ascii="Bookman Old Style" w:hAnsi="Bookman Old Style"/>
                <w:sz w:val="22"/>
                <w:szCs w:val="22"/>
              </w:rPr>
              <w:t xml:space="preserve"> </w:t>
            </w:r>
          </w:p>
          <w:p w14:paraId="36CB1BC3" w14:textId="77777777" w:rsidR="00124AB2" w:rsidRPr="00880676" w:rsidRDefault="00124AB2" w:rsidP="00124AB2">
            <w:pPr>
              <w:numPr>
                <w:ilvl w:val="0"/>
                <w:numId w:val="6"/>
              </w:numPr>
              <w:tabs>
                <w:tab w:val="clear" w:pos="720"/>
              </w:tabs>
              <w:spacing w:after="160" w:line="278" w:lineRule="auto"/>
              <w:ind w:left="214" w:hanging="214"/>
              <w:jc w:val="both"/>
              <w:rPr>
                <w:rFonts w:ascii="Bookman Old Style" w:hAnsi="Bookman Old Style"/>
                <w:sz w:val="26"/>
                <w:szCs w:val="26"/>
              </w:rPr>
            </w:pPr>
            <w:r w:rsidRPr="00225714">
              <w:rPr>
                <w:rFonts w:ascii="Bookman Old Style" w:hAnsi="Bookman Old Style"/>
                <w:sz w:val="22"/>
                <w:szCs w:val="22"/>
              </w:rPr>
              <w:t xml:space="preserve">Le </w:t>
            </w:r>
            <w:r w:rsidRPr="00225714">
              <w:rPr>
                <w:rFonts w:ascii="Bookman Old Style" w:hAnsi="Bookman Old Style"/>
                <w:b/>
                <w:bCs/>
                <w:sz w:val="22"/>
                <w:szCs w:val="22"/>
              </w:rPr>
              <w:t>manque de salles de classe</w:t>
            </w:r>
            <w:r w:rsidRPr="00225714">
              <w:rPr>
                <w:rFonts w:ascii="Bookman Old Style" w:hAnsi="Bookman Old Style"/>
                <w:sz w:val="22"/>
                <w:szCs w:val="22"/>
              </w:rPr>
              <w:t xml:space="preserve"> dans les zones à forte croissance démographique</w:t>
            </w:r>
            <w:r>
              <w:rPr>
                <w:rFonts w:ascii="Bookman Old Style" w:hAnsi="Bookman Old Style"/>
                <w:sz w:val="22"/>
                <w:szCs w:val="22"/>
              </w:rPr>
              <w:t> ;</w:t>
            </w:r>
            <w:r w:rsidRPr="00225714">
              <w:rPr>
                <w:rFonts w:ascii="Bookman Old Style" w:hAnsi="Bookman Old Style"/>
                <w:sz w:val="22"/>
                <w:szCs w:val="22"/>
              </w:rPr>
              <w:t xml:space="preserve"> </w:t>
            </w:r>
          </w:p>
          <w:p w14:paraId="28F4C728" w14:textId="77777777" w:rsidR="00124AB2" w:rsidRPr="00225714" w:rsidRDefault="00124AB2" w:rsidP="00124AB2">
            <w:pPr>
              <w:numPr>
                <w:ilvl w:val="0"/>
                <w:numId w:val="6"/>
              </w:numPr>
              <w:tabs>
                <w:tab w:val="clear" w:pos="720"/>
              </w:tabs>
              <w:spacing w:after="160" w:line="278" w:lineRule="auto"/>
              <w:ind w:left="214" w:hanging="214"/>
              <w:jc w:val="both"/>
              <w:rPr>
                <w:rFonts w:ascii="Bookman Old Style" w:hAnsi="Bookman Old Style"/>
                <w:sz w:val="26"/>
                <w:szCs w:val="26"/>
              </w:rPr>
            </w:pPr>
            <w:r w:rsidRPr="00225714">
              <w:rPr>
                <w:rFonts w:ascii="Bookman Old Style" w:hAnsi="Bookman Old Style"/>
                <w:sz w:val="22"/>
                <w:szCs w:val="22"/>
              </w:rPr>
              <w:t xml:space="preserve">Des </w:t>
            </w:r>
            <w:r w:rsidRPr="00225714">
              <w:rPr>
                <w:rFonts w:ascii="Bookman Old Style" w:hAnsi="Bookman Old Style"/>
                <w:b/>
                <w:bCs/>
                <w:sz w:val="22"/>
                <w:szCs w:val="22"/>
              </w:rPr>
              <w:t>dépenses inefficaces</w:t>
            </w:r>
            <w:r w:rsidRPr="00225714">
              <w:rPr>
                <w:rFonts w:ascii="Bookman Old Style" w:hAnsi="Bookman Old Style"/>
                <w:sz w:val="22"/>
                <w:szCs w:val="22"/>
              </w:rPr>
              <w:t xml:space="preserve"> car les constructions ne sont pas toujours faites là où le besoin est le plus pressant ou anticipé.</w:t>
            </w:r>
          </w:p>
          <w:p w14:paraId="51890FAA" w14:textId="77777777" w:rsidR="00124AB2" w:rsidRDefault="00124AB2" w:rsidP="00130736">
            <w:pPr>
              <w:jc w:val="both"/>
              <w:rPr>
                <w:rFonts w:ascii="Bookman Old Style" w:hAnsi="Bookman Old Style"/>
                <w:sz w:val="26"/>
                <w:szCs w:val="26"/>
              </w:rPr>
            </w:pPr>
          </w:p>
        </w:tc>
        <w:tc>
          <w:tcPr>
            <w:tcW w:w="3499" w:type="dxa"/>
          </w:tcPr>
          <w:p w14:paraId="122AC733" w14:textId="77777777" w:rsidR="00124AB2" w:rsidRDefault="00124AB2" w:rsidP="00130736">
            <w:pPr>
              <w:jc w:val="both"/>
              <w:rPr>
                <w:rFonts w:ascii="Bookman Old Style" w:hAnsi="Bookman Old Style"/>
                <w:sz w:val="22"/>
                <w:szCs w:val="22"/>
              </w:rPr>
            </w:pPr>
          </w:p>
          <w:p w14:paraId="0E28AC39" w14:textId="77777777" w:rsidR="00124AB2" w:rsidRDefault="00124AB2" w:rsidP="00130736">
            <w:pPr>
              <w:jc w:val="both"/>
              <w:rPr>
                <w:rFonts w:ascii="Bookman Old Style" w:hAnsi="Bookman Old Style"/>
                <w:sz w:val="22"/>
                <w:szCs w:val="22"/>
              </w:rPr>
            </w:pPr>
          </w:p>
          <w:p w14:paraId="4963BF21" w14:textId="77777777" w:rsidR="00124AB2" w:rsidRDefault="00124AB2" w:rsidP="00130736">
            <w:pPr>
              <w:jc w:val="both"/>
              <w:rPr>
                <w:rFonts w:ascii="Bookman Old Style" w:hAnsi="Bookman Old Style"/>
                <w:sz w:val="22"/>
                <w:szCs w:val="22"/>
              </w:rPr>
            </w:pPr>
          </w:p>
          <w:p w14:paraId="12A82637" w14:textId="77777777" w:rsidR="00124AB2" w:rsidRPr="00880676" w:rsidRDefault="00124AB2" w:rsidP="00130736">
            <w:pPr>
              <w:jc w:val="both"/>
              <w:rPr>
                <w:rFonts w:ascii="Bookman Old Style" w:hAnsi="Bookman Old Style"/>
                <w:sz w:val="26"/>
                <w:szCs w:val="26"/>
              </w:rPr>
            </w:pPr>
            <w:r w:rsidRPr="00225714">
              <w:rPr>
                <w:rFonts w:ascii="Bookman Old Style" w:hAnsi="Bookman Old Style"/>
                <w:sz w:val="22"/>
                <w:szCs w:val="22"/>
              </w:rPr>
              <w:t>La "Modernisation du système éducatif" par l'"intégration des TIC" et la "rationalisation de la gestion administrative</w:t>
            </w:r>
          </w:p>
        </w:tc>
        <w:tc>
          <w:tcPr>
            <w:tcW w:w="3499" w:type="dxa"/>
          </w:tcPr>
          <w:p w14:paraId="57CEBB8F" w14:textId="77777777" w:rsidR="00124AB2" w:rsidRDefault="00124AB2" w:rsidP="00130736">
            <w:pPr>
              <w:jc w:val="both"/>
              <w:rPr>
                <w:rFonts w:ascii="Bookman Old Style" w:hAnsi="Bookman Old Style"/>
                <w:b/>
                <w:bCs/>
                <w:sz w:val="26"/>
                <w:szCs w:val="26"/>
              </w:rPr>
            </w:pPr>
          </w:p>
          <w:p w14:paraId="30FE43E7" w14:textId="77777777" w:rsidR="00124AB2" w:rsidRDefault="00124AB2" w:rsidP="00130736">
            <w:pPr>
              <w:jc w:val="both"/>
              <w:rPr>
                <w:rFonts w:ascii="Bookman Old Style" w:hAnsi="Bookman Old Style"/>
                <w:b/>
                <w:bCs/>
                <w:sz w:val="26"/>
                <w:szCs w:val="26"/>
              </w:rPr>
            </w:pPr>
          </w:p>
          <w:p w14:paraId="257FBE6D" w14:textId="77777777" w:rsidR="00124AB2" w:rsidRDefault="00124AB2" w:rsidP="00130736">
            <w:pPr>
              <w:jc w:val="center"/>
              <w:rPr>
                <w:rFonts w:ascii="Bookman Old Style" w:hAnsi="Bookman Old Style"/>
                <w:b/>
                <w:bCs/>
                <w:sz w:val="26"/>
                <w:szCs w:val="26"/>
              </w:rPr>
            </w:pPr>
          </w:p>
          <w:p w14:paraId="30B91658" w14:textId="77777777" w:rsidR="00124AB2" w:rsidRDefault="00124AB2" w:rsidP="00130736">
            <w:pPr>
              <w:jc w:val="center"/>
              <w:rPr>
                <w:rFonts w:ascii="Bookman Old Style" w:hAnsi="Bookman Old Style"/>
                <w:sz w:val="26"/>
                <w:szCs w:val="26"/>
              </w:rPr>
            </w:pPr>
            <w:r w:rsidRPr="00225714">
              <w:rPr>
                <w:rFonts w:ascii="Bookman Old Style" w:hAnsi="Bookman Old Style"/>
                <w:b/>
                <w:bCs/>
                <w:sz w:val="26"/>
                <w:szCs w:val="26"/>
              </w:rPr>
              <w:t>SIPBIS</w:t>
            </w:r>
          </w:p>
        </w:tc>
      </w:tr>
    </w:tbl>
    <w:p w14:paraId="16B11B20" w14:textId="77777777" w:rsidR="00124AB2" w:rsidRPr="00762240" w:rsidRDefault="00124AB2" w:rsidP="00762240">
      <w:pPr>
        <w:jc w:val="both"/>
        <w:rPr>
          <w:rFonts w:ascii="Bookman Old Style" w:hAnsi="Bookman Old Style"/>
          <w:sz w:val="26"/>
          <w:szCs w:val="26"/>
        </w:rPr>
      </w:pPr>
    </w:p>
    <w:p w14:paraId="599DE190" w14:textId="18E33E30" w:rsidR="002F2D8C"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 xml:space="preserve">Par ailleurs, l’émergence des technologies d’intelligence artificielle (IA) offre de nouvelles perspectives pour la planification et la gestion des systèmes éducatifs. L’IA permet d’analyser de vastes ensembles de </w:t>
      </w:r>
      <w:r w:rsidRPr="00762240">
        <w:rPr>
          <w:rFonts w:ascii="Bookman Old Style" w:hAnsi="Bookman Old Style"/>
          <w:sz w:val="26"/>
          <w:szCs w:val="26"/>
        </w:rPr>
        <w:lastRenderedPageBreak/>
        <w:t xml:space="preserve">données, d’identifier des tendances cachées et de prédire les besoins futurs avec une précision inédite (World Bank </w:t>
      </w:r>
      <w:proofErr w:type="spellStart"/>
      <w:r w:rsidRPr="00762240">
        <w:rPr>
          <w:rFonts w:ascii="Bookman Old Style" w:hAnsi="Bookman Old Style"/>
          <w:sz w:val="26"/>
          <w:szCs w:val="26"/>
        </w:rPr>
        <w:t>EdTech</w:t>
      </w:r>
      <w:proofErr w:type="spellEnd"/>
      <w:r w:rsidRPr="00762240">
        <w:rPr>
          <w:rFonts w:ascii="Bookman Old Style" w:hAnsi="Bookman Old Style"/>
          <w:sz w:val="26"/>
          <w:szCs w:val="26"/>
        </w:rPr>
        <w:t>, 2023). Appliquer ces outils à la question des infrastructures scolaires en RDC représente une innovation à fort impact potentiel.</w:t>
      </w:r>
    </w:p>
    <w:p w14:paraId="1D05FE3E"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1.3 Problématique</w:t>
      </w:r>
    </w:p>
    <w:p w14:paraId="09F75742"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Face à la croissance rapide de la population scolarisable, à l’extension de la gratuité de l’enseignement primaire et aux disparités régionales en matière d’infrastructures, </w:t>
      </w:r>
      <w:r w:rsidRPr="00762240">
        <w:rPr>
          <w:rFonts w:ascii="Bookman Old Style" w:hAnsi="Bookman Old Style"/>
          <w:b/>
          <w:bCs/>
          <w:sz w:val="26"/>
          <w:szCs w:val="26"/>
        </w:rPr>
        <w:t>comment l’intelligence artificielle peut-elle permettre une planification plus efficace et équitable des besoins en infrastructures scolaires à l’échelle nationale en RDC, afin d’anticiper les besoins à l’horizon 2030 et 2050</w:t>
      </w:r>
      <w:r w:rsidRPr="00762240">
        <w:rPr>
          <w:rFonts w:ascii="Times New Roman" w:hAnsi="Times New Roman" w:cs="Times New Roman"/>
          <w:b/>
          <w:bCs/>
          <w:sz w:val="26"/>
          <w:szCs w:val="26"/>
        </w:rPr>
        <w:t> </w:t>
      </w:r>
      <w:r w:rsidRPr="00762240">
        <w:rPr>
          <w:rFonts w:ascii="Bookman Old Style" w:hAnsi="Bookman Old Style"/>
          <w:b/>
          <w:bCs/>
          <w:sz w:val="26"/>
          <w:szCs w:val="26"/>
        </w:rPr>
        <w:t>?</w:t>
      </w:r>
    </w:p>
    <w:p w14:paraId="3678DDA9" w14:textId="77777777" w:rsid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1.4 Hypothèses</w:t>
      </w:r>
    </w:p>
    <w:p w14:paraId="26DD3EC7" w14:textId="55DC7974" w:rsidR="00762240" w:rsidRPr="00762240" w:rsidRDefault="00762240" w:rsidP="00762240">
      <w:pPr>
        <w:jc w:val="both"/>
        <w:rPr>
          <w:rFonts w:ascii="Bookman Old Style" w:hAnsi="Bookman Old Style"/>
          <w:b/>
          <w:bCs/>
          <w:sz w:val="26"/>
          <w:szCs w:val="26"/>
        </w:rPr>
      </w:pPr>
      <w:r w:rsidRPr="00762240">
        <w:rPr>
          <w:rFonts w:ascii="Bookman Old Style" w:hAnsi="Bookman Old Style"/>
          <w:sz w:val="26"/>
          <w:szCs w:val="26"/>
        </w:rPr>
        <w:t>L’analyse des données démographiques, scolaires et contextuelles par des techniques d’intelligence artificielle permet de prédire de manière fiable les besoins futurs en infrastructures scolaires en RDC.</w:t>
      </w:r>
    </w:p>
    <w:p w14:paraId="7156DF9D" w14:textId="3C12E22A" w:rsidR="002F2D8C"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L’intégration de variables régionales et contextuelles (sécurité, pauvreté, accessibilité) améliore la précision des prédictions et permet de cibler les investissements là où ils sont les plus nécessaires.</w:t>
      </w:r>
    </w:p>
    <w:p w14:paraId="670CC845"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1.5 Objectifs du travail</w:t>
      </w:r>
    </w:p>
    <w:p w14:paraId="706BE7BD"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Objectif général</w:t>
      </w:r>
    </w:p>
    <w:p w14:paraId="76A63458"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Développer une application d’intelligence artificielle capable de prédire, à l’échelle nationale, les besoins en infrastructures scolaires en RDC, afin d’optimiser la planification éducative pour l’horizon 2030 et 2050, tout en tenant compte des disparités régionales, des dynamiques démographiques, des politiques éducatives et des contextes socio-économiques.</w:t>
      </w:r>
    </w:p>
    <w:p w14:paraId="61330961"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Objectifs spécifiques</w:t>
      </w:r>
    </w:p>
    <w:p w14:paraId="7DFBC05A" w14:textId="77777777" w:rsidR="00762240" w:rsidRPr="00762240" w:rsidRDefault="00762240" w:rsidP="00762240">
      <w:pPr>
        <w:numPr>
          <w:ilvl w:val="0"/>
          <w:numId w:val="2"/>
        </w:numPr>
        <w:jc w:val="both"/>
        <w:rPr>
          <w:rFonts w:ascii="Bookman Old Style" w:hAnsi="Bookman Old Style"/>
          <w:sz w:val="26"/>
          <w:szCs w:val="26"/>
        </w:rPr>
      </w:pPr>
      <w:r w:rsidRPr="00762240">
        <w:rPr>
          <w:rFonts w:ascii="Bookman Old Style" w:hAnsi="Bookman Old Style"/>
          <w:sz w:val="26"/>
          <w:szCs w:val="26"/>
        </w:rPr>
        <w:t>Analyser l’évolution historique des besoins en infrastructures scolaires à partir des données nationales.</w:t>
      </w:r>
    </w:p>
    <w:p w14:paraId="3E0F2F09" w14:textId="77777777" w:rsidR="00762240" w:rsidRPr="00762240" w:rsidRDefault="00762240" w:rsidP="00762240">
      <w:pPr>
        <w:numPr>
          <w:ilvl w:val="0"/>
          <w:numId w:val="2"/>
        </w:numPr>
        <w:jc w:val="both"/>
        <w:rPr>
          <w:rFonts w:ascii="Bookman Old Style" w:hAnsi="Bookman Old Style"/>
          <w:sz w:val="26"/>
          <w:szCs w:val="26"/>
        </w:rPr>
      </w:pPr>
      <w:r w:rsidRPr="00762240">
        <w:rPr>
          <w:rFonts w:ascii="Bookman Old Style" w:hAnsi="Bookman Old Style"/>
          <w:sz w:val="26"/>
          <w:szCs w:val="26"/>
        </w:rPr>
        <w:t>Identifier les facteurs déterminants de la demande en classes et en écoles.</w:t>
      </w:r>
    </w:p>
    <w:p w14:paraId="678C4D4D" w14:textId="77777777" w:rsidR="00762240" w:rsidRPr="00762240" w:rsidRDefault="00762240" w:rsidP="00762240">
      <w:pPr>
        <w:numPr>
          <w:ilvl w:val="0"/>
          <w:numId w:val="2"/>
        </w:numPr>
        <w:jc w:val="both"/>
        <w:rPr>
          <w:rFonts w:ascii="Bookman Old Style" w:hAnsi="Bookman Old Style"/>
          <w:sz w:val="26"/>
          <w:szCs w:val="26"/>
        </w:rPr>
      </w:pPr>
      <w:r w:rsidRPr="00762240">
        <w:rPr>
          <w:rFonts w:ascii="Bookman Old Style" w:hAnsi="Bookman Old Style"/>
          <w:sz w:val="26"/>
          <w:szCs w:val="26"/>
        </w:rPr>
        <w:t>Concevoir et entraîner des modèles prédictifs basés sur l’IA pour estimer les besoins futurs.</w:t>
      </w:r>
    </w:p>
    <w:p w14:paraId="0C7E656F" w14:textId="77777777" w:rsidR="00762240" w:rsidRPr="00762240" w:rsidRDefault="00762240" w:rsidP="00762240">
      <w:pPr>
        <w:numPr>
          <w:ilvl w:val="0"/>
          <w:numId w:val="2"/>
        </w:numPr>
        <w:jc w:val="both"/>
        <w:rPr>
          <w:rFonts w:ascii="Bookman Old Style" w:hAnsi="Bookman Old Style"/>
          <w:sz w:val="26"/>
          <w:szCs w:val="26"/>
        </w:rPr>
      </w:pPr>
      <w:r w:rsidRPr="00762240">
        <w:rPr>
          <w:rFonts w:ascii="Bookman Old Style" w:hAnsi="Bookman Old Style"/>
          <w:sz w:val="26"/>
          <w:szCs w:val="26"/>
        </w:rPr>
        <w:lastRenderedPageBreak/>
        <w:t>Développer une application interactive pour la visualisation et l’aide à la décision.</w:t>
      </w:r>
    </w:p>
    <w:p w14:paraId="6805FA5C" w14:textId="77777777" w:rsidR="00762240" w:rsidRPr="00762240" w:rsidRDefault="00762240" w:rsidP="00762240">
      <w:pPr>
        <w:numPr>
          <w:ilvl w:val="0"/>
          <w:numId w:val="2"/>
        </w:numPr>
        <w:jc w:val="both"/>
        <w:rPr>
          <w:rFonts w:ascii="Bookman Old Style" w:hAnsi="Bookman Old Style"/>
          <w:sz w:val="26"/>
          <w:szCs w:val="26"/>
        </w:rPr>
      </w:pPr>
      <w:r w:rsidRPr="00762240">
        <w:rPr>
          <w:rFonts w:ascii="Bookman Old Style" w:hAnsi="Bookman Old Style"/>
          <w:sz w:val="26"/>
          <w:szCs w:val="26"/>
        </w:rPr>
        <w:t>Proposer des recommandations pour une planification plus équitable et efficace.</w:t>
      </w:r>
    </w:p>
    <w:p w14:paraId="48628D9D"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1.6 Méthodologie générale</w:t>
      </w:r>
    </w:p>
    <w:p w14:paraId="07DF92FC"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La démarche adoptée combine</w:t>
      </w:r>
      <w:r w:rsidRPr="00762240">
        <w:rPr>
          <w:rFonts w:ascii="Times New Roman" w:hAnsi="Times New Roman" w:cs="Times New Roman"/>
          <w:sz w:val="26"/>
          <w:szCs w:val="26"/>
        </w:rPr>
        <w:t> </w:t>
      </w:r>
      <w:r w:rsidRPr="00762240">
        <w:rPr>
          <w:rFonts w:ascii="Bookman Old Style" w:hAnsi="Bookman Old Style"/>
          <w:sz w:val="26"/>
          <w:szCs w:val="26"/>
        </w:rPr>
        <w:t>:</w:t>
      </w:r>
    </w:p>
    <w:p w14:paraId="271683F2" w14:textId="77777777" w:rsidR="00762240" w:rsidRPr="00762240" w:rsidRDefault="00762240" w:rsidP="00762240">
      <w:pPr>
        <w:numPr>
          <w:ilvl w:val="0"/>
          <w:numId w:val="3"/>
        </w:numPr>
        <w:jc w:val="both"/>
        <w:rPr>
          <w:rFonts w:ascii="Bookman Old Style" w:hAnsi="Bookman Old Style"/>
          <w:sz w:val="26"/>
          <w:szCs w:val="26"/>
        </w:rPr>
      </w:pPr>
      <w:r w:rsidRPr="00762240">
        <w:rPr>
          <w:rFonts w:ascii="Bookman Old Style" w:hAnsi="Bookman Old Style"/>
          <w:b/>
          <w:bCs/>
          <w:sz w:val="26"/>
          <w:szCs w:val="26"/>
        </w:rPr>
        <w:t>Analyse documentaire</w:t>
      </w:r>
      <w:r w:rsidRPr="00762240">
        <w:rPr>
          <w:rFonts w:ascii="Times New Roman" w:hAnsi="Times New Roman" w:cs="Times New Roman"/>
          <w:sz w:val="26"/>
          <w:szCs w:val="26"/>
        </w:rPr>
        <w:t> </w:t>
      </w:r>
      <w:r w:rsidRPr="00762240">
        <w:rPr>
          <w:rFonts w:ascii="Bookman Old Style" w:hAnsi="Bookman Old Style"/>
          <w:sz w:val="26"/>
          <w:szCs w:val="26"/>
        </w:rPr>
        <w:t>: revue de la littérature scientifique et des rapports institutionnels (UNESCO, Banque mondiale, UNICEF).</w:t>
      </w:r>
    </w:p>
    <w:p w14:paraId="25D0AFCF" w14:textId="77777777" w:rsidR="00762240" w:rsidRPr="00762240" w:rsidRDefault="00762240" w:rsidP="00762240">
      <w:pPr>
        <w:numPr>
          <w:ilvl w:val="0"/>
          <w:numId w:val="3"/>
        </w:numPr>
        <w:jc w:val="both"/>
        <w:rPr>
          <w:rFonts w:ascii="Bookman Old Style" w:hAnsi="Bookman Old Style"/>
          <w:sz w:val="26"/>
          <w:szCs w:val="26"/>
        </w:rPr>
      </w:pPr>
      <w:r w:rsidRPr="00762240">
        <w:rPr>
          <w:rFonts w:ascii="Bookman Old Style" w:hAnsi="Bookman Old Style"/>
          <w:b/>
          <w:bCs/>
          <w:sz w:val="26"/>
          <w:szCs w:val="26"/>
        </w:rPr>
        <w:t>Analyse descriptive et exploratoire</w:t>
      </w:r>
      <w:r w:rsidRPr="00762240">
        <w:rPr>
          <w:rFonts w:ascii="Bookman Old Style" w:hAnsi="Bookman Old Style"/>
          <w:sz w:val="26"/>
          <w:szCs w:val="26"/>
        </w:rPr>
        <w:t> des données nationales (voir fichier </w:t>
      </w:r>
      <w:r w:rsidRPr="00762240">
        <w:rPr>
          <w:rFonts w:ascii="Bookman Old Style" w:hAnsi="Bookman Old Style"/>
          <w:b/>
          <w:bCs/>
          <w:sz w:val="26"/>
          <w:szCs w:val="26"/>
        </w:rPr>
        <w:t>Besoin_scolaire.xlsx</w:t>
      </w:r>
      <w:r w:rsidRPr="00762240">
        <w:rPr>
          <w:rFonts w:ascii="Bookman Old Style" w:hAnsi="Bookman Old Style"/>
          <w:sz w:val="26"/>
          <w:szCs w:val="26"/>
        </w:rPr>
        <w:t>).</w:t>
      </w:r>
    </w:p>
    <w:p w14:paraId="51F56A52" w14:textId="77777777" w:rsidR="00762240" w:rsidRPr="00762240" w:rsidRDefault="00762240" w:rsidP="00762240">
      <w:pPr>
        <w:numPr>
          <w:ilvl w:val="0"/>
          <w:numId w:val="3"/>
        </w:numPr>
        <w:jc w:val="both"/>
        <w:rPr>
          <w:rFonts w:ascii="Bookman Old Style" w:hAnsi="Bookman Old Style"/>
          <w:sz w:val="26"/>
          <w:szCs w:val="26"/>
        </w:rPr>
      </w:pPr>
      <w:r w:rsidRPr="00762240">
        <w:rPr>
          <w:rFonts w:ascii="Bookman Old Style" w:hAnsi="Bookman Old Style"/>
          <w:b/>
          <w:bCs/>
          <w:sz w:val="26"/>
          <w:szCs w:val="26"/>
        </w:rPr>
        <w:t>Modélisation prédictive</w:t>
      </w:r>
      <w:r w:rsidRPr="00762240">
        <w:rPr>
          <w:rFonts w:ascii="Bookman Old Style" w:hAnsi="Bookman Old Style"/>
          <w:sz w:val="26"/>
          <w:szCs w:val="26"/>
        </w:rPr>
        <w:t xml:space="preserve"> par intelligence artificielle (régression, machine </w:t>
      </w:r>
      <w:proofErr w:type="spellStart"/>
      <w:r w:rsidRPr="00762240">
        <w:rPr>
          <w:rFonts w:ascii="Bookman Old Style" w:hAnsi="Bookman Old Style"/>
          <w:sz w:val="26"/>
          <w:szCs w:val="26"/>
        </w:rPr>
        <w:t>learning</w:t>
      </w:r>
      <w:proofErr w:type="spellEnd"/>
      <w:r w:rsidRPr="00762240">
        <w:rPr>
          <w:rFonts w:ascii="Bookman Old Style" w:hAnsi="Bookman Old Style"/>
          <w:sz w:val="26"/>
          <w:szCs w:val="26"/>
        </w:rPr>
        <w:t>).</w:t>
      </w:r>
    </w:p>
    <w:p w14:paraId="4EFCA8A0" w14:textId="77777777" w:rsidR="00762240" w:rsidRPr="00762240" w:rsidRDefault="00762240" w:rsidP="00762240">
      <w:pPr>
        <w:numPr>
          <w:ilvl w:val="0"/>
          <w:numId w:val="3"/>
        </w:numPr>
        <w:jc w:val="both"/>
        <w:rPr>
          <w:rFonts w:ascii="Bookman Old Style" w:hAnsi="Bookman Old Style"/>
          <w:sz w:val="26"/>
          <w:szCs w:val="26"/>
        </w:rPr>
      </w:pPr>
      <w:r w:rsidRPr="00762240">
        <w:rPr>
          <w:rFonts w:ascii="Bookman Old Style" w:hAnsi="Bookman Old Style"/>
          <w:b/>
          <w:bCs/>
          <w:sz w:val="26"/>
          <w:szCs w:val="26"/>
        </w:rPr>
        <w:t>Développement d’une application</w:t>
      </w:r>
      <w:r w:rsidRPr="00762240">
        <w:rPr>
          <w:rFonts w:ascii="Bookman Old Style" w:hAnsi="Bookman Old Style"/>
          <w:sz w:val="26"/>
          <w:szCs w:val="26"/>
        </w:rPr>
        <w:t> interactive pour la visualisation et la prise de décision.</w:t>
      </w:r>
    </w:p>
    <w:p w14:paraId="4DDDDDFD" w14:textId="77777777" w:rsidR="00762240" w:rsidRDefault="00762240" w:rsidP="00762240">
      <w:pPr>
        <w:numPr>
          <w:ilvl w:val="0"/>
          <w:numId w:val="3"/>
        </w:numPr>
        <w:jc w:val="both"/>
        <w:rPr>
          <w:rFonts w:ascii="Bookman Old Style" w:hAnsi="Bookman Old Style"/>
          <w:sz w:val="26"/>
          <w:szCs w:val="26"/>
        </w:rPr>
      </w:pPr>
      <w:r w:rsidRPr="00762240">
        <w:rPr>
          <w:rFonts w:ascii="Bookman Old Style" w:hAnsi="Bookman Old Style"/>
          <w:b/>
          <w:bCs/>
          <w:sz w:val="26"/>
          <w:szCs w:val="26"/>
        </w:rPr>
        <w:t>Validation des résultats</w:t>
      </w:r>
      <w:r w:rsidRPr="00762240">
        <w:rPr>
          <w:rFonts w:ascii="Bookman Old Style" w:hAnsi="Bookman Old Style"/>
          <w:sz w:val="26"/>
          <w:szCs w:val="26"/>
        </w:rPr>
        <w:t> et formulation de recommandations stratégiques.</w:t>
      </w:r>
    </w:p>
    <w:p w14:paraId="6CBFD909" w14:textId="77777777" w:rsidR="00897B3F" w:rsidRPr="00940657" w:rsidRDefault="00897B3F" w:rsidP="00897B3F">
      <w:pPr>
        <w:jc w:val="both"/>
        <w:rPr>
          <w:rFonts w:ascii="Trebuchet MS" w:hAnsi="Trebuchet MS"/>
          <w:b/>
          <w:bCs/>
          <w:sz w:val="28"/>
          <w:szCs w:val="28"/>
        </w:rPr>
      </w:pPr>
      <w:r w:rsidRPr="00940657">
        <w:rPr>
          <w:rFonts w:ascii="Trebuchet MS" w:hAnsi="Trebuchet MS"/>
          <w:b/>
          <w:bCs/>
          <w:sz w:val="28"/>
          <w:szCs w:val="28"/>
        </w:rPr>
        <w:t>INTÉRÊT DU TRAVAIL</w:t>
      </w:r>
    </w:p>
    <w:p w14:paraId="16F62363" w14:textId="77777777" w:rsidR="00897B3F" w:rsidRPr="00940657" w:rsidRDefault="00897B3F" w:rsidP="00897B3F">
      <w:pPr>
        <w:numPr>
          <w:ilvl w:val="0"/>
          <w:numId w:val="7"/>
        </w:numPr>
        <w:jc w:val="both"/>
        <w:rPr>
          <w:rFonts w:ascii="Trebuchet MS" w:hAnsi="Trebuchet MS"/>
          <w:sz w:val="28"/>
          <w:szCs w:val="28"/>
        </w:rPr>
      </w:pPr>
      <w:r w:rsidRPr="00940657">
        <w:rPr>
          <w:rFonts w:ascii="Trebuchet MS" w:hAnsi="Trebuchet MS"/>
          <w:b/>
          <w:bCs/>
          <w:sz w:val="28"/>
          <w:szCs w:val="28"/>
        </w:rPr>
        <w:t>Pour les décideurs nationaux et provinciaux</w:t>
      </w:r>
      <w:r w:rsidRPr="00940657">
        <w:rPr>
          <w:rFonts w:ascii="Arial" w:hAnsi="Arial" w:cs="Arial"/>
          <w:sz w:val="28"/>
          <w:szCs w:val="28"/>
        </w:rPr>
        <w:t> </w:t>
      </w:r>
      <w:r w:rsidRPr="00940657">
        <w:rPr>
          <w:rFonts w:ascii="Trebuchet MS" w:hAnsi="Trebuchet MS"/>
          <w:sz w:val="28"/>
          <w:szCs w:val="28"/>
        </w:rPr>
        <w:t>: un outil d’aide à la décision pour une planification éducative anticipative, transparente et efficace.</w:t>
      </w:r>
    </w:p>
    <w:p w14:paraId="7BB83CD7" w14:textId="77777777" w:rsidR="00897B3F" w:rsidRDefault="00897B3F" w:rsidP="00897B3F">
      <w:pPr>
        <w:numPr>
          <w:ilvl w:val="0"/>
          <w:numId w:val="7"/>
        </w:numPr>
        <w:jc w:val="both"/>
        <w:rPr>
          <w:rFonts w:ascii="Trebuchet MS" w:hAnsi="Trebuchet MS"/>
          <w:sz w:val="28"/>
          <w:szCs w:val="28"/>
        </w:rPr>
      </w:pPr>
      <w:r w:rsidRPr="00940657">
        <w:rPr>
          <w:rFonts w:ascii="Trebuchet MS" w:hAnsi="Trebuchet MS"/>
          <w:b/>
          <w:bCs/>
          <w:sz w:val="28"/>
          <w:szCs w:val="28"/>
        </w:rPr>
        <w:t>Pour la recherche</w:t>
      </w:r>
      <w:r w:rsidRPr="00940657">
        <w:rPr>
          <w:rFonts w:ascii="Arial" w:hAnsi="Arial" w:cs="Arial"/>
          <w:sz w:val="28"/>
          <w:szCs w:val="28"/>
        </w:rPr>
        <w:t> </w:t>
      </w:r>
      <w:r w:rsidRPr="00940657">
        <w:rPr>
          <w:rFonts w:ascii="Trebuchet MS" w:hAnsi="Trebuchet MS"/>
          <w:sz w:val="28"/>
          <w:szCs w:val="28"/>
        </w:rPr>
        <w:t>: une contribution innovante à l’application de l’IA dans la planification du secteur éducatif à l’échelle d’un grand pays africain, avec prise en compte des défis spécifiques de la RDC</w:t>
      </w:r>
    </w:p>
    <w:p w14:paraId="7CBBCEA0" w14:textId="77777777" w:rsidR="00897B3F" w:rsidRPr="00762240" w:rsidRDefault="00897B3F" w:rsidP="00897B3F">
      <w:pPr>
        <w:jc w:val="both"/>
        <w:rPr>
          <w:rFonts w:ascii="Bookman Old Style" w:hAnsi="Bookman Old Style"/>
          <w:sz w:val="26"/>
          <w:szCs w:val="26"/>
        </w:rPr>
      </w:pPr>
    </w:p>
    <w:p w14:paraId="539A00E9"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1.7 Organisation du travail</w:t>
      </w:r>
    </w:p>
    <w:p w14:paraId="7BCC3BFF" w14:textId="01D1B142" w:rsidR="00762240" w:rsidRDefault="00762240" w:rsidP="00762240">
      <w:pPr>
        <w:jc w:val="both"/>
        <w:rPr>
          <w:rFonts w:ascii="Bookman Old Style" w:hAnsi="Bookman Old Style"/>
          <w:sz w:val="26"/>
          <w:szCs w:val="26"/>
        </w:rPr>
      </w:pPr>
    </w:p>
    <w:p w14:paraId="4D02399C" w14:textId="77777777" w:rsidR="00762240" w:rsidRDefault="00762240" w:rsidP="00762240">
      <w:pPr>
        <w:jc w:val="both"/>
        <w:rPr>
          <w:rFonts w:ascii="Bookman Old Style" w:hAnsi="Bookman Old Style"/>
          <w:sz w:val="26"/>
          <w:szCs w:val="26"/>
        </w:rPr>
      </w:pPr>
    </w:p>
    <w:p w14:paraId="7AE438CF" w14:textId="77777777" w:rsidR="00762240" w:rsidRDefault="00762240" w:rsidP="00762240">
      <w:pPr>
        <w:jc w:val="both"/>
        <w:rPr>
          <w:rFonts w:ascii="Bookman Old Style" w:hAnsi="Bookman Old Style"/>
          <w:sz w:val="26"/>
          <w:szCs w:val="26"/>
        </w:rPr>
      </w:pPr>
    </w:p>
    <w:p w14:paraId="4451D652" w14:textId="77777777" w:rsidR="00762240" w:rsidRDefault="00762240" w:rsidP="00762240">
      <w:pPr>
        <w:jc w:val="both"/>
        <w:rPr>
          <w:rFonts w:ascii="Bookman Old Style" w:hAnsi="Bookman Old Style"/>
          <w:sz w:val="26"/>
          <w:szCs w:val="26"/>
        </w:rPr>
      </w:pPr>
    </w:p>
    <w:p w14:paraId="0FCCDA7F" w14:textId="77777777" w:rsidR="00762240" w:rsidRDefault="00762240" w:rsidP="00762240">
      <w:pPr>
        <w:jc w:val="both"/>
        <w:rPr>
          <w:rFonts w:ascii="Bookman Old Style" w:hAnsi="Bookman Old Style"/>
          <w:sz w:val="26"/>
          <w:szCs w:val="26"/>
        </w:rPr>
      </w:pPr>
    </w:p>
    <w:p w14:paraId="26C7691C"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lastRenderedPageBreak/>
        <w:t>Point d'attention</w:t>
      </w:r>
    </w:p>
    <w:p w14:paraId="4B1810A4"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Ce chapitre vise à poser les bases conceptuelles, méthodologiques et empiriques de notre travail. Il s’agit d’explorer l’état des connaissances sur la planification éducative en Afrique et en RDC, de présenter les concepts clés mobilisés (infrastructures scolaires, intelligence artificielle, modélisation prédictive), de situer notre démarche par rapport aux expériences internationales et de construire le cadre théorique qui guidera l’analyse et la mise en œuvre de l’application proposée. Ce chapitre est donc essentiel pour comprendre les fondements scientifiques et pratiques de notre approche.</w:t>
      </w:r>
    </w:p>
    <w:p w14:paraId="754349A1"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2.1 État des lieux de l’éducation en RDC et en Afrique subsaharienne</w:t>
      </w:r>
    </w:p>
    <w:p w14:paraId="316C8E77"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L’Afrique subsaharienne demeure la région du monde où les défis liés à l’accès, à la qualité et à l’équité de l’éducation sont les plus marqués (UNESCO, 2022). En RDC, malgré des progrès notables ces deux dernières décennies, le système éducatif fait face à une pression démographique exceptionnelle, à des infrastructures souvent vétustes ou insuffisantes, et à de fortes disparités régionales. La gratuité de l’enseignement primaire, instaurée en 2019, a permis d’augmenter rapidement les inscriptions, mais a aussi exacerbé le déficit en salles de classe et en enseignants qualifiés (UNICEF, 2023). Les contextes d’insécurité dans l’Est du pays aggravent encore ces difficultés, rendant la planification et la gestion des infrastructures scolaires particulièrement complexes (Banque mondiale, 2024).</w:t>
      </w:r>
    </w:p>
    <w:p w14:paraId="2CA23124"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2.2 Concepts clés : planification éducative, intelligence artificielle, modélisation prédictive</w:t>
      </w:r>
    </w:p>
    <w:p w14:paraId="6543F79C"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La </w:t>
      </w:r>
      <w:r w:rsidRPr="00762240">
        <w:rPr>
          <w:rFonts w:ascii="Bookman Old Style" w:hAnsi="Bookman Old Style"/>
          <w:b/>
          <w:bCs/>
          <w:sz w:val="26"/>
          <w:szCs w:val="26"/>
        </w:rPr>
        <w:t>planification éducative</w:t>
      </w:r>
      <w:r w:rsidRPr="00762240">
        <w:rPr>
          <w:rFonts w:ascii="Bookman Old Style" w:hAnsi="Bookman Old Style"/>
          <w:sz w:val="26"/>
          <w:szCs w:val="26"/>
        </w:rPr>
        <w:t> désigne l’ensemble des démarches visant à anticiper, organiser et optimiser le développement du système éducatif, en fonction des besoins démographiques, économiques et sociaux (UNESCO-IIEP, 2021). Elle s’appuie sur l’analyse de données, la projection des effectifs et la modélisation des besoins en ressources (infrastructures, enseignants, matériels).</w:t>
      </w:r>
    </w:p>
    <w:p w14:paraId="7B7F0B16"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L’</w:t>
      </w:r>
      <w:r w:rsidRPr="00762240">
        <w:rPr>
          <w:rFonts w:ascii="Bookman Old Style" w:hAnsi="Bookman Old Style"/>
          <w:b/>
          <w:bCs/>
          <w:sz w:val="26"/>
          <w:szCs w:val="26"/>
        </w:rPr>
        <w:t>intelligence artificielle (IA)</w:t>
      </w:r>
      <w:r w:rsidRPr="00762240">
        <w:rPr>
          <w:rFonts w:ascii="Bookman Old Style" w:hAnsi="Bookman Old Style"/>
          <w:sz w:val="26"/>
          <w:szCs w:val="26"/>
        </w:rPr>
        <w:t xml:space="preserve">, dans le domaine éducatif, regroupe les techniques permettant d’automatiser l’analyse de grandes quantités de données, de détecter des tendances complexes et de générer des prédictions ou recommandations pour la prise de décision (World Bank </w:t>
      </w:r>
      <w:proofErr w:type="spellStart"/>
      <w:r w:rsidRPr="00762240">
        <w:rPr>
          <w:rFonts w:ascii="Bookman Old Style" w:hAnsi="Bookman Old Style"/>
          <w:sz w:val="26"/>
          <w:szCs w:val="26"/>
        </w:rPr>
        <w:t>EdTech</w:t>
      </w:r>
      <w:proofErr w:type="spellEnd"/>
      <w:r w:rsidRPr="00762240">
        <w:rPr>
          <w:rFonts w:ascii="Bookman Old Style" w:hAnsi="Bookman Old Style"/>
          <w:sz w:val="26"/>
          <w:szCs w:val="26"/>
        </w:rPr>
        <w:t xml:space="preserve">, 2023). Elle inclut notamment le machine </w:t>
      </w:r>
      <w:proofErr w:type="spellStart"/>
      <w:r w:rsidRPr="00762240">
        <w:rPr>
          <w:rFonts w:ascii="Bookman Old Style" w:hAnsi="Bookman Old Style"/>
          <w:sz w:val="26"/>
          <w:szCs w:val="26"/>
        </w:rPr>
        <w:t>learning</w:t>
      </w:r>
      <w:proofErr w:type="spellEnd"/>
      <w:r w:rsidRPr="00762240">
        <w:rPr>
          <w:rFonts w:ascii="Bookman Old Style" w:hAnsi="Bookman Old Style"/>
          <w:sz w:val="26"/>
          <w:szCs w:val="26"/>
        </w:rPr>
        <w:t xml:space="preserve">, qui permet </w:t>
      </w:r>
      <w:r w:rsidRPr="00762240">
        <w:rPr>
          <w:rFonts w:ascii="Bookman Old Style" w:hAnsi="Bookman Old Style"/>
          <w:sz w:val="26"/>
          <w:szCs w:val="26"/>
        </w:rPr>
        <w:lastRenderedPageBreak/>
        <w:t>d’entraîner des modèles sur des données historiques pour anticiper des évolutions futures.</w:t>
      </w:r>
    </w:p>
    <w:p w14:paraId="53D94F04"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La </w:t>
      </w:r>
      <w:r w:rsidRPr="00762240">
        <w:rPr>
          <w:rFonts w:ascii="Bookman Old Style" w:hAnsi="Bookman Old Style"/>
          <w:b/>
          <w:bCs/>
          <w:sz w:val="26"/>
          <w:szCs w:val="26"/>
        </w:rPr>
        <w:t>modélisation prédictive</w:t>
      </w:r>
      <w:r w:rsidRPr="00762240">
        <w:rPr>
          <w:rFonts w:ascii="Bookman Old Style" w:hAnsi="Bookman Old Style"/>
          <w:sz w:val="26"/>
          <w:szCs w:val="26"/>
        </w:rPr>
        <w:t> consiste à utiliser des méthodes statistiques ou d’IA pour estimer des valeurs futures à partir de données passées, en intégrant des variables explicatives multiples (démographie, politiques publiques, contexte sécuritaire, etc.).</w:t>
      </w:r>
    </w:p>
    <w:p w14:paraId="52B92864"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2.3 Expériences internationales et apports de l’IA dans la planification éducative</w:t>
      </w:r>
    </w:p>
    <w:p w14:paraId="244F594C"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 xml:space="preserve">Plusieurs pays ont expérimenté l’application de l’IA à la planification éducative, notamment pour prédire les besoins en infrastructures, optimiser la répartition des ressources ou cibler les interventions prioritaires (World Bank </w:t>
      </w:r>
      <w:proofErr w:type="spellStart"/>
      <w:r w:rsidRPr="00762240">
        <w:rPr>
          <w:rFonts w:ascii="Bookman Old Style" w:hAnsi="Bookman Old Style"/>
          <w:sz w:val="26"/>
          <w:szCs w:val="26"/>
        </w:rPr>
        <w:t>EdTech</w:t>
      </w:r>
      <w:proofErr w:type="spellEnd"/>
      <w:r w:rsidRPr="00762240">
        <w:rPr>
          <w:rFonts w:ascii="Bookman Old Style" w:hAnsi="Bookman Old Style"/>
          <w:sz w:val="26"/>
          <w:szCs w:val="26"/>
        </w:rPr>
        <w:t>, 2023). En Afrique, des initiatives pilotes au Kenya, au Ghana ou au Rwanda ont montré que l’IA permet d’améliorer la précision des prévisions, de mieux prendre en compte les disparités régionales et d’accélérer la prise de décision (UNESCO, 2022). Ces expériences soulignent l’importance de la qualité des données, de l’intégration des variables contextuelles et de l’adaptation des modèles aux réalités locales.</w:t>
      </w:r>
    </w:p>
    <w:p w14:paraId="132191B4" w14:textId="77777777" w:rsidR="00762240" w:rsidRPr="00762240" w:rsidRDefault="00762240" w:rsidP="00762240">
      <w:pPr>
        <w:jc w:val="both"/>
        <w:rPr>
          <w:rFonts w:ascii="Bookman Old Style" w:hAnsi="Bookman Old Style"/>
          <w:b/>
          <w:bCs/>
          <w:sz w:val="26"/>
          <w:szCs w:val="26"/>
        </w:rPr>
      </w:pPr>
      <w:r w:rsidRPr="00762240">
        <w:rPr>
          <w:rFonts w:ascii="Bookman Old Style" w:hAnsi="Bookman Old Style"/>
          <w:b/>
          <w:bCs/>
          <w:sz w:val="26"/>
          <w:szCs w:val="26"/>
        </w:rPr>
        <w:t>2.4 Cadre théorique d’analyse</w:t>
      </w:r>
    </w:p>
    <w:p w14:paraId="09DF58BF" w14:textId="77777777" w:rsidR="00762240" w:rsidRPr="00762240" w:rsidRDefault="00762240" w:rsidP="00762240">
      <w:pPr>
        <w:jc w:val="both"/>
        <w:rPr>
          <w:rFonts w:ascii="Bookman Old Style" w:hAnsi="Bookman Old Style"/>
          <w:sz w:val="26"/>
          <w:szCs w:val="26"/>
        </w:rPr>
      </w:pPr>
      <w:r w:rsidRPr="00762240">
        <w:rPr>
          <w:rFonts w:ascii="Bookman Old Style" w:hAnsi="Bookman Old Style"/>
          <w:sz w:val="26"/>
          <w:szCs w:val="26"/>
        </w:rPr>
        <w:t>Notre cadre théorique s’appuie sur l’approche systémique de la planification éducative, qui considère le système scolaire comme un ensemble complexe d’interactions entre facteurs démographiques, institutionnels, économiques et contextuels (UNESCO-IIEP, 2021). L’intégration de l’IA permet d’enrichir cette approche en automatisant la détection des tendances et la génération de scénarios prospectifs. Nous mobilisons également les théories de l’équité territoriale, qui insistent sur la nécessité de réduire les inégalités régionales d’accès à l’éducation, et les apports de la recherche sur l’évaluation des politiques publiques en contexte de crise (Banque mondiale, 2024).</w:t>
      </w:r>
    </w:p>
    <w:p w14:paraId="78DFB30E" w14:textId="77777777" w:rsidR="00762240" w:rsidRPr="00762240" w:rsidRDefault="00762240" w:rsidP="00762240">
      <w:pPr>
        <w:jc w:val="both"/>
        <w:rPr>
          <w:rFonts w:ascii="Bookman Old Style" w:hAnsi="Bookman Old Style"/>
          <w:sz w:val="26"/>
          <w:szCs w:val="26"/>
        </w:rPr>
      </w:pPr>
    </w:p>
    <w:p w14:paraId="353FCCF7" w14:textId="77777777" w:rsidR="00762240" w:rsidRPr="00762240" w:rsidRDefault="00762240" w:rsidP="00762240">
      <w:pPr>
        <w:jc w:val="both"/>
        <w:rPr>
          <w:rFonts w:ascii="Bookman Old Style" w:hAnsi="Bookman Old Style"/>
          <w:sz w:val="26"/>
          <w:szCs w:val="26"/>
        </w:rPr>
      </w:pPr>
    </w:p>
    <w:sectPr w:rsidR="00762240" w:rsidRPr="0076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52AE"/>
    <w:multiLevelType w:val="multilevel"/>
    <w:tmpl w:val="6336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64A09"/>
    <w:multiLevelType w:val="multilevel"/>
    <w:tmpl w:val="1940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E2A34"/>
    <w:multiLevelType w:val="multilevel"/>
    <w:tmpl w:val="B508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43D45"/>
    <w:multiLevelType w:val="multilevel"/>
    <w:tmpl w:val="5CE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5D0E42"/>
    <w:multiLevelType w:val="multilevel"/>
    <w:tmpl w:val="656C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D7787"/>
    <w:multiLevelType w:val="multilevel"/>
    <w:tmpl w:val="ADB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F70F0"/>
    <w:multiLevelType w:val="multilevel"/>
    <w:tmpl w:val="DCF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181234">
    <w:abstractNumId w:val="4"/>
  </w:num>
  <w:num w:numId="2" w16cid:durableId="1266425697">
    <w:abstractNumId w:val="6"/>
  </w:num>
  <w:num w:numId="3" w16cid:durableId="191765797">
    <w:abstractNumId w:val="0"/>
  </w:num>
  <w:num w:numId="4" w16cid:durableId="881405120">
    <w:abstractNumId w:val="2"/>
  </w:num>
  <w:num w:numId="5" w16cid:durableId="1907258866">
    <w:abstractNumId w:val="3"/>
  </w:num>
  <w:num w:numId="6" w16cid:durableId="988553005">
    <w:abstractNumId w:val="1"/>
  </w:num>
  <w:num w:numId="7" w16cid:durableId="819686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40"/>
    <w:rsid w:val="00124AB2"/>
    <w:rsid w:val="002F2D8C"/>
    <w:rsid w:val="00762240"/>
    <w:rsid w:val="00897B3F"/>
    <w:rsid w:val="00A738E7"/>
    <w:rsid w:val="00AA18B1"/>
    <w:rsid w:val="00B17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27B2"/>
  <w15:chartTrackingRefBased/>
  <w15:docId w15:val="{606E21DB-04F4-4CD5-A8EB-0E9665D2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22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622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6224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6224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6224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622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22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22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22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224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6224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6224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6224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6224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622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622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622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62240"/>
    <w:rPr>
      <w:rFonts w:eastAsiaTheme="majorEastAsia" w:cstheme="majorBidi"/>
      <w:color w:val="272727" w:themeColor="text1" w:themeTint="D8"/>
    </w:rPr>
  </w:style>
  <w:style w:type="paragraph" w:styleId="Titre">
    <w:name w:val="Title"/>
    <w:basedOn w:val="Normal"/>
    <w:next w:val="Normal"/>
    <w:link w:val="TitreCar"/>
    <w:uiPriority w:val="10"/>
    <w:qFormat/>
    <w:rsid w:val="00762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22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22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22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62240"/>
    <w:pPr>
      <w:spacing w:before="160"/>
      <w:jc w:val="center"/>
    </w:pPr>
    <w:rPr>
      <w:i/>
      <w:iCs/>
      <w:color w:val="404040" w:themeColor="text1" w:themeTint="BF"/>
    </w:rPr>
  </w:style>
  <w:style w:type="character" w:customStyle="1" w:styleId="CitationCar">
    <w:name w:val="Citation Car"/>
    <w:basedOn w:val="Policepardfaut"/>
    <w:link w:val="Citation"/>
    <w:uiPriority w:val="29"/>
    <w:rsid w:val="00762240"/>
    <w:rPr>
      <w:i/>
      <w:iCs/>
      <w:color w:val="404040" w:themeColor="text1" w:themeTint="BF"/>
    </w:rPr>
  </w:style>
  <w:style w:type="paragraph" w:styleId="Paragraphedeliste">
    <w:name w:val="List Paragraph"/>
    <w:basedOn w:val="Normal"/>
    <w:uiPriority w:val="34"/>
    <w:qFormat/>
    <w:rsid w:val="00762240"/>
    <w:pPr>
      <w:ind w:left="720"/>
      <w:contextualSpacing/>
    </w:pPr>
  </w:style>
  <w:style w:type="character" w:styleId="Accentuationintense">
    <w:name w:val="Intense Emphasis"/>
    <w:basedOn w:val="Policepardfaut"/>
    <w:uiPriority w:val="21"/>
    <w:qFormat/>
    <w:rsid w:val="00762240"/>
    <w:rPr>
      <w:i/>
      <w:iCs/>
      <w:color w:val="2F5496" w:themeColor="accent1" w:themeShade="BF"/>
    </w:rPr>
  </w:style>
  <w:style w:type="paragraph" w:styleId="Citationintense">
    <w:name w:val="Intense Quote"/>
    <w:basedOn w:val="Normal"/>
    <w:next w:val="Normal"/>
    <w:link w:val="CitationintenseCar"/>
    <w:uiPriority w:val="30"/>
    <w:qFormat/>
    <w:rsid w:val="007622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62240"/>
    <w:rPr>
      <w:i/>
      <w:iCs/>
      <w:color w:val="2F5496" w:themeColor="accent1" w:themeShade="BF"/>
    </w:rPr>
  </w:style>
  <w:style w:type="character" w:styleId="Rfrenceintense">
    <w:name w:val="Intense Reference"/>
    <w:basedOn w:val="Policepardfaut"/>
    <w:uiPriority w:val="32"/>
    <w:qFormat/>
    <w:rsid w:val="00762240"/>
    <w:rPr>
      <w:b/>
      <w:bCs/>
      <w:smallCaps/>
      <w:color w:val="2F5496" w:themeColor="accent1" w:themeShade="BF"/>
      <w:spacing w:val="5"/>
    </w:rPr>
  </w:style>
  <w:style w:type="table" w:styleId="Grilledutableau">
    <w:name w:val="Table Grid"/>
    <w:basedOn w:val="TableauNormal"/>
    <w:uiPriority w:val="39"/>
    <w:rsid w:val="00124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789">
      <w:bodyDiv w:val="1"/>
      <w:marLeft w:val="0"/>
      <w:marRight w:val="0"/>
      <w:marTop w:val="0"/>
      <w:marBottom w:val="0"/>
      <w:divBdr>
        <w:top w:val="none" w:sz="0" w:space="0" w:color="auto"/>
        <w:left w:val="none" w:sz="0" w:space="0" w:color="auto"/>
        <w:bottom w:val="none" w:sz="0" w:space="0" w:color="auto"/>
        <w:right w:val="none" w:sz="0" w:space="0" w:color="auto"/>
      </w:divBdr>
    </w:div>
    <w:div w:id="418870606">
      <w:bodyDiv w:val="1"/>
      <w:marLeft w:val="0"/>
      <w:marRight w:val="0"/>
      <w:marTop w:val="0"/>
      <w:marBottom w:val="0"/>
      <w:divBdr>
        <w:top w:val="none" w:sz="0" w:space="0" w:color="auto"/>
        <w:left w:val="none" w:sz="0" w:space="0" w:color="auto"/>
        <w:bottom w:val="none" w:sz="0" w:space="0" w:color="auto"/>
        <w:right w:val="none" w:sz="0" w:space="0" w:color="auto"/>
      </w:divBdr>
    </w:div>
    <w:div w:id="552666235">
      <w:bodyDiv w:val="1"/>
      <w:marLeft w:val="0"/>
      <w:marRight w:val="0"/>
      <w:marTop w:val="0"/>
      <w:marBottom w:val="0"/>
      <w:divBdr>
        <w:top w:val="none" w:sz="0" w:space="0" w:color="auto"/>
        <w:left w:val="none" w:sz="0" w:space="0" w:color="auto"/>
        <w:bottom w:val="none" w:sz="0" w:space="0" w:color="auto"/>
        <w:right w:val="none" w:sz="0" w:space="0" w:color="auto"/>
      </w:divBdr>
    </w:div>
    <w:div w:id="7181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6</Pages>
  <Words>1668</Words>
  <Characters>9174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mutomboilunga3220@outlook.com</dc:creator>
  <cp:keywords/>
  <dc:description/>
  <cp:lastModifiedBy>mutomboilunga3220@outlook.com</cp:lastModifiedBy>
  <cp:revision>4</cp:revision>
  <dcterms:created xsi:type="dcterms:W3CDTF">2025-07-11T06:22:00Z</dcterms:created>
  <dcterms:modified xsi:type="dcterms:W3CDTF">2025-07-11T18:27:00Z</dcterms:modified>
</cp:coreProperties>
</file>