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Feature</w:t>
      </w:r>
      <w:r>
        <w:t xml:space="preserve"> </w:t>
      </w:r>
      <w:r>
        <w:t xml:space="preserve">Flag</w:t>
      </w:r>
      <w:r>
        <w:t xml:space="preserve"> </w:t>
      </w:r>
      <w:r>
        <w:t xml:space="preserve">&amp;</w:t>
      </w:r>
      <w:r>
        <w:t xml:space="preserve"> </w:t>
      </w:r>
      <w:r>
        <w:t xml:space="preserve">Configuration</w:t>
      </w:r>
      <w:r>
        <w:t xml:space="preserve"> </w:t>
      </w:r>
      <w:r>
        <w:t xml:space="preserve">Platform</w:t>
      </w:r>
      <w:r>
        <w:t xml:space="preserve"> </w:t>
      </w:r>
      <w:r>
        <w:t xml:space="preserve">—</w:t>
      </w:r>
      <w:r>
        <w:t xml:space="preserve"> </w:t>
      </w:r>
      <w:r>
        <w:t xml:space="preserve">Demo</w:t>
      </w:r>
      <w:r>
        <w:t xml:space="preserve"> </w:t>
      </w:r>
      <w:r>
        <w:t xml:space="preserve">Video</w:t>
      </w:r>
      <w:r>
        <w:t xml:space="preserve"> </w:t>
      </w:r>
      <w:r>
        <w:t xml:space="preserve">Script</w:t>
      </w:r>
    </w:p>
    <w:p>
      <w:pPr>
        <w:pStyle w:val="Author"/>
      </w:pPr>
      <w:r>
        <w:t xml:space="preserve">Emmanuel</w:t>
      </w:r>
      <w:r>
        <w:t xml:space="preserve"> </w:t>
      </w:r>
      <w:r>
        <w:t xml:space="preserve">Maneswa</w:t>
      </w:r>
    </w:p>
    <w:p>
      <w:pPr>
        <w:pStyle w:val="Date"/>
      </w:pPr>
      <w:r>
        <w:t xml:space="preserve">2026-08-31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1" w:name="how-to-use-this-document"/>
    <w:p>
      <w:pPr>
        <w:pStyle w:val="Heading1"/>
      </w:pPr>
      <w:r>
        <w:t xml:space="preserve">How to use this document</w:t>
      </w:r>
    </w:p>
    <w:p>
      <w:pPr>
        <w:pStyle w:val="FirstParagraph"/>
      </w:pPr>
      <w:r>
        <w:t xml:space="preserve">This is a full, narrated walkthrough script covering</w:t>
      </w:r>
      <w:r>
        <w:t xml:space="preserve"> </w:t>
      </w:r>
      <w:r>
        <w:rPr>
          <w:bCs/>
          <w:b/>
        </w:rPr>
        <w:t xml:space="preserve">every</w:t>
      </w:r>
      <w:r>
        <w:t xml:space="preserve"> </w:t>
      </w:r>
      <w:r>
        <w:t xml:space="preserve">operation available in the</w:t>
      </w:r>
      <w:r>
        <w:t xml:space="preserve"> </w:t>
      </w:r>
      <w:r>
        <w:t xml:space="preserve">application, plus a codebase tour — more material than the assessment’s own 5-10 minute demo</w:t>
      </w:r>
      <w:r>
        <w:t xml:space="preserve"> </w:t>
      </w:r>
      <w:r>
        <w:t xml:space="preserve">requirement asks for. That’s deliberate: this document is the complete reference to record from,</w:t>
      </w:r>
      <w:r>
        <w:t xml:space="preserve"> </w:t>
      </w:r>
      <w:r>
        <w:t xml:space="preserve">and you cut it down to time rather than trying to remember everything live.</w:t>
      </w:r>
    </w:p>
    <w:p>
      <w:pPr>
        <w:pStyle w:val="BodyText"/>
      </w:pPr>
      <w:r>
        <w:rPr>
          <w:bCs/>
          <w:b/>
        </w:rPr>
        <w:t xml:space="preserve">If you only have 5-10 minutes</w:t>
      </w:r>
      <w:r>
        <w:t xml:space="preserve"> </w:t>
      </w:r>
      <w:r>
        <w:t xml:space="preserve">(the assessment’s actual requirement), record just the</w:t>
      </w:r>
      <w:r>
        <w:t xml:space="preserve"> </w:t>
      </w:r>
      <w:r>
        <w:t xml:space="preserve">sections marked</w:t>
      </w:r>
      <w:r>
        <w:t xml:space="preserve"> </w:t>
      </w:r>
      <w:r>
        <w:rPr>
          <w:bCs/>
          <w:b/>
        </w:rPr>
        <w:t xml:space="preserve">[CORE]</w:t>
      </w:r>
      <w:r>
        <w:t xml:space="preserve"> </w:t>
      </w:r>
      <w:r>
        <w:t xml:space="preserve">below and skip the rest — that alone covers the assessment’s explicit</w:t>
      </w:r>
      <w:r>
        <w:t xml:space="preserve"> </w:t>
      </w:r>
      <w:r>
        <w:t xml:space="preserve">checklist: main flow, one failure path, the AI feature, and the automated tests. Everything else</w:t>
      </w:r>
      <w:r>
        <w:t xml:space="preserve"> </w:t>
      </w:r>
      <w:r>
        <w:t xml:space="preserve">(the deeper codebase tour, every stretch goal, every secondary flow) is here so you have it ready</w:t>
      </w:r>
      <w:r>
        <w:t xml:space="preserve"> </w:t>
      </w:r>
      <w:r>
        <w:t xml:space="preserve">if you want a longer, more thorough recording for a portfolio, or if a reviewer asks for more</w:t>
      </w:r>
      <w:r>
        <w:t xml:space="preserve"> </w:t>
      </w:r>
      <w:r>
        <w:t xml:space="preserve">depth than the short cut covers.</w:t>
      </w:r>
    </w:p>
    <w:p>
      <w:pPr>
        <w:pStyle w:val="BodyText"/>
      </w:pPr>
      <w:r>
        <w:t xml:space="preserve">Each section gives:</w:t>
      </w:r>
      <w:r>
        <w:t xml:space="preserve"> </w:t>
      </w:r>
      <w:r>
        <w:rPr>
          <w:bCs/>
          <w:b/>
        </w:rPr>
        <w:t xml:space="preserve">what to show on screen</w:t>
      </w:r>
      <w:r>
        <w:t xml:space="preserve">,</w:t>
      </w:r>
      <w:r>
        <w:t xml:space="preserve"> </w:t>
      </w:r>
      <w:r>
        <w:rPr>
          <w:bCs/>
          <w:b/>
        </w:rPr>
        <w:t xml:space="preserve">what to say</w:t>
      </w:r>
      <w:r>
        <w:t xml:space="preserve"> </w:t>
      </w:r>
      <w:r>
        <w:t xml:space="preserve">(a starting point, not a</w:t>
      </w:r>
      <w:r>
        <w:t xml:space="preserve"> </w:t>
      </w:r>
      <w:r>
        <w:t xml:space="preserve">word-for-word script to read robotically), and an</w:t>
      </w:r>
      <w:r>
        <w:t xml:space="preserve"> </w:t>
      </w:r>
      <w:r>
        <w:rPr>
          <w:bCs/>
          <w:b/>
        </w:rPr>
        <w:t xml:space="preserve">approximate duration</w:t>
      </w:r>
      <w:r>
        <w:t xml:space="preserve">.</w:t>
      </w:r>
    </w:p>
    <w:bookmarkStart w:id="20" w:name="pre-recording-checklist"/>
    <w:p>
      <w:pPr>
        <w:pStyle w:val="Heading2"/>
      </w:pPr>
      <w:r>
        <w:t xml:space="preserve">Pre-recording checklist</w:t>
      </w:r>
    </w:p>
    <w:p>
      <w:pPr>
        <w:numPr>
          <w:ilvl w:val="0"/>
          <w:numId w:val="1001"/>
        </w:numPr>
        <w:pStyle w:val="Compact"/>
      </w:pPr>
      <w:r>
        <w:t xml:space="preserve">☐ Backend running with fresh seed data (</w:t>
      </w:r>
      <w:r>
        <w:rPr>
          <w:rStyle w:val="VerbatimChar"/>
        </w:rPr>
        <w:t xml:space="preserve">docker compose down -v &amp;&amp; docker compose up --build</w:t>
      </w:r>
      <w:r>
        <w:t xml:space="preserve">,</w:t>
      </w:r>
      <w:r>
        <w:t xml:space="preserve"> </w:t>
      </w:r>
      <w:r>
        <w:t xml:space="preserve">or native: drop and recreate the local Postgres database, then</w:t>
      </w:r>
      <w:r>
        <w:t xml:space="preserve"> </w:t>
      </w:r>
      <w:r>
        <w:rPr>
          <w:rStyle w:val="VerbatimChar"/>
        </w:rPr>
        <w:t xml:space="preserve">./mvnw spring-boot:run</w:t>
      </w:r>
      <w:r>
        <w:t xml:space="preserve"> </w:t>
      </w:r>
      <w:r>
        <w:t xml:space="preserve">—</w:t>
      </w:r>
      <w:r>
        <w:t xml:space="preserve"> </w:t>
      </w:r>
      <w:r>
        <w:t xml:space="preserve">Flyway reseeds automatically). Fresh seed data matters because a couple of segments below</w:t>
      </w:r>
      <w:r>
        <w:t xml:space="preserve"> </w:t>
      </w:r>
      <w:r>
        <w:t xml:space="preserve">reference the exact seeded flags (</w:t>
      </w:r>
      <w:r>
        <w:rPr>
          <w:rStyle w:val="VerbatimChar"/>
        </w:rPr>
        <w:t xml:space="preserve">advanced-search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ai-assistant</w:t>
      </w:r>
      <w:r>
        <w:t xml:space="preserve">) by their original</w:t>
      </w:r>
      <w:r>
        <w:t xml:space="preserve"> </w:t>
      </w:r>
      <w:r>
        <w:t xml:space="preserve">values.</w:t>
      </w:r>
    </w:p>
    <w:p>
      <w:pPr>
        <w:numPr>
          <w:ilvl w:val="0"/>
          <w:numId w:val="1001"/>
        </w:numPr>
        <w:pStyle w:val="Compact"/>
      </w:pPr>
      <w:r>
        <w:t xml:space="preserve">☐ Frontend running (</w:t>
      </w:r>
      <w:r>
        <w:rPr>
          <w:rStyle w:val="VerbatimChar"/>
        </w:rPr>
        <w:t xml:space="preserve">pnpm dev</w:t>
      </w:r>
      <w:r>
        <w:t xml:space="preserve"> </w:t>
      </w:r>
      <w:r>
        <w:t xml:space="preserve">or via Docker), reachable at</w:t>
      </w:r>
      <w:r>
        <w:t xml:space="preserve"> </w:t>
      </w:r>
      <w:r>
        <w:rPr>
          <w:rStyle w:val="VerbatimChar"/>
        </w:rPr>
        <w:t xml:space="preserve">http://localhost:3000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☐ Swagger UI reachable at</w:t>
      </w:r>
      <w:r>
        <w:t xml:space="preserve"> </w:t>
      </w:r>
      <w:r>
        <w:rPr>
          <w:rStyle w:val="VerbatimChar"/>
        </w:rPr>
        <w:t xml:space="preserve">http://localhost:8080/swagger-ui.html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☐ Two browser windows (or one window + one private/incognito window) logged in as</w:t>
      </w:r>
      <w:r>
        <w:t xml:space="preserve"> </w:t>
      </w:r>
      <w:r>
        <w:rPr>
          <w:rStyle w:val="VerbatimChar"/>
        </w:rPr>
        <w:t xml:space="preserve">admin@example.com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viewer@example.com</w:t>
      </w:r>
      <w:r>
        <w:t xml:space="preserve"> </w:t>
      </w:r>
      <w:r>
        <w:t xml:space="preserve">respectively, for the RBAC and live-update</w:t>
      </w:r>
      <w:r>
        <w:t xml:space="preserve"> </w:t>
      </w:r>
      <w:r>
        <w:t xml:space="preserve">segments.</w:t>
      </w:r>
    </w:p>
    <w:p>
      <w:pPr>
        <w:numPr>
          <w:ilvl w:val="0"/>
          <w:numId w:val="1001"/>
        </w:numPr>
        <w:pStyle w:val="Compact"/>
      </w:pPr>
      <w:r>
        <w:t xml:space="preserve">☐ A terminal ready in the repo root, and a second one in</w:t>
      </w:r>
      <w:r>
        <w:t xml:space="preserve"> </w:t>
      </w:r>
      <w:r>
        <w:rPr>
          <w:rStyle w:val="VerbatimChar"/>
        </w:rPr>
        <w:t xml:space="preserve">examples/sdk-client/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☐ If demonstrating the live AI path: Docker Model Runner running with</w:t>
      </w:r>
      <w:r>
        <w:t xml:space="preserve"> </w:t>
      </w:r>
      <w:r>
        <w:rPr>
          <w:rStyle w:val="VerbatimChar"/>
        </w:rPr>
        <w:t xml:space="preserve">ai/llama3.2</w:t>
      </w:r>
      <w:r>
        <w:t xml:space="preserve"> </w:t>
      </w:r>
      <w:r>
        <w:t xml:space="preserve">already</w:t>
      </w:r>
      <w:r>
        <w:t xml:space="preserve"> </w:t>
      </w:r>
      <w:r>
        <w:t xml:space="preserve">pulled</w:t>
      </w:r>
      <w:r>
        <w:t xml:space="preserve"> </w:t>
      </w:r>
      <w:r>
        <w:rPr>
          <w:iCs/>
          <w:i/>
        </w:rPr>
        <w:t xml:space="preserve">and warmed up</w:t>
      </w:r>
      <w:r>
        <w:t xml:space="preserve"> </w:t>
      </w:r>
      <w:r>
        <w:t xml:space="preserve">(make one throwaway AI request before recording — the first call</w:t>
      </w:r>
      <w:r>
        <w:t xml:space="preserve"> </w:t>
      </w:r>
      <w:r>
        <w:t xml:space="preserve">after the model has been idle takes 10-20 seconds to load, which is real and documented</w:t>
      </w:r>
      <w:r>
        <w:t xml:space="preserve"> </w:t>
      </w:r>
      <w:r>
        <w:t xml:space="preserve">behavior, not a bug, but not what you want as the first thing on camera). Otherwise, the</w:t>
      </w:r>
      <w:r>
        <w:t xml:space="preserve"> </w:t>
      </w:r>
      <w:r>
        <w:t xml:space="preserve">default</w:t>
      </w:r>
      <w:r>
        <w:t xml:space="preserve"> </w:t>
      </w:r>
      <w:r>
        <w:rPr>
          <w:rStyle w:val="VerbatimChar"/>
        </w:rPr>
        <w:t xml:space="preserve">MockAiProvider</w:t>
      </w:r>
      <w:r>
        <w:t xml:space="preserve"> </w:t>
      </w:r>
      <w:r>
        <w:t xml:space="preserve">path is equally legitimate to demo and needs no warm-up.</w:t>
      </w:r>
    </w:p>
    <w:p>
      <w:pPr>
        <w:numPr>
          <w:ilvl w:val="0"/>
          <w:numId w:val="1001"/>
        </w:numPr>
        <w:pStyle w:val="Compact"/>
      </w:pPr>
      <w:r>
        <w:t xml:space="preserve">☐ Screen resolution and zoom level such that both the Swagger UI and the app’s own UI are</w:t>
      </w:r>
      <w:r>
        <w:t xml:space="preserve"> </w:t>
      </w:r>
      <w:r>
        <w:t xml:space="preserve">comfortably readable in a recording.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8" w:name="part-a-codebase-tour"/>
    <w:p>
      <w:pPr>
        <w:pStyle w:val="Heading1"/>
      </w:pPr>
      <w:r>
        <w:t xml:space="preserve">Part A — Codebase Tour</w:t>
      </w:r>
    </w:p>
    <w:p>
      <w:pPr>
        <w:pStyle w:val="FirstParagraph"/>
      </w:pPr>
      <w:r>
        <w:rPr>
          <w:iCs/>
          <w:i/>
        </w:rPr>
        <w:t xml:space="preserve">(Optional deeper-dive material — skip for the 5-10 minute cut. Show these in an editor with the</w:t>
      </w:r>
      <w:r>
        <w:rPr>
          <w:iCs/>
          <w:i/>
        </w:rPr>
        <w:t xml:space="preserve"> </w:t>
      </w:r>
      <w:r>
        <w:rPr>
          <w:iCs/>
          <w:i/>
        </w:rPr>
        <w:t xml:space="preserve">repository open, not the running application.)</w:t>
      </w:r>
    </w:p>
    <w:bookmarkStart w:id="22" w:name="a.1-orientation-1-min"/>
    <w:p>
      <w:pPr>
        <w:pStyle w:val="Heading2"/>
      </w:pPr>
      <w:r>
        <w:t xml:space="preserve">A.1 Orientation (1 min)</w:t>
      </w:r>
    </w:p>
    <w:p>
      <w:pPr>
        <w:pStyle w:val="FirstParagraph"/>
      </w:pPr>
      <w:r>
        <w:rPr>
          <w:bCs/>
          <w:b/>
        </w:rPr>
        <w:t xml:space="preserve">Show:</w:t>
      </w:r>
      <w:r>
        <w:t xml:space="preserve"> </w:t>
      </w:r>
      <w:r>
        <w:t xml:space="preserve">the repository root, then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’s table of contents.</w:t>
      </w:r>
    </w:p>
    <w:p>
      <w:pPr>
        <w:pStyle w:val="BodyText"/>
      </w:pPr>
      <w:r>
        <w:rPr>
          <w:bCs/>
          <w:b/>
        </w:rPr>
        <w:t xml:space="preserve">Say:</w:t>
      </w:r>
      <w:r>
        <w:t xml:space="preserve"> </w:t>
      </w:r>
      <w:r>
        <w:t xml:space="preserve">“</w:t>
      </w:r>
      <w:r>
        <w:t xml:space="preserve">This is a feature flag and configuration platform — built as a senior developer</w:t>
      </w:r>
      <w:r>
        <w:t xml:space="preserve"> </w:t>
      </w:r>
      <w:r>
        <w:t xml:space="preserve">take-home assessment. Before touching code, I want to establish scope: the assessment PDF itself</w:t>
      </w:r>
      <w:r>
        <w:t xml:space="preserve"> </w:t>
      </w:r>
      <w:r>
        <w:t xml:space="preserve">was the authoritative requirements source, not a much larger draft I’d prepared independently</w:t>
      </w:r>
      <w:r>
        <w:t xml:space="preserve"> </w:t>
      </w:r>
      <w:r>
        <w:t xml:space="preserve">beforehand. The README documents that decision, along with every architectural choice, as</w:t>
      </w:r>
      <w:r>
        <w:t xml:space="preserve"> </w:t>
      </w:r>
      <w:r>
        <w:t xml:space="preserve">Architecture Decision Records — five of them, in</w:t>
      </w:r>
      <w:r>
        <w:t xml:space="preserve"> </w:t>
      </w:r>
      <w:r>
        <w:rPr>
          <w:rStyle w:val="VerbatimChar"/>
        </w:rPr>
        <w:t xml:space="preserve">.claude/decisions/</w:t>
      </w:r>
      <w:r>
        <w:t xml:space="preserve">.</w:t>
      </w:r>
      <w:r>
        <w:t xml:space="preserve">”</w:t>
      </w:r>
    </w:p>
    <w:bookmarkEnd w:id="22"/>
    <w:bookmarkStart w:id="23" w:name="a.2-the-evaluation-engine-2-min"/>
    <w:p>
      <w:pPr>
        <w:pStyle w:val="Heading2"/>
      </w:pPr>
      <w:r>
        <w:t xml:space="preserve">A.2 The evaluation engine (2 min)</w:t>
      </w:r>
    </w:p>
    <w:p>
      <w:pPr>
        <w:pStyle w:val="FirstParagraph"/>
      </w:pPr>
      <w:r>
        <w:rPr>
          <w:bCs/>
          <w:b/>
        </w:rPr>
        <w:t xml:space="preserve">Show:</w:t>
      </w:r>
      <w:r>
        <w:t xml:space="preserve"> </w:t>
      </w:r>
      <w:r>
        <w:rPr>
          <w:rStyle w:val="VerbatimChar"/>
        </w:rPr>
        <w:t xml:space="preserve">backend/src/main/java/com/featureflagplatform/evaluation/domain/</w:t>
      </w:r>
      <w:r>
        <w:t xml:space="preserve">, specifically</w:t>
      </w:r>
      <w:r>
        <w:t xml:space="preserve"> </w:t>
      </w:r>
      <w:r>
        <w:rPr>
          <w:rStyle w:val="VerbatimChar"/>
        </w:rPr>
        <w:t xml:space="preserve">FeatureFlagEvaluator.java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FeatureFlagEvaluatorTest.java</w:t>
      </w:r>
      <w:r>
        <w:t xml:space="preserve"> </w:t>
      </w:r>
      <w:r>
        <w:t xml:space="preserve">side by side.</w:t>
      </w:r>
    </w:p>
    <w:p>
      <w:pPr>
        <w:pStyle w:val="BodyText"/>
      </w:pPr>
      <w:r>
        <w:rPr>
          <w:bCs/>
          <w:b/>
        </w:rPr>
        <w:t xml:space="preserve">Say:</w:t>
      </w:r>
      <w:r>
        <w:t xml:space="preserve"> </w:t>
      </w:r>
      <w:r>
        <w:t xml:space="preserve">"This is the highest-value code in the whole project — every feature check any consuming</w:t>
      </w:r>
      <w:r>
        <w:t xml:space="preserve"> </w:t>
      </w:r>
      <w:r>
        <w:t xml:space="preserve">application makes ultimately runs through here. It’s deliberately framework-free: no Spring, no</w:t>
      </w:r>
      <w:r>
        <w:t xml:space="preserve"> </w:t>
      </w:r>
      <w:r>
        <w:t xml:space="preserve">HTTP, no JPA anywhere in this package. That’s not an accident, it’s what makes it trivially unit</w:t>
      </w:r>
      <w:r>
        <w:t xml:space="preserve"> </w:t>
      </w:r>
      <w:r>
        <w:t xml:space="preserve">testable — 18 tests, including golden-vector cross-checks against an independent Python</w:t>
      </w:r>
      <w:r>
        <w:t xml:space="preserve"> </w:t>
      </w:r>
      <w:r>
        <w:t xml:space="preserve">implementation of the same hashing algorithm, specifically to catch a subtle bug a same-language</w:t>
      </w:r>
      <w:r>
        <w:t xml:space="preserve"> </w:t>
      </w:r>
      <w:r>
        <w:t xml:space="preserve">test suite might share a blind spot on.</w:t>
      </w:r>
    </w:p>
    <w:p>
      <w:pPr>
        <w:pStyle w:val="BodyText"/>
      </w:pPr>
      <w:r>
        <w:t xml:space="preserve">“</w:t>
      </w:r>
      <w:r>
        <w:t xml:space="preserve">The core rule: percentage rollout is</w:t>
      </w:r>
      <w:r>
        <w:t xml:space="preserve"> </w:t>
      </w:r>
      <w:r>
        <w:rPr>
          <w:rStyle w:val="VerbatimChar"/>
        </w:rPr>
        <w:t xml:space="preserve">SHA-256(flagKey:environment:stableIdentifier) mod 100</w:t>
      </w:r>
      <w:r>
        <w:t xml:space="preserve"> </w:t>
      </w:r>
      <w:r>
        <w:t xml:space="preserve">—</w:t>
      </w:r>
      <w:r>
        <w:t xml:space="preserve"> </w:t>
      </w:r>
      <w:r>
        <w:t xml:space="preserve">never</w:t>
      </w:r>
      <w:r>
        <w:t xml:space="preserve"> </w:t>
      </w:r>
      <w:r>
        <w:rPr>
          <w:rStyle w:val="VerbatimChar"/>
        </w:rPr>
        <w:t xml:space="preserve">Math.random()</w:t>
      </w:r>
      <w:r>
        <w:t xml:space="preserve">. That’s what makes a 50% rollout mean something coherent: the same user is</w:t>
      </w:r>
      <w:r>
        <w:t xml:space="preserve"> </w:t>
      </w:r>
      <w:r>
        <w:t xml:space="preserve">always on the same side of the line, every request, forever, until the flag itself changes.</w:t>
      </w:r>
      <w:r>
        <w:t xml:space="preserve">”</w:t>
      </w:r>
    </w:p>
    <w:bookmarkEnd w:id="23"/>
    <w:bookmarkStart w:id="24" w:name="a.3-package-by-feature-structure-1-min"/>
    <w:p>
      <w:pPr>
        <w:pStyle w:val="Heading2"/>
      </w:pPr>
      <w:r>
        <w:t xml:space="preserve">A.3 Package-by-feature structure (1 min)</w:t>
      </w:r>
    </w:p>
    <w:p>
      <w:pPr>
        <w:pStyle w:val="FirstParagraph"/>
      </w:pPr>
      <w:r>
        <w:rPr>
          <w:bCs/>
          <w:b/>
        </w:rPr>
        <w:t xml:space="preserve">Show:</w:t>
      </w:r>
      <w:r>
        <w:t xml:space="preserve"> </w:t>
      </w:r>
      <w:r>
        <w:rPr>
          <w:rStyle w:val="VerbatimChar"/>
        </w:rPr>
        <w:t xml:space="preserve">backend/src/main/java/com/featureflagplatform/</w:t>
      </w:r>
      <w:r>
        <w:t xml:space="preserve"> </w:t>
      </w:r>
      <w:r>
        <w:t xml:space="preserve">folder tree.</w:t>
      </w:r>
    </w:p>
    <w:p>
      <w:pPr>
        <w:pStyle w:val="BodyText"/>
      </w:pPr>
      <w:r>
        <w:rPr>
          <w:bCs/>
          <w:b/>
        </w:rPr>
        <w:t xml:space="preserve">Say:</w:t>
      </w:r>
      <w:r>
        <w:t xml:space="preserve"> </w:t>
      </w:r>
      <w:r>
        <w:t xml:space="preserve">“</w:t>
      </w:r>
      <w:r>
        <w:t xml:space="preserve">The backend is organized by feature —</w:t>
      </w:r>
      <w:r>
        <w:t xml:space="preserve"> </w:t>
      </w:r>
      <w:r>
        <w:rPr>
          <w:rStyle w:val="VerbatimChar"/>
        </w:rPr>
        <w:t xml:space="preserve">featureflag</w:t>
      </w:r>
      <w:r>
        <w:t xml:space="preserve">,</w:t>
      </w:r>
      <w:r>
        <w:t xml:space="preserve"> </w:t>
      </w:r>
      <w:r>
        <w:rPr>
          <w:rStyle w:val="VerbatimChar"/>
        </w:rPr>
        <w:t xml:space="preserve">environment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</w:t>
      </w:r>
      <w:r>
        <w:t xml:space="preserve">,</w:t>
      </w:r>
      <w:r>
        <w:t xml:space="preserve"> </w:t>
      </w:r>
      <w:r>
        <w:rPr>
          <w:rStyle w:val="VerbatimChar"/>
        </w:rPr>
        <w:t xml:space="preserve">evaluation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ai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common</w:t>
      </w:r>
      <w:r>
        <w:t xml:space="preserve"> </w:t>
      </w:r>
      <w:r>
        <w:t xml:space="preserve">— not by layer. Everything about one domain concept lives</w:t>
      </w:r>
      <w:r>
        <w:t xml:space="preserve"> </w:t>
      </w:r>
      <w:r>
        <w:t xml:space="preserve">together. Within each feature, the normal layering still holds: controllers depend on services,</w:t>
      </w:r>
      <w:r>
        <w:t xml:space="preserve"> </w:t>
      </w:r>
      <w:r>
        <w:t xml:space="preserve">services depend on repositories, and JPA entities never cross the API boundary directly — every</w:t>
      </w:r>
      <w:r>
        <w:t xml:space="preserve"> </w:t>
      </w:r>
      <w:r>
        <w:t xml:space="preserve">response is an explicit DTO.</w:t>
      </w:r>
      <w:r>
        <w:t xml:space="preserve">”</w:t>
      </w:r>
    </w:p>
    <w:bookmarkEnd w:id="24"/>
    <w:bookmarkStart w:id="25" w:name="Xc19b0e9624990cb3830bfca4cea0b412b03b7e6"/>
    <w:p>
      <w:pPr>
        <w:pStyle w:val="Heading2"/>
      </w:pPr>
      <w:r>
        <w:t xml:space="preserve">A.4 Caching and optimistic concurrency (1.5 min)</w:t>
      </w:r>
    </w:p>
    <w:p>
      <w:pPr>
        <w:pStyle w:val="FirstParagraph"/>
      </w:pPr>
      <w:r>
        <w:rPr>
          <w:bCs/>
          <w:b/>
        </w:rPr>
        <w:t xml:space="preserve">Show:</w:t>
      </w:r>
      <w:r>
        <w:t xml:space="preserve"> </w:t>
      </w:r>
      <w:r>
        <w:rPr>
          <w:rStyle w:val="VerbatimChar"/>
        </w:rPr>
        <w:t xml:space="preserve">FeatureFlagService.java</w:t>
      </w:r>
      <w:r>
        <w:t xml:space="preserve">’s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method, and</w:t>
      </w:r>
      <w:r>
        <w:t xml:space="preserve"> </w:t>
      </w:r>
      <w:r>
        <w:rPr>
          <w:rStyle w:val="VerbatimChar"/>
        </w:rPr>
        <w:t xml:space="preserve">ADR-002-caching-strategy.md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Say:</w:t>
      </w:r>
      <w:r>
        <w:t xml:space="preserve"> </w:t>
      </w:r>
      <w:r>
        <w:t xml:space="preserve">“</w:t>
      </w:r>
      <w:r>
        <w:t xml:space="preserve">Two things worth pointing at here. First, optimistic concurrency — every update carries</w:t>
      </w:r>
      <w:r>
        <w:t xml:space="preserve"> </w:t>
      </w:r>
      <w:r>
        <w:t xml:space="preserve">the version it was loaded at; if that’s stale, it’s a</w:t>
      </w:r>
      <w:r>
        <w:t xml:space="preserve"> </w:t>
      </w:r>
      <w:r>
        <w:rPr>
          <w:rStyle w:val="VerbatimChar"/>
        </w:rPr>
        <w:t xml:space="preserve">409</w:t>
      </w:r>
      <w:r>
        <w:t xml:space="preserve">, not a silent overwrite. Second, the</w:t>
      </w:r>
      <w:r>
        <w:t xml:space="preserve"> </w:t>
      </w:r>
      <w:r>
        <w:t xml:space="preserve">comment right here</w:t>
      </w:r>
      <w:r>
        <w:t xml:space="preserve">”</w:t>
      </w:r>
      <w:r>
        <w:t xml:space="preserve"> </w:t>
      </w:r>
      <w:r>
        <w:rPr>
          <w:iCs/>
          <w:i/>
        </w:rPr>
        <w:t xml:space="preserve">(point at the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saveAndFlush</w:t>
      </w:r>
      <w:r>
        <w:rPr>
          <w:iCs/>
          <w:i/>
        </w:rPr>
        <w:t xml:space="preserve">, not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save</w:t>
      </w:r>
      <w:r>
        <w:rPr>
          <w:iCs/>
          <w:i/>
        </w:rPr>
        <w:t xml:space="preserve">, comment)</w:t>
      </w:r>
      <w:r>
        <w:t xml:space="preserve"> </w:t>
      </w:r>
      <w:r>
        <w:t xml:space="preserve">“</w:t>
      </w:r>
      <w:r>
        <w:t xml:space="preserve">is a real bug I found by</w:t>
      </w:r>
      <w:r>
        <w:t xml:space="preserve"> </w:t>
      </w:r>
      <w:r>
        <w:t xml:space="preserve">actually running this application, not by reading the code carefully enough in advance —</w:t>
      </w:r>
      <w:r>
        <w:t xml:space="preserve"> </w:t>
      </w:r>
      <w:r>
        <w:rPr>
          <w:rStyle w:val="VerbatimChar"/>
        </w:rPr>
        <w:t xml:space="preserve">save()</w:t>
      </w:r>
      <w:r>
        <w:t xml:space="preserve"> </w:t>
      </w:r>
      <w:r>
        <w:t xml:space="preserve">alone defers the version increment to end-of-transaction, so the API response and the audit</w:t>
      </w:r>
      <w:r>
        <w:t xml:space="preserve"> </w:t>
      </w:r>
      <w:r>
        <w:t xml:space="preserve">record were both reporting the pre-update version. That’s the kind of bug that only shows up when</w:t>
      </w:r>
      <w:r>
        <w:t xml:space="preserve"> </w:t>
      </w:r>
      <w:r>
        <w:t xml:space="preserve">you actually exercise the running system.</w:t>
      </w:r>
      <w:r>
        <w:t xml:space="preserve">”</w:t>
      </w:r>
    </w:p>
    <w:bookmarkEnd w:id="25"/>
    <w:bookmarkStart w:id="26" w:name="a.5-the-ai-provider-abstraction-2-min"/>
    <w:p>
      <w:pPr>
        <w:pStyle w:val="Heading2"/>
      </w:pPr>
      <w:r>
        <w:t xml:space="preserve">A.5 The AI provider abstraction (2 min)</w:t>
      </w:r>
    </w:p>
    <w:p>
      <w:pPr>
        <w:pStyle w:val="FirstParagraph"/>
      </w:pPr>
      <w:r>
        <w:rPr>
          <w:bCs/>
          <w:b/>
        </w:rPr>
        <w:t xml:space="preserve">Show:</w:t>
      </w:r>
      <w:r>
        <w:t xml:space="preserve"> </w:t>
      </w:r>
      <w:r>
        <w:rPr>
          <w:rStyle w:val="VerbatimChar"/>
        </w:rPr>
        <w:t xml:space="preserve">ai/provider/AiProvider.java</w:t>
      </w:r>
      <w:r>
        <w:t xml:space="preserve">,</w:t>
      </w:r>
      <w:r>
        <w:t xml:space="preserve"> </w:t>
      </w:r>
      <w:r>
        <w:rPr>
          <w:rStyle w:val="VerbatimChar"/>
        </w:rPr>
        <w:t xml:space="preserve">MockAiProvider.java</w:t>
      </w:r>
      <w:r>
        <w:t xml:space="preserve">,</w:t>
      </w:r>
      <w:r>
        <w:t xml:space="preserve"> </w:t>
      </w:r>
      <w:r>
        <w:rPr>
          <w:rStyle w:val="VerbatimChar"/>
        </w:rPr>
        <w:t xml:space="preserve">DockerModelRunnerAiProvider.java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AiRuleAssistantService.java</w:t>
      </w:r>
      <w:r>
        <w:t xml:space="preserve">’s validation pipeline.</w:t>
      </w:r>
    </w:p>
    <w:p>
      <w:pPr>
        <w:pStyle w:val="BodyText"/>
      </w:pPr>
      <w:r>
        <w:rPr>
          <w:bCs/>
          <w:b/>
        </w:rPr>
        <w:t xml:space="preserve">Say:</w:t>
      </w:r>
      <w:r>
        <w:t xml:space="preserve"> </w:t>
      </w:r>
      <w:r>
        <w:t xml:space="preserve">"The assessment is explicit that trusting AI output without validation is an automatic</w:t>
      </w:r>
      <w:r>
        <w:t xml:space="preserve"> </w:t>
      </w:r>
      <w:r>
        <w:t xml:space="preserve">deduction. Here’s how that’s enforced structurally, not just by policy:</w:t>
      </w:r>
      <w:r>
        <w:t xml:space="preserve"> </w:t>
      </w:r>
      <w:r>
        <w:rPr>
          <w:rStyle w:val="VerbatimChar"/>
        </w:rPr>
        <w:t xml:space="preserve">RuleProposalDto</w:t>
      </w:r>
      <w:r>
        <w:t xml:space="preserve">’s</w:t>
      </w:r>
      <w:r>
        <w:t xml:space="preserve"> </w:t>
      </w:r>
      <w:r>
        <w:rPr>
          <w:rStyle w:val="VerbatimChar"/>
        </w:rPr>
        <w:t xml:space="preserve">rules</w:t>
      </w:r>
      <w:r>
        <w:t xml:space="preserve"> </w:t>
      </w:r>
      <w:r>
        <w:t xml:space="preserve">field is typed as the</w:t>
      </w:r>
      <w:r>
        <w:t xml:space="preserve"> </w:t>
      </w:r>
      <w:r>
        <w:rPr>
          <w:iCs/>
          <w:i/>
        </w:rPr>
        <w:t xml:space="preserve">exact same</w:t>
      </w:r>
      <w:r>
        <w:t xml:space="preserve"> </w:t>
      </w:r>
      <w:r>
        <w:rPr>
          <w:rStyle w:val="VerbatimChar"/>
        </w:rPr>
        <w:t xml:space="preserve">TargetingRuleDto</w:t>
      </w:r>
      <w:r>
        <w:t xml:space="preserve"> </w:t>
      </w:r>
      <w:r>
        <w:t xml:space="preserve">a human-submitted flag’s targeting</w:t>
      </w:r>
      <w:r>
        <w:t xml:space="preserve"> </w:t>
      </w:r>
      <w:r>
        <w:t xml:space="preserve">rules are validated as. There’s no separate, looser validation path for AI output — it’s</w:t>
      </w:r>
      <w:r>
        <w:t xml:space="preserve"> </w:t>
      </w:r>
      <w:r>
        <w:t xml:space="preserve">literally the same type going through the same Bean Validation and the same domain checks.</w:t>
      </w:r>
    </w:p>
    <w:p>
      <w:pPr>
        <w:pStyle w:val="BodyText"/>
      </w:pPr>
      <w:r>
        <w:t xml:space="preserve">“</w:t>
      </w:r>
      <w:r>
        <w:t xml:space="preserve">There are two providers behind one narrow interface:</w:t>
      </w:r>
      <w:r>
        <w:t xml:space="preserve"> </w:t>
      </w:r>
      <w:r>
        <w:rPr>
          <w:rStyle w:val="VerbatimChar"/>
        </w:rPr>
        <w:t xml:space="preserve">MockAiProvider</w:t>
      </w:r>
      <w:r>
        <w:t xml:space="preserve">, the default — a real</w:t>
      </w:r>
      <w:r>
        <w:t xml:space="preserve"> </w:t>
      </w:r>
      <w:r>
        <w:t xml:space="preserve">deterministic parser, not a stub — and</w:t>
      </w:r>
      <w:r>
        <w:t xml:space="preserve"> </w:t>
      </w:r>
      <w:r>
        <w:rPr>
          <w:rStyle w:val="VerbatimChar"/>
        </w:rPr>
        <w:t xml:space="preserve">DockerModelRunnerAiProvider</w:t>
      </w:r>
      <w:r>
        <w:t xml:space="preserve">, which calls a real local</w:t>
      </w:r>
      <w:r>
        <w:t xml:space="preserve"> </w:t>
      </w:r>
      <w:r>
        <w:t xml:space="preserve">LLM with no API key and no per-request cost. Swapping between them is one environment variable.</w:t>
      </w:r>
      <w:r>
        <w:t xml:space="preserve">”</w:t>
      </w:r>
    </w:p>
    <w:bookmarkEnd w:id="26"/>
    <w:bookmarkStart w:id="27" w:name="a.6-test-suites-1.5-min"/>
    <w:p>
      <w:pPr>
        <w:pStyle w:val="Heading2"/>
      </w:pPr>
      <w:r>
        <w:t xml:space="preserve">A.6 Test suites (1.5 min)</w:t>
      </w:r>
    </w:p>
    <w:p>
      <w:pPr>
        <w:pStyle w:val="FirstParagraph"/>
      </w:pPr>
      <w:r>
        <w:rPr>
          <w:bCs/>
          <w:b/>
        </w:rPr>
        <w:t xml:space="preserve">Show:</w:t>
      </w:r>
      <w:r>
        <w:t xml:space="preserve"> </w:t>
      </w:r>
      <w:r>
        <w:t xml:space="preserve">terminal, run</w:t>
      </w:r>
      <w:r>
        <w:t xml:space="preserve"> </w:t>
      </w:r>
      <w:r>
        <w:rPr>
          <w:rStyle w:val="VerbatimChar"/>
        </w:rPr>
        <w:t xml:space="preserve">./mvnw test</w:t>
      </w:r>
      <w:r>
        <w:t xml:space="preserve"> </w:t>
      </w:r>
      <w:r>
        <w:t xml:space="preserve">(backend) and</w:t>
      </w:r>
      <w:r>
        <w:t xml:space="preserve"> </w:t>
      </w:r>
      <w:r>
        <w:rPr>
          <w:rStyle w:val="VerbatimChar"/>
        </w:rPr>
        <w:t xml:space="preserve">pnpm test</w:t>
      </w:r>
      <w:r>
        <w:t xml:space="preserve"> </w:t>
      </w:r>
      <w:r>
        <w:t xml:space="preserve">(frontend) side by side, or</w:t>
      </w:r>
      <w:r>
        <w:t xml:space="preserve"> </w:t>
      </w:r>
      <w:r>
        <w:t xml:space="preserve">sequentially.</w:t>
      </w:r>
    </w:p>
    <w:p>
      <w:pPr>
        <w:pStyle w:val="BodyText"/>
      </w:pPr>
      <w:r>
        <w:rPr>
          <w:bCs/>
          <w:b/>
        </w:rPr>
        <w:t xml:space="preserve">Say:</w:t>
      </w:r>
      <w:r>
        <w:t xml:space="preserve"> </w:t>
      </w:r>
      <w:r>
        <w:t xml:space="preserve">“</w:t>
      </w:r>
      <w:r>
        <w:t xml:space="preserve">58 backend tests, 19 frontend tests. The backend suite mixes pure unit tests, real</w:t>
      </w:r>
      <w:r>
        <w:t xml:space="preserve"> </w:t>
      </w:r>
      <w:r>
        <w:t xml:space="preserve">Postgres/Redis integration tests via Testcontainers — deliberately not mocked, because the bug I</w:t>
      </w:r>
      <w:r>
        <w:t xml:space="preserve"> </w:t>
      </w:r>
      <w:r>
        <w:t xml:space="preserve">just showed you only reproduces against a real Hibernate flush cycle — and full HTTP tests through</w:t>
      </w:r>
      <w:r>
        <w:t xml:space="preserve"> </w:t>
      </w:r>
      <w:r>
        <w:t xml:space="preserve">MockMvc for auth, authorization, and error shapes.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45" w:name="part-b-live-application-walkthrough"/>
    <w:p>
      <w:pPr>
        <w:pStyle w:val="Heading1"/>
      </w:pPr>
      <w:r>
        <w:t xml:space="preserve">Part B — Live Application Walkthrough</w:t>
      </w:r>
    </w:p>
    <w:p>
      <w:pPr>
        <w:pStyle w:val="FirstParagraph"/>
      </w:pPr>
      <w:r>
        <w:rPr>
          <w:iCs/>
          <w:i/>
        </w:rPr>
        <w:t xml:space="preserve">(This is the application itself, running in a browser.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[CORE]</w:t>
      </w:r>
      <w:r>
        <w:rPr>
          <w:iCs/>
          <w:i/>
        </w:rPr>
        <w:t xml:space="preserve"> </w:t>
      </w:r>
      <w:r>
        <w:rPr>
          <w:iCs/>
          <w:i/>
        </w:rPr>
        <w:t xml:space="preserve">marks the assessment’s</w:t>
      </w:r>
      <w:r>
        <w:rPr>
          <w:iCs/>
          <w:i/>
        </w:rPr>
        <w:t xml:space="preserve"> </w:t>
      </w:r>
      <w:r>
        <w:rPr>
          <w:iCs/>
          <w:i/>
        </w:rPr>
        <w:t xml:space="preserve">required 5-10 minute cut.)</w:t>
      </w:r>
    </w:p>
    <w:bookmarkStart w:id="29" w:name="b.1-login-and-dashboard-core-30s"/>
    <w:p>
      <w:pPr>
        <w:pStyle w:val="Heading2"/>
      </w:pPr>
      <w:r>
        <w:t xml:space="preserve">B.1 Login and dashboard</w:t>
      </w:r>
      <w:r>
        <w:t xml:space="preserve"> </w:t>
      </w:r>
      <w:r>
        <w:rPr>
          <w:bCs/>
          <w:b/>
        </w:rPr>
        <w:t xml:space="preserve">[CORE]</w:t>
      </w:r>
      <w:r>
        <w:t xml:space="preserve"> </w:t>
      </w:r>
      <w:r>
        <w:t xml:space="preserve">(30s)</w:t>
      </w:r>
    </w:p>
    <w:p>
      <w:pPr>
        <w:pStyle w:val="FirstParagraph"/>
      </w:pPr>
      <w:r>
        <w:rPr>
          <w:bCs/>
          <w:b/>
        </w:rPr>
        <w:t xml:space="preserve">Show:</w:t>
      </w:r>
      <w:r>
        <w:t xml:space="preserve"> </w:t>
      </w:r>
      <w:r>
        <w:rPr>
          <w:rStyle w:val="VerbatimChar"/>
        </w:rPr>
        <w:t xml:space="preserve">http://localhost:3000/login</w:t>
      </w:r>
      <w:r>
        <w:t xml:space="preserve">, log in as</w:t>
      </w:r>
      <w:r>
        <w:t xml:space="preserve"> </w:t>
      </w:r>
      <w:r>
        <w:rPr>
          <w:rStyle w:val="VerbatimChar"/>
        </w:rPr>
        <w:t xml:space="preserve">admin@example.com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Password123!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Say:</w:t>
      </w:r>
      <w:r>
        <w:t xml:space="preserve"> </w:t>
      </w:r>
      <w:r>
        <w:t xml:space="preserve">“</w:t>
      </w:r>
      <w:r>
        <w:t xml:space="preserve">Logging in as the admin account. Real authentication — JWT, bcrypt-hashed passwords in</w:t>
      </w:r>
      <w:r>
        <w:t xml:space="preserve"> </w:t>
      </w:r>
      <w:r>
        <w:t xml:space="preserve">the database, not a mock login. The dashboard gives an at-a-glance view: total flags, how many</w:t>
      </w:r>
      <w:r>
        <w:t xml:space="preserve"> </w:t>
      </w:r>
      <w:r>
        <w:t xml:space="preserve">enabled/disabled, how many are percentage rollouts, and recent audit activity.</w:t>
      </w:r>
      <w:r>
        <w:t xml:space="preserve">”</w:t>
      </w:r>
    </w:p>
    <w:bookmarkEnd w:id="29"/>
    <w:bookmarkStart w:id="30" w:name="b.2-environments-30s"/>
    <w:p>
      <w:pPr>
        <w:pStyle w:val="Heading2"/>
      </w:pPr>
      <w:r>
        <w:t xml:space="preserve">B.2 Environments (30s)</w:t>
      </w:r>
    </w:p>
    <w:p>
      <w:pPr>
        <w:pStyle w:val="FirstParagraph"/>
      </w:pPr>
      <w:r>
        <w:rPr>
          <w:bCs/>
          <w:b/>
        </w:rPr>
        <w:t xml:space="preserve">Show:</w:t>
      </w:r>
      <w:r>
        <w:t xml:space="preserve"> </w:t>
      </w:r>
      <w:r>
        <w:t xml:space="preserve">the Environments page — DEV, STAGING, PROD.</w:t>
      </w:r>
    </w:p>
    <w:p>
      <w:pPr>
        <w:pStyle w:val="BodyText"/>
      </w:pPr>
      <w:r>
        <w:rPr>
          <w:bCs/>
          <w:b/>
        </w:rPr>
        <w:t xml:space="preserve">Say:</w:t>
      </w:r>
      <w:r>
        <w:t xml:space="preserve"> </w:t>
      </w:r>
      <w:r>
        <w:t xml:space="preserve">“</w:t>
      </w:r>
      <w:r>
        <w:t xml:space="preserve">Flags are scoped to environments — the same flag key can have completely different</w:t>
      </w:r>
      <w:r>
        <w:t xml:space="preserve"> </w:t>
      </w:r>
      <w:r>
        <w:t xml:space="preserve">values in DEV versus PROD, which is exactly what you’d want for testing a rollout safely before</w:t>
      </w:r>
      <w:r>
        <w:t xml:space="preserve"> </w:t>
      </w:r>
      <w:r>
        <w:t xml:space="preserve">it reaches production traffic.</w:t>
      </w:r>
      <w:r>
        <w:t xml:space="preserve">”</w:t>
      </w:r>
    </w:p>
    <w:bookmarkEnd w:id="30"/>
    <w:bookmarkStart w:id="31" w:name="b.3-create-a-feature-flag-core-1.5-min"/>
    <w:p>
      <w:pPr>
        <w:pStyle w:val="Heading2"/>
      </w:pPr>
      <w:r>
        <w:t xml:space="preserve">B.3 Create a feature flag</w:t>
      </w:r>
      <w:r>
        <w:t xml:space="preserve"> </w:t>
      </w:r>
      <w:r>
        <w:rPr>
          <w:bCs/>
          <w:b/>
        </w:rPr>
        <w:t xml:space="preserve">[CORE]</w:t>
      </w:r>
      <w:r>
        <w:t xml:space="preserve"> </w:t>
      </w:r>
      <w:r>
        <w:t xml:space="preserve">(1.5 min)</w:t>
      </w:r>
    </w:p>
    <w:p>
      <w:pPr>
        <w:pStyle w:val="FirstParagraph"/>
      </w:pPr>
      <w:r>
        <w:rPr>
          <w:bCs/>
          <w:b/>
        </w:rPr>
        <w:t xml:space="preserve">Show:</w:t>
      </w:r>
      <w:r>
        <w:t xml:space="preserve"> </w:t>
      </w:r>
      <w:r>
        <w:t xml:space="preserve">Feature Flags → Create flag. Fill in: key</w:t>
      </w:r>
      <w:r>
        <w:t xml:space="preserve"> </w:t>
      </w:r>
      <w:r>
        <w:rPr>
          <w:rStyle w:val="VerbatimChar"/>
        </w:rPr>
        <w:t xml:space="preserve">checkout-redesign</w:t>
      </w:r>
      <w:r>
        <w:t xml:space="preserve">, name</w:t>
      </w:r>
      <w:r>
        <w:t xml:space="preserve"> </w:t>
      </w:r>
      <w:r>
        <w:t xml:space="preserve">“</w:t>
      </w:r>
      <w:r>
        <w:t xml:space="preserve">Checkout</w:t>
      </w:r>
      <w:r>
        <w:t xml:space="preserve"> </w:t>
      </w:r>
      <w:r>
        <w:t xml:space="preserve">Redesign</w:t>
      </w:r>
      <w:r>
        <w:t xml:space="preserve">”</w:t>
      </w:r>
      <w:r>
        <w:t xml:space="preserve">, environment DEV, type</w:t>
      </w:r>
      <w:r>
        <w:t xml:space="preserve"> </w:t>
      </w:r>
      <w:r>
        <w:rPr>
          <w:rStyle w:val="VerbatimChar"/>
        </w:rPr>
        <w:t xml:space="preserve">PERCENTAGE_ROLLOUT</w:t>
      </w:r>
      <w:r>
        <w:t xml:space="preserve">, rollout 30%, add a targeting rule</w:t>
      </w:r>
      <w:r>
        <w:t xml:space="preserve"> </w:t>
      </w:r>
      <w:r>
        <w:t xml:space="preserve">(</w:t>
      </w:r>
      <w:r>
        <w:rPr>
          <w:rStyle w:val="VerbatimChar"/>
        </w:rPr>
        <w:t xml:space="preserve">location</w:t>
      </w:r>
      <w:r>
        <w:t xml:space="preserve"> </w:t>
      </w:r>
      <w:r>
        <w:rPr>
          <w:rStyle w:val="VerbatimChar"/>
        </w:rPr>
        <w:t xml:space="preserve">NOT_EQUALS</w:t>
      </w:r>
      <w:r>
        <w:t xml:space="preserve"> </w:t>
      </w:r>
      <w:r>
        <w:rPr>
          <w:rStyle w:val="VerbatimChar"/>
        </w:rPr>
        <w:t xml:space="preserve">internal</w:t>
      </w:r>
      <w:r>
        <w:t xml:space="preserve">). Submit.</w:t>
      </w:r>
    </w:p>
    <w:p>
      <w:pPr>
        <w:pStyle w:val="BodyText"/>
      </w:pPr>
      <w:r>
        <w:rPr>
          <w:bCs/>
          <w:b/>
        </w:rPr>
        <w:t xml:space="preserve">Say:</w:t>
      </w:r>
      <w:r>
        <w:t xml:space="preserve"> </w:t>
      </w:r>
      <w:r>
        <w:t xml:space="preserve">“</w:t>
      </w:r>
      <w:r>
        <w:t xml:space="preserve">Creating a flag with a 30% rollout and one targeting rule — this excludes anyone whose</w:t>
      </w:r>
      <w:r>
        <w:t xml:space="preserve"> </w:t>
      </w:r>
      <w:r>
        <w:rPr>
          <w:rStyle w:val="VerbatimChar"/>
        </w:rPr>
        <w:t xml:space="preserve">location</w:t>
      </w:r>
      <w:r>
        <w:t xml:space="preserve"> </w:t>
      </w:r>
      <w:r>
        <w:t xml:space="preserve">attribute equals</w:t>
      </w:r>
      <w:r>
        <w:t xml:space="preserve"> </w:t>
      </w:r>
      <w:r>
        <w:rPr>
          <w:rStyle w:val="VerbatimChar"/>
        </w:rPr>
        <w:t xml:space="preserve">internal</w:t>
      </w:r>
      <w:r>
        <w:t xml:space="preserve">. Notice the form validates client-side with Zod, mirroring</w:t>
      </w:r>
      <w:r>
        <w:t xml:space="preserve"> </w:t>
      </w:r>
      <w:r>
        <w:t xml:space="preserve">the backend’s own Bean Validation, but the backend is always the actual authority — nothing here</w:t>
      </w:r>
      <w:r>
        <w:t xml:space="preserve"> </w:t>
      </w:r>
      <w:r>
        <w:t xml:space="preserve">is trusted without a server-side round trip.</w:t>
      </w:r>
      <w:r>
        <w:t xml:space="preserve">”</w:t>
      </w:r>
    </w:p>
    <w:bookmarkEnd w:id="31"/>
    <w:bookmarkStart w:id="32" w:name="b.4-evaluation-playground-core-2-min"/>
    <w:p>
      <w:pPr>
        <w:pStyle w:val="Heading2"/>
      </w:pPr>
      <w:r>
        <w:t xml:space="preserve">B.4 Evaluation playground</w:t>
      </w:r>
      <w:r>
        <w:t xml:space="preserve"> </w:t>
      </w:r>
      <w:r>
        <w:rPr>
          <w:bCs/>
          <w:b/>
        </w:rPr>
        <w:t xml:space="preserve">[CORE]</w:t>
      </w:r>
      <w:r>
        <w:t xml:space="preserve"> </w:t>
      </w:r>
      <w:r>
        <w:t xml:space="preserve">(2 min)</w:t>
      </w:r>
    </w:p>
    <w:p>
      <w:pPr>
        <w:pStyle w:val="FirstParagraph"/>
      </w:pPr>
      <w:r>
        <w:rPr>
          <w:bCs/>
          <w:b/>
        </w:rPr>
        <w:t xml:space="preserve">Show:</w:t>
      </w:r>
      <w:r>
        <w:t xml:space="preserve"> </w:t>
      </w:r>
      <w:r>
        <w:t xml:space="preserve">open the new flag’s detail page, use the evaluation playground with two or three</w:t>
      </w:r>
      <w:r>
        <w:t xml:space="preserve"> </w:t>
      </w:r>
      <w:r>
        <w:t xml:space="preserve">different</w:t>
      </w:r>
      <w:r>
        <w:t xml:space="preserve"> </w:t>
      </w:r>
      <w:r>
        <w:rPr>
          <w:rStyle w:val="VerbatimChar"/>
        </w:rPr>
        <w:t xml:space="preserve">stableIdentifier</w:t>
      </w:r>
      <w:r>
        <w:t xml:space="preserve"> </w:t>
      </w:r>
      <w:r>
        <w:t xml:space="preserve">values (e.g. </w:t>
      </w:r>
      <w:r>
        <w:rPr>
          <w:rStyle w:val="VerbatimChar"/>
        </w:rPr>
        <w:t xml:space="preserve">user-1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user-2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user-3</w:t>
      </w:r>
      <w:r>
        <w:t xml:space="preserve">), running each twice.</w:t>
      </w:r>
    </w:p>
    <w:p>
      <w:pPr>
        <w:pStyle w:val="BodyText"/>
      </w:pPr>
      <w:r>
        <w:rPr>
          <w:bCs/>
          <w:b/>
        </w:rPr>
        <w:t xml:space="preserve">Say:</w:t>
      </w:r>
      <w:r>
        <w:t xml:space="preserve"> </w:t>
      </w:r>
      <w:r>
        <w:t xml:space="preserve">“</w:t>
      </w:r>
      <w:r>
        <w:t xml:space="preserve">This is the strongest single demo feature the assessment itself calls out. I plug in a</w:t>
      </w:r>
      <w:r>
        <w:t xml:space="preserve"> </w:t>
      </w:r>
      <w:r>
        <w:t xml:space="preserve">stable identifier — a real user ID, not a session token — and see exactly why the flag resolved</w:t>
      </w:r>
      <w:r>
        <w:t xml:space="preserve"> </w:t>
      </w:r>
      <w:r>
        <w:t xml:space="preserve">the way it did: the bucket it landed in, whether a targeting rule excluded it first. Running the</w:t>
      </w:r>
      <w:r>
        <w:t xml:space="preserve"> </w:t>
      </w:r>
      <w:r>
        <w:t xml:space="preserve">same identifier twice</w:t>
      </w:r>
      <w:r>
        <w:t xml:space="preserve">”</w:t>
      </w:r>
      <w:r>
        <w:t xml:space="preserve"> </w:t>
      </w:r>
      <w:r>
        <w:rPr>
          <w:iCs/>
          <w:i/>
        </w:rPr>
        <w:t xml:space="preserve">(re-run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user-1</w:t>
      </w:r>
      <w:r>
        <w:rPr>
          <w:iCs/>
          <w:i/>
        </w:rPr>
        <w:t xml:space="preserve">)</w:t>
      </w:r>
      <w:r>
        <w:t xml:space="preserve"> </w:t>
      </w:r>
      <w:r>
        <w:t xml:space="preserve">“</w:t>
      </w:r>
      <w:r>
        <w:t xml:space="preserve">gives the identical result both times — that’s the</w:t>
      </w:r>
      <w:r>
        <w:t xml:space="preserve"> </w:t>
      </w:r>
      <w:r>
        <w:t xml:space="preserve">deterministic-hash guarantee, not a coin flip.</w:t>
      </w:r>
      <w:r>
        <w:t xml:space="preserve">”</w:t>
      </w:r>
    </w:p>
    <w:bookmarkEnd w:id="32"/>
    <w:bookmarkStart w:id="33" w:name="X98bd6280ce1242f8470164606b5ac012a7097f4"/>
    <w:p>
      <w:pPr>
        <w:pStyle w:val="Heading2"/>
      </w:pPr>
      <w:r>
        <w:t xml:space="preserve">B.5 Edit, version bump, and audit diff</w:t>
      </w:r>
      <w:r>
        <w:t xml:space="preserve"> </w:t>
      </w:r>
      <w:r>
        <w:rPr>
          <w:bCs/>
          <w:b/>
        </w:rPr>
        <w:t xml:space="preserve">[CORE]</w:t>
      </w:r>
      <w:r>
        <w:t xml:space="preserve"> </w:t>
      </w:r>
      <w:r>
        <w:t xml:space="preserve">(1.5 min)</w:t>
      </w:r>
    </w:p>
    <w:p>
      <w:pPr>
        <w:pStyle w:val="FirstParagraph"/>
      </w:pPr>
      <w:r>
        <w:rPr>
          <w:bCs/>
          <w:b/>
        </w:rPr>
        <w:t xml:space="preserve">Show:</w:t>
      </w:r>
      <w:r>
        <w:t xml:space="preserve"> </w:t>
      </w:r>
      <w:r>
        <w:t xml:space="preserve">edit the flag (change rollout to 50%), submit, then open the Audit history tab and</w:t>
      </w:r>
      <w:r>
        <w:t xml:space="preserve"> </w:t>
      </w:r>
      <w:r>
        <w:t xml:space="preserve">click</w:t>
      </w:r>
      <w:r>
        <w:t xml:space="preserve"> </w:t>
      </w:r>
      <w:r>
        <w:t xml:space="preserve">“</w:t>
      </w:r>
      <w:r>
        <w:t xml:space="preserve">View diff</w:t>
      </w:r>
      <w:r>
        <w:t xml:space="preserve">”</w:t>
      </w:r>
      <w:r>
        <w:t xml:space="preserve"> </w:t>
      </w:r>
      <w:r>
        <w:t xml:space="preserve">on the resulting UPDATE entry.</w:t>
      </w:r>
    </w:p>
    <w:p>
      <w:pPr>
        <w:pStyle w:val="BodyText"/>
      </w:pPr>
      <w:r>
        <w:rPr>
          <w:bCs/>
          <w:b/>
        </w:rPr>
        <w:t xml:space="preserve">Say:</w:t>
      </w:r>
      <w:r>
        <w:t xml:space="preserve"> </w:t>
      </w:r>
      <w:r>
        <w:t xml:space="preserve">“</w:t>
      </w:r>
      <w:r>
        <w:t xml:space="preserve">Editing bumps the version and writes an immutable audit row in the same transaction —</w:t>
      </w:r>
      <w:r>
        <w:t xml:space="preserve"> </w:t>
      </w:r>
      <w:r>
        <w:t xml:space="preserve">either both happen or neither does. The diff view shows exactly what changed: rollout percentage</w:t>
      </w:r>
      <w:r>
        <w:t xml:space="preserve"> </w:t>
      </w:r>
      <w:r>
        <w:t xml:space="preserve">10 to 50, in this case, who did it, and when.</w:t>
      </w:r>
      <w:r>
        <w:t xml:space="preserve">”</w:t>
      </w:r>
    </w:p>
    <w:bookmarkEnd w:id="33"/>
    <w:bookmarkStart w:id="34" w:name="b.6-stale-version-conflict-core-2-min"/>
    <w:p>
      <w:pPr>
        <w:pStyle w:val="Heading2"/>
      </w:pPr>
      <w:r>
        <w:t xml:space="preserve">B.6 Stale-version conflict</w:t>
      </w:r>
      <w:r>
        <w:t xml:space="preserve"> </w:t>
      </w:r>
      <w:r>
        <w:rPr>
          <w:bCs/>
          <w:b/>
        </w:rPr>
        <w:t xml:space="preserve">[CORE]</w:t>
      </w:r>
      <w:r>
        <w:t xml:space="preserve"> </w:t>
      </w:r>
      <w:r>
        <w:t xml:space="preserve">(2 min)</w:t>
      </w:r>
    </w:p>
    <w:p>
      <w:pPr>
        <w:pStyle w:val="FirstParagraph"/>
      </w:pPr>
      <w:r>
        <w:rPr>
          <w:bCs/>
          <w:b/>
        </w:rPr>
        <w:t xml:space="preserve">Show:</w:t>
      </w:r>
      <w:r>
        <w:t xml:space="preserve"> </w:t>
      </w:r>
      <w:r>
        <w:t xml:space="preserve">open the edit dialog for the same flag in the browser (don’t submit yet); in a terminal,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PUT</w:t>
      </w:r>
      <w:r>
        <w:t xml:space="preserve"> </w:t>
      </w:r>
      <w:r>
        <w:t xml:space="preserve">to the same flag with the</w:t>
      </w:r>
      <w:r>
        <w:t xml:space="preserve"> </w:t>
      </w:r>
      <w:r>
        <w:rPr>
          <w:iCs/>
          <w:i/>
        </w:rPr>
        <w:t xml:space="preserve">current</w:t>
      </w:r>
      <w:r>
        <w:t xml:space="preserve"> </w:t>
      </w:r>
      <w:r>
        <w:t xml:space="preserve">version to make an out-of-band change; then</w:t>
      </w:r>
      <w:r>
        <w:t xml:space="preserve"> </w:t>
      </w:r>
      <w:r>
        <w:t xml:space="preserve">submit the still-open browser edit dialog.</w:t>
      </w:r>
    </w:p>
    <w:p>
      <w:pPr>
        <w:pStyle w:val="SourceCode"/>
      </w:pPr>
      <w:r>
        <w:rPr>
          <w:rStyle w:val="VariableTok"/>
        </w:rPr>
        <w:t xml:space="preserve">TOKEN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http://localhost:8080/api/v1/auth/login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'{"email":"admin@example.com","password":"Password123!"}'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sys,json; print(json.load(sys.stdin)['accessToken'])"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PUT http://localhost:8080/api/v1/flags/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flag-id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'{"name":"Checkout Redesign","enabled":true,"rolloutPercentage":75,"targetingRules":[],"expectedVersion":&lt;current-version&gt;}'</w:t>
      </w:r>
    </w:p>
    <w:p>
      <w:pPr>
        <w:pStyle w:val="FirstParagraph"/>
      </w:pPr>
      <w:r>
        <w:rPr>
          <w:bCs/>
          <w:b/>
        </w:rPr>
        <w:t xml:space="preserve">Say:</w:t>
      </w:r>
      <w:r>
        <w:t xml:space="preserve"> </w:t>
      </w:r>
      <w:r>
        <w:t xml:space="preserve">“</w:t>
      </w:r>
      <w:r>
        <w:t xml:space="preserve">This is the concurrent-edit scenario the assessment specifically asks for. I have the</w:t>
      </w:r>
      <w:r>
        <w:t xml:space="preserve"> </w:t>
      </w:r>
      <w:r>
        <w:t xml:space="preserve">edit dialog open with the version I originally loaded; meanwhile, someone else — simulated here</w:t>
      </w:r>
      <w:r>
        <w:t xml:space="preserve"> </w:t>
      </w:r>
      <w:r>
        <w:t xml:space="preserve">with a direct API call — changes the same flag first. When I submit my now-stale edit, the</w:t>
      </w:r>
      <w:r>
        <w:t xml:space="preserve"> </w:t>
      </w:r>
      <w:r>
        <w:t xml:space="preserve">backend rejects it with a</w:t>
      </w:r>
      <w:r>
        <w:t xml:space="preserve"> </w:t>
      </w:r>
      <w:r>
        <w:rPr>
          <w:rStyle w:val="VerbatimChar"/>
        </w:rPr>
        <w:t xml:space="preserve">409</w:t>
      </w:r>
      <w:r>
        <w:t xml:space="preserve">, and the frontend surfaces that explicitly rather than silently</w:t>
      </w:r>
      <w:r>
        <w:t xml:space="preserve"> </w:t>
      </w:r>
      <w:r>
        <w:t xml:space="preserve">overwriting the other person’s change or silently discarding mine.</w:t>
      </w:r>
      <w:r>
        <w:t xml:space="preserve">”</w:t>
      </w:r>
    </w:p>
    <w:bookmarkEnd w:id="34"/>
    <w:bookmarkStart w:id="35" w:name="b.7-ai-rule-assistant-core-2.5-min"/>
    <w:p>
      <w:pPr>
        <w:pStyle w:val="Heading2"/>
      </w:pPr>
      <w:r>
        <w:t xml:space="preserve">B.7 AI Rule Assistant</w:t>
      </w:r>
      <w:r>
        <w:t xml:space="preserve"> </w:t>
      </w:r>
      <w:r>
        <w:rPr>
          <w:bCs/>
          <w:b/>
        </w:rPr>
        <w:t xml:space="preserve">[CORE]</w:t>
      </w:r>
      <w:r>
        <w:t xml:space="preserve"> </w:t>
      </w:r>
      <w:r>
        <w:t xml:space="preserve">(2.5 min)</w:t>
      </w:r>
    </w:p>
    <w:p>
      <w:pPr>
        <w:pStyle w:val="FirstParagraph"/>
      </w:pPr>
      <w:r>
        <w:rPr>
          <w:bCs/>
          <w:b/>
        </w:rPr>
        <w:t xml:space="preserve">Show:</w:t>
      </w:r>
      <w:r>
        <w:t xml:space="preserve"> </w:t>
      </w:r>
      <w:r>
        <w:t xml:space="preserve">open the AI Rule Assistant, type the assessment’s own canonical example:</w:t>
      </w:r>
      <w:r>
        <w:t xml:space="preserve"> </w:t>
      </w:r>
      <w:r>
        <w:t xml:space="preserve">“</w:t>
      </w:r>
      <w:r>
        <w:t xml:space="preserve">enable this</w:t>
      </w:r>
      <w:r>
        <w:t xml:space="preserve"> </w:t>
      </w:r>
      <w:r>
        <w:t xml:space="preserve">for 20% of users in Harare except internal staff.</w:t>
      </w:r>
      <w:r>
        <w:t xml:space="preserve">”</w:t>
      </w:r>
      <w:r>
        <w:t xml:space="preserve"> </w:t>
      </w:r>
      <w:r>
        <w:t xml:space="preserve">Submit, show the labeled proposal (strategy,</w:t>
      </w:r>
      <w:r>
        <w:t xml:space="preserve"> </w:t>
      </w:r>
      <w:r>
        <w:t xml:space="preserve">percentage, rules, explanation), click Apply, show it pre-fills the create-flag form — untouched</w:t>
      </w:r>
      <w:r>
        <w:t xml:space="preserve"> </w:t>
      </w:r>
      <w:r>
        <w:t xml:space="preserve">until explicitly submitted.</w:t>
      </w:r>
    </w:p>
    <w:p>
      <w:pPr>
        <w:pStyle w:val="BodyText"/>
      </w:pPr>
      <w:r>
        <w:rPr>
          <w:bCs/>
          <w:b/>
        </w:rPr>
        <w:t xml:space="preserve">Say:</w:t>
      </w:r>
      <w:r>
        <w:t xml:space="preserve"> </w:t>
      </w:r>
      <w:r>
        <w:t xml:space="preserve">“</w:t>
      </w:r>
      <w:r>
        <w:t xml:space="preserve">This is the assessment’s own example sentence. The assistant proposes a structured</w:t>
      </w:r>
      <w:r>
        <w:t xml:space="preserve"> </w:t>
      </w:r>
      <w:r>
        <w:t xml:space="preserve">rule — 20% rollout, a targeting rule for Harare, an exclusion for internal staff — with an</w:t>
      </w:r>
      <w:r>
        <w:t xml:space="preserve"> </w:t>
      </w:r>
      <w:r>
        <w:t xml:space="preserve">explanation of its reasoning. Critically: applying this only pre-fills the create form. Nothing</w:t>
      </w:r>
      <w:r>
        <w:t xml:space="preserve"> </w:t>
      </w:r>
      <w:r>
        <w:t xml:space="preserve">is saved yet. I still have to review it and explicitly submit, going through the exact same</w:t>
      </w:r>
      <w:r>
        <w:t xml:space="preserve"> </w:t>
      </w:r>
      <w:r>
        <w:t xml:space="preserve">validation, audit trail, and optimistic-concurrency path as any manually-authored flag. There is</w:t>
      </w:r>
      <w:r>
        <w:t xml:space="preserve"> </w:t>
      </w:r>
      <w:r>
        <w:t xml:space="preserve">no code path from</w:t>
      </w:r>
      <w:r>
        <w:t xml:space="preserve"> </w:t>
      </w:r>
      <w:r>
        <w:t xml:space="preserve">‘</w:t>
      </w:r>
      <w:r>
        <w:t xml:space="preserve">the model said so</w:t>
      </w:r>
      <w:r>
        <w:t xml:space="preserve">’</w:t>
      </w:r>
      <w:r>
        <w:t xml:space="preserve"> </w:t>
      </w:r>
      <w:r>
        <w:t xml:space="preserve">to a saved flag.</w:t>
      </w:r>
      <w:r>
        <w:t xml:space="preserve">”</w:t>
      </w:r>
    </w:p>
    <w:p>
      <w:pPr>
        <w:pStyle w:val="BodyText"/>
      </w:pPr>
      <w:r>
        <w:rPr>
          <w:iCs/>
          <w:i/>
        </w:rPr>
        <w:t xml:space="preserve">(If demonstrating the failure path too: stop Docker Model Runner, or temporarily set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AI_PROVIDER</w:t>
      </w:r>
      <w:r>
        <w:rPr>
          <w:iCs/>
          <w:i/>
        </w:rPr>
        <w:t xml:space="preserve"> </w:t>
      </w:r>
      <w:r>
        <w:rPr>
          <w:iCs/>
          <w:i/>
        </w:rPr>
        <w:t xml:space="preserve">to a bad value, and show the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503</w:t>
      </w:r>
      <w:r>
        <w:rPr>
          <w:iCs/>
          <w:i/>
        </w:rPr>
        <w:t xml:space="preserve"> </w:t>
      </w:r>
      <w:r>
        <w:rPr>
          <w:iCs/>
          <w:i/>
        </w:rPr>
        <w:t xml:space="preserve">—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Unable to generate a rule proposal right now.</w:t>
      </w:r>
      <w:r>
        <w:rPr>
          <w:iCs/>
          <w:i/>
        </w:rPr>
        <w:t xml:space="preserve"> </w:t>
      </w:r>
      <w:r>
        <w:rPr>
          <w:iCs/>
          <w:i/>
        </w:rPr>
        <w:t xml:space="preserve">You can configure the rule manually.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— with no leaked internal detail.)</w:t>
      </w:r>
    </w:p>
    <w:bookmarkEnd w:id="35"/>
    <w:bookmarkStart w:id="36" w:name="b.8-role-based-access-control-1.5-min"/>
    <w:p>
      <w:pPr>
        <w:pStyle w:val="Heading2"/>
      </w:pPr>
      <w:r>
        <w:t xml:space="preserve">B.8 Role-based access control (1.5 min)</w:t>
      </w:r>
    </w:p>
    <w:p>
      <w:pPr>
        <w:pStyle w:val="FirstParagraph"/>
      </w:pPr>
      <w:r>
        <w:rPr>
          <w:bCs/>
          <w:b/>
        </w:rPr>
        <w:t xml:space="preserve">Show:</w:t>
      </w:r>
      <w:r>
        <w:t xml:space="preserve"> </w:t>
      </w:r>
      <w:r>
        <w:t xml:space="preserve">in a second browser window, log in as</w:t>
      </w:r>
      <w:r>
        <w:t xml:space="preserve"> </w:t>
      </w:r>
      <w:r>
        <w:rPr>
          <w:rStyle w:val="VerbatimChar"/>
        </w:rPr>
        <w:t xml:space="preserve">viewer@example.com</w:t>
      </w:r>
      <w:r>
        <w:t xml:space="preserve">. Show the Create/Edit/Delete</w:t>
      </w:r>
      <w:r>
        <w:t xml:space="preserve"> </w:t>
      </w:r>
      <w:r>
        <w:t xml:space="preserve">buttons are absent. Then attempt the same mutating call via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with the viewer’s token,</w:t>
      </w:r>
      <w:r>
        <w:t xml:space="preserve"> </w:t>
      </w:r>
      <w:r>
        <w:t xml:space="preserve">showing a real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p>
      <w:pPr>
        <w:pStyle w:val="SourceCode"/>
      </w:pPr>
      <w:r>
        <w:rPr>
          <w:rStyle w:val="VariableTok"/>
        </w:rPr>
        <w:t xml:space="preserve">VIEWER_TOKEN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http://localhost:8080/api/v1/auth/login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'{"email":"viewer@example.com","password":"Password123!"}'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sys,json; print(json.load(sys.stdin)['accessToken'])"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http://localhost:8080/api/v1/flags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$VIEWER_TOKEN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'{"key":"viewer-attempt","name":"x","environmentId":"&lt;any-id&gt;","type":"BOOLEAN","enabled":true}'</w:t>
      </w:r>
    </w:p>
    <w:p>
      <w:pPr>
        <w:pStyle w:val="FirstParagraph"/>
      </w:pPr>
      <w:r>
        <w:rPr>
          <w:bCs/>
          <w:b/>
        </w:rPr>
        <w:t xml:space="preserve">Say:</w:t>
      </w:r>
      <w:r>
        <w:t xml:space="preserve"> </w:t>
      </w:r>
      <w:r>
        <w:t xml:space="preserve">“</w:t>
      </w:r>
      <w:r>
        <w:t xml:space="preserve">The frontend hides these buttons for a VIEWER, but that’s a UX nicety, not the security</w:t>
      </w:r>
      <w:r>
        <w:t xml:space="preserve"> </w:t>
      </w:r>
      <w:r>
        <w:t xml:space="preserve">boundary. Calling the same endpoint directly with a viewer’s token still gets a real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— the</w:t>
      </w:r>
      <w:r>
        <w:t xml:space="preserve"> </w:t>
      </w:r>
      <w:r>
        <w:t xml:space="preserve">authorization check is server-side, on every mutating endpoint, with no exceptions.</w:t>
      </w:r>
      <w:r>
        <w:t xml:space="preserve">”</w:t>
      </w:r>
    </w:p>
    <w:bookmarkEnd w:id="36"/>
    <w:bookmarkStart w:id="37" w:name="b.9-failure-path-redis-down-core-2-min"/>
    <w:p>
      <w:pPr>
        <w:pStyle w:val="Heading2"/>
      </w:pPr>
      <w:r>
        <w:t xml:space="preserve">B.9 Failure path: Redis down</w:t>
      </w:r>
      <w:r>
        <w:t xml:space="preserve"> </w:t>
      </w:r>
      <w:r>
        <w:rPr>
          <w:bCs/>
          <w:b/>
        </w:rPr>
        <w:t xml:space="preserve">[CORE]</w:t>
      </w:r>
      <w:r>
        <w:t xml:space="preserve"> </w:t>
      </w:r>
      <w:r>
        <w:t xml:space="preserve">(2 min)</w:t>
      </w:r>
    </w:p>
    <w:p>
      <w:pPr>
        <w:pStyle w:val="FirstParagraph"/>
      </w:pPr>
      <w:r>
        <w:rPr>
          <w:bCs/>
          <w:b/>
        </w:rPr>
        <w:t xml:space="preserve">Show:</w:t>
      </w:r>
      <w:r>
        <w:t xml:space="preserve"> </w:t>
      </w:r>
      <w:r>
        <w:t xml:space="preserve">stop Redis (</w:t>
      </w:r>
      <w:r>
        <w:rPr>
          <w:rStyle w:val="VerbatimChar"/>
        </w:rPr>
        <w:t xml:space="preserve">docker compose stop redis</w:t>
      </w:r>
      <w:r>
        <w:t xml:space="preserve">, or kill the native process), re-run the</w:t>
      </w:r>
      <w:r>
        <w:t xml:space="preserve"> </w:t>
      </w:r>
      <w:r>
        <w:t xml:space="preserve">evaluation playground on the same flag, show it still resolves correctly. Optionally show the</w:t>
      </w:r>
      <w:r>
        <w:t xml:space="preserve"> </w:t>
      </w:r>
      <w:r>
        <w:t xml:space="preserve">response’s</w:t>
      </w:r>
      <w:r>
        <w:t xml:space="preserve"> </w:t>
      </w:r>
      <w:r>
        <w:rPr>
          <w:rStyle w:val="VerbatimChar"/>
        </w:rPr>
        <w:t xml:space="preserve">cacheHit: false</w:t>
      </w:r>
      <w:r>
        <w:t xml:space="preserve"> </w:t>
      </w:r>
      <w:r>
        <w:t xml:space="preserve">and slightly higher latency figure. Restart Redis afterward.</w:t>
      </w:r>
    </w:p>
    <w:p>
      <w:pPr>
        <w:pStyle w:val="BodyText"/>
      </w:pPr>
      <w:r>
        <w:rPr>
          <w:bCs/>
          <w:b/>
        </w:rPr>
        <w:t xml:space="preserve">Say:</w:t>
      </w:r>
      <w:r>
        <w:t xml:space="preserve"> </w:t>
      </w:r>
      <w:r>
        <w:t xml:space="preserve">“</w:t>
      </w:r>
      <w:r>
        <w:t xml:space="preserve">This is the failure path the assessment explicitly asks to see. Redis is the evaluation</w:t>
      </w:r>
      <w:r>
        <w:t xml:space="preserve"> </w:t>
      </w:r>
      <w:r>
        <w:t xml:space="preserve">cache, not the source of truth — Postgres is. With Redis stopped, the exact same evaluation call</w:t>
      </w:r>
      <w:r>
        <w:t xml:space="preserve"> </w:t>
      </w:r>
      <w:r>
        <w:t xml:space="preserve">still returns the correct result; it’s just a little slower, because it fell back to Postgres.</w:t>
      </w:r>
      <w:r>
        <w:t xml:space="preserve"> </w:t>
      </w:r>
      <w:r>
        <w:t xml:space="preserve">The request never fails — that’s the whole point of the cache-aside design.</w:t>
      </w:r>
      <w:r>
        <w:t xml:space="preserve">”</w:t>
      </w:r>
    </w:p>
    <w:bookmarkEnd w:id="37"/>
    <w:bookmarkStart w:id="38" w:name="b.10-automated-tests-core-1-min"/>
    <w:p>
      <w:pPr>
        <w:pStyle w:val="Heading2"/>
      </w:pPr>
      <w:r>
        <w:t xml:space="preserve">B.10 Automated tests</w:t>
      </w:r>
      <w:r>
        <w:t xml:space="preserve"> </w:t>
      </w:r>
      <w:r>
        <w:rPr>
          <w:bCs/>
          <w:b/>
        </w:rPr>
        <w:t xml:space="preserve">[CORE]</w:t>
      </w:r>
      <w:r>
        <w:t xml:space="preserve"> </w:t>
      </w:r>
      <w:r>
        <w:t xml:space="preserve">(1 min)</w:t>
      </w:r>
    </w:p>
    <w:p>
      <w:pPr>
        <w:pStyle w:val="FirstParagraph"/>
      </w:pPr>
      <w:r>
        <w:rPr>
          <w:bCs/>
          <w:b/>
        </w:rPr>
        <w:t xml:space="preserve">Show:</w:t>
      </w:r>
      <w:r>
        <w:t xml:space="preserve"> </w:t>
      </w:r>
      <w:r>
        <w:t xml:space="preserve">terminal,</w:t>
      </w:r>
      <w:r>
        <w:t xml:space="preserve"> </w:t>
      </w:r>
      <w:r>
        <w:rPr>
          <w:rStyle w:val="VerbatimChar"/>
        </w:rPr>
        <w:t xml:space="preserve">./mvnw test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pnpm test</w:t>
      </w:r>
      <w:r>
        <w:t xml:space="preserve">, both passing.</w:t>
      </w:r>
    </w:p>
    <w:p>
      <w:pPr>
        <w:pStyle w:val="BodyText"/>
      </w:pPr>
      <w:r>
        <w:rPr>
          <w:bCs/>
          <w:b/>
        </w:rPr>
        <w:t xml:space="preserve">Say:</w:t>
      </w:r>
      <w:r>
        <w:t xml:space="preserve"> </w:t>
      </w:r>
      <w:r>
        <w:t xml:space="preserve">“</w:t>
      </w:r>
      <w:r>
        <w:t xml:space="preserve">58 backend tests, 19 frontend tests, all passing — unit tests on the evaluation engine</w:t>
      </w:r>
      <w:r>
        <w:t xml:space="preserve"> </w:t>
      </w:r>
      <w:r>
        <w:t xml:space="preserve">and AI validation pipeline, real-Postgres/Redis integration tests, full HTTP API tests, and</w:t>
      </w:r>
      <w:r>
        <w:t xml:space="preserve"> </w:t>
      </w:r>
      <w:r>
        <w:t xml:space="preserve">component tests on the frontend’s more complex interactive states.</w:t>
      </w:r>
      <w:r>
        <w:t xml:space="preserve">”</w:t>
      </w:r>
    </w:p>
    <w:bookmarkEnd w:id="38"/>
    <w:bookmarkStart w:id="39" w:name="b.11-swagger-api-documentation-1-min"/>
    <w:p>
      <w:pPr>
        <w:pStyle w:val="Heading2"/>
      </w:pPr>
      <w:r>
        <w:t xml:space="preserve">B.11 Swagger / API documentation (1 min)</w:t>
      </w:r>
    </w:p>
    <w:p>
      <w:pPr>
        <w:pStyle w:val="FirstParagraph"/>
      </w:pPr>
      <w:r>
        <w:rPr>
          <w:bCs/>
          <w:b/>
        </w:rPr>
        <w:t xml:space="preserve">Show:</w:t>
      </w:r>
      <w:r>
        <w:t xml:space="preserve"> </w:t>
      </w:r>
      <w:r>
        <w:rPr>
          <w:rStyle w:val="VerbatimChar"/>
        </w:rPr>
        <w:t xml:space="preserve">http://localhost:8080/swagger-ui.html</w:t>
      </w:r>
      <w:r>
        <w:t xml:space="preserve">, click Authorize, paste a token, expand the AI</w:t>
      </w:r>
      <w:r>
        <w:t xml:space="preserve"> </w:t>
      </w:r>
      <w:r>
        <w:t xml:space="preserve">endpoint to show the documented</w:t>
      </w:r>
      <w:r>
        <w:t xml:space="preserve"> </w:t>
      </w:r>
      <w:r>
        <w:rPr>
          <w:rStyle w:val="VerbatimChar"/>
        </w:rPr>
        <w:t xml:space="preserve">503</w:t>
      </w:r>
      <w:r>
        <w:t xml:space="preserve"> </w:t>
      </w:r>
      <w:r>
        <w:t xml:space="preserve">response.</w:t>
      </w:r>
    </w:p>
    <w:p>
      <w:pPr>
        <w:pStyle w:val="BodyText"/>
      </w:pPr>
      <w:r>
        <w:rPr>
          <w:bCs/>
          <w:b/>
        </w:rPr>
        <w:t xml:space="preserve">Say:</w:t>
      </w:r>
      <w:r>
        <w:t xml:space="preserve"> </w:t>
      </w:r>
      <w:r>
        <w:t xml:space="preserve">“</w:t>
      </w:r>
      <w:r>
        <w:t xml:space="preserve">Every endpoint here documents every status code it can actually return, including the</w:t>
      </w:r>
      <w:r>
        <w:t xml:space="preserve"> </w:t>
      </w:r>
      <w:r>
        <w:t xml:space="preserve">specific error shape — this isn’t generated boilerplate, every response was written and verified</w:t>
      </w:r>
      <w:r>
        <w:t xml:space="preserve"> </w:t>
      </w:r>
      <w:r>
        <w:t xml:space="preserve">against what the API genuinely does. Authorize once, and every protected endpoint is directly</w:t>
      </w:r>
      <w:r>
        <w:t xml:space="preserve"> </w:t>
      </w:r>
      <w:r>
        <w:t xml:space="preserve">testable from this page.</w:t>
      </w:r>
      <w:r>
        <w:t xml:space="preserve">”</w:t>
      </w:r>
    </w:p>
    <w:bookmarkEnd w:id="39"/>
    <w:bookmarkStart w:id="40" w:name="b.12-dark-mode-15s"/>
    <w:p>
      <w:pPr>
        <w:pStyle w:val="Heading2"/>
      </w:pPr>
      <w:r>
        <w:t xml:space="preserve">B.12 Dark mode (15s)</w:t>
      </w:r>
    </w:p>
    <w:p>
      <w:pPr>
        <w:pStyle w:val="FirstParagraph"/>
      </w:pPr>
      <w:r>
        <w:rPr>
          <w:bCs/>
          <w:b/>
        </w:rPr>
        <w:t xml:space="preserve">Show:</w:t>
      </w:r>
      <w:r>
        <w:t xml:space="preserve"> </w:t>
      </w:r>
      <w:r>
        <w:t xml:space="preserve">toggle the theme switch in the topbar.</w:t>
      </w:r>
    </w:p>
    <w:p>
      <w:pPr>
        <w:pStyle w:val="BodyText"/>
      </w:pPr>
      <w:r>
        <w:rPr>
          <w:bCs/>
          <w:b/>
        </w:rPr>
        <w:t xml:space="preserve">Say:</w:t>
      </w:r>
      <w:r>
        <w:t xml:space="preserve"> </w:t>
      </w:r>
      <w:r>
        <w:t xml:space="preserve">“</w:t>
      </w:r>
      <w:r>
        <w:t xml:space="preserve">Full light/dark theming, driven by CSS variables — a quick thing to show, not load-</w:t>
      </w:r>
      <w:r>
        <w:t xml:space="preserve"> </w:t>
      </w:r>
      <w:r>
        <w:t xml:space="preserve">bearing, but it’s there.</w:t>
      </w:r>
      <w:r>
        <w:t xml:space="preserve">”</w:t>
      </w:r>
    </w:p>
    <w:bookmarkEnd w:id="40"/>
    <w:bookmarkStart w:id="41" w:name="Xb163d22bb6be35c7633c502ae97497a0be835c4"/>
    <w:p>
      <w:pPr>
        <w:pStyle w:val="Heading2"/>
      </w:pPr>
      <w:r>
        <w:t xml:space="preserve">B.13 Stretch goal: live flag-change updates (2 min)</w:t>
      </w:r>
    </w:p>
    <w:p>
      <w:pPr>
        <w:pStyle w:val="FirstParagraph"/>
      </w:pPr>
      <w:r>
        <w:rPr>
          <w:bCs/>
          <w:b/>
        </w:rPr>
        <w:t xml:space="preserve">Show:</w:t>
      </w:r>
      <w:r>
        <w:t xml:space="preserve"> </w:t>
      </w:r>
      <w:r>
        <w:t xml:space="preserve">two browser windows/tabs side by side, both on the Feature Flags list page. Point out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Live</w:t>
      </w:r>
      <w:r>
        <w:t xml:space="preserve">”</w:t>
      </w:r>
      <w:r>
        <w:t xml:space="preserve"> </w:t>
      </w:r>
      <w:r>
        <w:t xml:space="preserve">indicator (green dot) in the topbar of each. In one, edit a flag (or run the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rPr>
          <w:rStyle w:val="VerbatimChar"/>
        </w:rPr>
        <w:t xml:space="preserve">PUT</w:t>
      </w:r>
      <w:r>
        <w:t xml:space="preserve"> </w:t>
      </w:r>
      <w:r>
        <w:t xml:space="preserve">from B.6 again) — show the</w:t>
      </w:r>
      <w:r>
        <w:t xml:space="preserve"> </w:t>
      </w:r>
      <w:r>
        <w:rPr>
          <w:iCs/>
          <w:i/>
        </w:rPr>
        <w:t xml:space="preserve">other</w:t>
      </w:r>
      <w:r>
        <w:t xml:space="preserve"> </w:t>
      </w:r>
      <w:r>
        <w:t xml:space="preserve">window’s list update the changed row with no manual</w:t>
      </w:r>
      <w:r>
        <w:t xml:space="preserve"> </w:t>
      </w:r>
      <w:r>
        <w:t xml:space="preserve">refresh.</w:t>
      </w:r>
    </w:p>
    <w:p>
      <w:pPr>
        <w:pStyle w:val="BodyText"/>
      </w:pPr>
      <w:r>
        <w:rPr>
          <w:bCs/>
          <w:b/>
        </w:rPr>
        <w:t xml:space="preserve">Say:</w:t>
      </w:r>
      <w:r>
        <w:t xml:space="preserve"> </w:t>
      </w:r>
      <w:r>
        <w:t xml:space="preserve">“</w:t>
      </w:r>
      <w:r>
        <w:t xml:space="preserve">This is one of the optional stretch goals — Server-Sent Events, not WebSocket, because</w:t>
      </w:r>
      <w:r>
        <w:t xml:space="preserve"> </w:t>
      </w:r>
      <w:r>
        <w:t xml:space="preserve">the traffic here is genuinely one-way: a flag changed, go refetch. Watch this tab — I’m not going</w:t>
      </w:r>
      <w:r>
        <w:t xml:space="preserve"> </w:t>
      </w:r>
      <w:r>
        <w:t xml:space="preserve">to touch it — while I edit the same flag from this other window. No refresh, no polling interval</w:t>
      </w:r>
      <w:r>
        <w:t xml:space="preserve"> </w:t>
      </w:r>
      <w:r>
        <w:t xml:space="preserve">elapsing — the update lands the moment the change commits on the backend.</w:t>
      </w:r>
      <w:r>
        <w:t xml:space="preserve">”</w:t>
      </w:r>
    </w:p>
    <w:bookmarkEnd w:id="41"/>
    <w:bookmarkStart w:id="42" w:name="X328d56b6f86db7e158b54374bda149d0381cbef"/>
    <w:p>
      <w:pPr>
        <w:pStyle w:val="Heading2"/>
      </w:pPr>
      <w:r>
        <w:t xml:space="preserve">B.14 Stretch goal: evaluation metrics (1 min)</w:t>
      </w:r>
    </w:p>
    <w:p>
      <w:pPr>
        <w:pStyle w:val="FirstParagraph"/>
      </w:pPr>
      <w:r>
        <w:rPr>
          <w:bCs/>
          <w:b/>
        </w:rPr>
        <w:t xml:space="preserve">Show:</w:t>
      </w:r>
      <w:r>
        <w:t xml:space="preserve"> </w:t>
      </w:r>
      <w:r>
        <w:t xml:space="preserve">a flag detail page’s</w:t>
      </w:r>
      <w:r>
        <w:t xml:space="preserve"> </w:t>
      </w:r>
      <w:r>
        <w:t xml:space="preserve">“</w:t>
      </w:r>
      <w:r>
        <w:t xml:space="preserve">Evaluation metrics</w:t>
      </w:r>
      <w:r>
        <w:t xml:space="preserve">”</w:t>
      </w:r>
      <w:r>
        <w:t xml:space="preserve"> </w:t>
      </w:r>
      <w:r>
        <w:t xml:space="preserve">card, after running a few evaluations in the</w:t>
      </w:r>
      <w:r>
        <w:t xml:space="preserve"> </w:t>
      </w:r>
      <w:r>
        <w:t xml:space="preserve">playground first so there’s a non-zero count to show.</w:t>
      </w:r>
    </w:p>
    <w:p>
      <w:pPr>
        <w:pStyle w:val="BodyText"/>
      </w:pPr>
      <w:r>
        <w:rPr>
          <w:bCs/>
          <w:b/>
        </w:rPr>
        <w:t xml:space="preserve">Say:</w:t>
      </w:r>
      <w:r>
        <w:t xml:space="preserve"> </w:t>
      </w:r>
      <w:r>
        <w:t xml:space="preserve">“</w:t>
      </w:r>
      <w:r>
        <w:t xml:space="preserve">Another stretch goal — basic evaluation metrics per flag, broken down by result. This</w:t>
      </w:r>
      <w:r>
        <w:t xml:space="preserve"> </w:t>
      </w:r>
      <w:r>
        <w:t xml:space="preserve">reads the same counters the platform already collects for its Prometheus metrics endpoint, just</w:t>
      </w:r>
      <w:r>
        <w:t xml:space="preserve"> </w:t>
      </w:r>
      <w:r>
        <w:t xml:space="preserve">shaped and scoped per flag here instead of buried in raw metrics text.</w:t>
      </w:r>
      <w:r>
        <w:t xml:space="preserve">”</w:t>
      </w:r>
    </w:p>
    <w:bookmarkEnd w:id="42"/>
    <w:bookmarkStart w:id="43" w:name="X1164e1b1aa54af4f3d3fde8df534978bd150059"/>
    <w:p>
      <w:pPr>
        <w:pStyle w:val="Heading2"/>
      </w:pPr>
      <w:r>
        <w:t xml:space="preserve">B.15 Stretch goal: sample SDK client (1.5 min)</w:t>
      </w:r>
    </w:p>
    <w:p>
      <w:pPr>
        <w:pStyle w:val="FirstParagraph"/>
      </w:pPr>
      <w:r>
        <w:rPr>
          <w:bCs/>
          <w:b/>
        </w:rPr>
        <w:t xml:space="preserve">Show:</w:t>
      </w:r>
      <w:r>
        <w:t xml:space="preserve"> </w:t>
      </w:r>
      <w:r>
        <w:t xml:space="preserve">terminal,</w:t>
      </w:r>
      <w:r>
        <w:t xml:space="preserve"> </w:t>
      </w:r>
      <w:r>
        <w:rPr>
          <w:rStyle w:val="VerbatimChar"/>
        </w:rPr>
        <w:t xml:space="preserve">cd examples/sdk-client &amp;&amp; node example.mjs</w:t>
      </w:r>
      <w:r>
        <w:t xml:space="preserve">, let it run to completion.</w:t>
      </w:r>
    </w:p>
    <w:p>
      <w:pPr>
        <w:pStyle w:val="BodyText"/>
      </w:pPr>
      <w:r>
        <w:rPr>
          <w:bCs/>
          <w:b/>
        </w:rPr>
        <w:t xml:space="preserve">Say:</w:t>
      </w:r>
      <w:r>
        <w:t xml:space="preserve"> </w:t>
      </w:r>
      <w:r>
        <w:t xml:space="preserve">“</w:t>
      </w:r>
      <w:r>
        <w:t xml:space="preserve">The third stretch goal — a minimal, dependency-free Node client showing how an actual</w:t>
      </w:r>
      <w:r>
        <w:t xml:space="preserve"> </w:t>
      </w:r>
      <w:r>
        <w:t xml:space="preserve">application would consume this API: log in once, evaluate a real rollout flag for several</w:t>
      </w:r>
      <w:r>
        <w:t xml:space="preserve"> </w:t>
      </w:r>
      <w:r>
        <w:t xml:space="preserve">different users, and print the results. Watch — the same identifiers produce the identical</w:t>
      </w:r>
      <w:r>
        <w:t xml:space="preserve"> </w:t>
      </w:r>
      <w:r>
        <w:t xml:space="preserve">true/false pattern every time this runs, which is external, outside-the-codebase proof the</w:t>
      </w:r>
      <w:r>
        <w:t xml:space="preserve"> </w:t>
      </w:r>
      <w:r>
        <w:t xml:space="preserve">rollout algorithm really is deterministic. It also reads the metrics endpoint and briefly</w:t>
      </w:r>
      <w:r>
        <w:t xml:space="preserve"> </w:t>
      </w:r>
      <w:r>
        <w:t xml:space="preserve">subscribes to the live-update stream, printing whatever event arrives.</w:t>
      </w:r>
      <w:r>
        <w:t xml:space="preserve">”</w:t>
      </w:r>
    </w:p>
    <w:bookmarkEnd w:id="43"/>
    <w:bookmarkStart w:id="44" w:name="b.16-delete-a-flag-30s"/>
    <w:p>
      <w:pPr>
        <w:pStyle w:val="Heading2"/>
      </w:pPr>
      <w:r>
        <w:t xml:space="preserve">B.16 Delete a flag (30s)</w:t>
      </w:r>
    </w:p>
    <w:p>
      <w:pPr>
        <w:pStyle w:val="FirstParagraph"/>
      </w:pPr>
      <w:r>
        <w:rPr>
          <w:bCs/>
          <w:b/>
        </w:rPr>
        <w:t xml:space="preserve">Show:</w:t>
      </w:r>
      <w:r>
        <w:t xml:space="preserve"> </w:t>
      </w:r>
      <w:r>
        <w:t xml:space="preserve">delete the demo flag created in B.3, confirm the dialog, show it’s gone from the list</w:t>
      </w:r>
      <w:r>
        <w:t xml:space="preserve"> </w:t>
      </w:r>
      <w:r>
        <w:t xml:space="preserve">and the DELETE entry now appears in the global audit log with the flag’s last known</w:t>
      </w:r>
      <w:r>
        <w:t xml:space="preserve"> </w:t>
      </w:r>
      <w:r>
        <w:t xml:space="preserve">configuration preserved.</w:t>
      </w:r>
    </w:p>
    <w:p>
      <w:pPr>
        <w:pStyle w:val="BodyText"/>
      </w:pPr>
      <w:r>
        <w:rPr>
          <w:bCs/>
          <w:b/>
        </w:rPr>
        <w:t xml:space="preserve">Say:</w:t>
      </w:r>
      <w:r>
        <w:t xml:space="preserve"> </w:t>
      </w:r>
      <w:r>
        <w:t xml:space="preserve">“</w:t>
      </w:r>
      <w:r>
        <w:t xml:space="preserve">Deleting a flag still records an immutable audit entry with its last known state before</w:t>
      </w:r>
      <w:r>
        <w:t xml:space="preserve"> </w:t>
      </w:r>
      <w:r>
        <w:t xml:space="preserve">removal — the audit trail never loses that history, even for a deleted flag.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closing-30s"/>
    <w:p>
      <w:pPr>
        <w:pStyle w:val="Heading1"/>
      </w:pPr>
      <w:r>
        <w:t xml:space="preserve">Closing (30s)</w:t>
      </w:r>
    </w:p>
    <w:p>
      <w:pPr>
        <w:pStyle w:val="FirstParagraph"/>
      </w:pPr>
      <w:r>
        <w:rPr>
          <w:bCs/>
          <w:b/>
        </w:rPr>
        <w:t xml:space="preserve">Say:</w:t>
      </w:r>
      <w:r>
        <w:t xml:space="preserve"> </w:t>
      </w:r>
      <w:r>
        <w:t xml:space="preserve">“</w:t>
      </w:r>
      <w:r>
        <w:t xml:space="preserve">That’s the full platform — feature flags with deterministic rollouts, an immutable</w:t>
      </w:r>
      <w:r>
        <w:t xml:space="preserve"> </w:t>
      </w:r>
      <w:r>
        <w:t xml:space="preserve">audit trail, optimistic concurrency, an AI assistant that proposes but never applies, and all</w:t>
      </w:r>
      <w:r>
        <w:t xml:space="preserve"> </w:t>
      </w:r>
      <w:r>
        <w:t xml:space="preserve">three optional stretch goals: live updates, evaluation metrics, and a sample SDK client. Every</w:t>
      </w:r>
      <w:r>
        <w:t xml:space="preserve"> </w:t>
      </w:r>
      <w:r>
        <w:t xml:space="preserve">piece of this was actually run and exercised, not just written and assumed to work — several real</w:t>
      </w:r>
      <w:r>
        <w:t xml:space="preserve"> </w:t>
      </w:r>
      <w:r>
        <w:t xml:space="preserve">bugs in this project were only caught that way, and that practice is documented in the README’s</w:t>
      </w:r>
      <w:r>
        <w:t xml:space="preserve"> </w:t>
      </w:r>
      <w:r>
        <w:t xml:space="preserve">own AI-assisted-development disclosure section, alongside every architectural trade-off made</w:t>
      </w:r>
      <w:r>
        <w:t xml:space="preserve"> </w:t>
      </w:r>
      <w:r>
        <w:t xml:space="preserve">along the way.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46"/>
    <w:bookmarkStart w:id="47" w:name="Xc1b6bc2e0de06382c6310aa6678fca8042c238c"/>
    <w:p>
      <w:pPr>
        <w:pStyle w:val="Heading1"/>
      </w:pPr>
      <w:r>
        <w:t xml:space="preserve">Suggested recording order for the 5-10 minute submission cut</w:t>
      </w:r>
    </w:p>
    <w:p>
      <w:pPr>
        <w:pStyle w:val="FirstParagraph"/>
      </w:pPr>
      <w:r>
        <w:t xml:space="preserve">Record only the</w:t>
      </w:r>
      <w:r>
        <w:t xml:space="preserve"> </w:t>
      </w:r>
      <w:r>
        <w:rPr>
          <w:bCs/>
          <w:b/>
        </w:rPr>
        <w:t xml:space="preserve">[CORE]</w:t>
      </w:r>
      <w:r>
        <w:t xml:space="preserve">-marked sections, in this order, for a demo that hits the assessment’s</w:t>
      </w:r>
      <w:r>
        <w:t xml:space="preserve"> </w:t>
      </w:r>
      <w:r>
        <w:t xml:space="preserve">own checklist (main flow, a failure path, the AI feature, and the tests) inside roughly 8-9</w:t>
      </w:r>
      <w:r>
        <w:t xml:space="preserve"> </w:t>
      </w:r>
      <w:r>
        <w:t xml:space="preserve">minutes:</w:t>
      </w:r>
    </w:p>
    <w:p>
      <w:pPr>
        <w:pStyle w:val="BodyText"/>
      </w:pPr>
      <w:r>
        <w:t xml:space="preserve">B.1 → B.3 → B.4 → B.5 → B.6 → B.7 → B.9 → B.10</w:t>
      </w:r>
    </w:p>
    <w:p>
      <w:pPr>
        <w:pStyle w:val="BodyText"/>
      </w:pPr>
      <w:r>
        <w:t xml:space="preserve">Everything else in this script — the codebase tour, RBAC, Swagger, dark mode, and all three</w:t>
      </w:r>
      <w:r>
        <w:t xml:space="preserve"> </w:t>
      </w:r>
      <w:r>
        <w:t xml:space="preserve">stretch goals — is available as a longer, fully-narrated recording if you want to produce one for</w:t>
      </w:r>
      <w:r>
        <w:t xml:space="preserve"> </w:t>
      </w:r>
      <w:r>
        <w:t xml:space="preserve">a portfolio beyond the assessment’s minimum ask.</w:t>
      </w:r>
    </w:p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Feature Flag &amp; Configuration Platform — Demo Video Script</dc:title>
  <dc:creator>Emmanuel Maneswa</dc:creator>
  <cp:keywords/>
  <dcterms:created xsi:type="dcterms:W3CDTF">2026-08-30T22:45:51Z</dcterms:created>
  <dcterms:modified xsi:type="dcterms:W3CDTF">2026-08-30T22:45:51Z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2026-08-31</vt:lpwstr>
  </property>
</Properties>
</file>