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Monitoring and Evaluation Data Platform</w:t>
      </w:r>
    </w:p>
    <w:p>
      <w:pPr>
        <w:spacing w:after="240"/>
      </w:pPr>
      <w:r>
        <w:rPr>
          <w:b/>
          <w:color w:val="415569"/>
          <w:sz w:val="24"/>
        </w:rPr>
        <w:t>General documentation for management</w:t>
      </w:r>
    </w:p>
    <w:p>
      <w:pPr>
        <w:pStyle w:val="Heading1"/>
      </w:pPr>
      <w:r>
        <w:t>Management summary</w:t>
      </w:r>
    </w:p>
    <w:p>
      <w:r>
        <w:t>The Project M&amp;E Data Platform is a browser-based application for collecting, validating, storing and reviewing project monitoring data. It gives authorized staff a common place to enter records one at a time or import them from Excel, then review results through filtered dashboards. Its current design supports nine program data areas and uses shared project, implementer and location reference data to improve consistency.</w:t>
      </w:r>
    </w:p>
    <w:p>
      <w:r>
        <w:t>The application is implemented in Streamlit and stores structured records in a MySQL database. It is a working software platform; this repository documentation does not establish that it is currently deployed, independently security-assessed, backed up, or approved for production use. Management should confirm hosting, data ownership, backup and access arrangements before relying on it for official reporting.</w:t>
      </w:r>
    </w:p>
    <w:p>
      <w:pPr>
        <w:pStyle w:val="Heading1"/>
      </w:pPr>
      <w:r>
        <w:t>Purpose and intended users</w:t>
      </w:r>
    </w:p>
    <w:p>
      <w:r>
        <w:t>The platform is intended to reduce fragmented spreadsheet collection and make routine program information easier to consolidate. Data-entry staff record activities and results; managers and monitoring staff review records and dashboard summaries; administrators manage user accounts. The repository describes administrator and standard user roles, but does not document project-by-project or record-level access restrictions.</w:t>
      </w:r>
    </w:p>
    <w:tbl>
      <w:tblPr>
        <w:tblStyle w:val="TableGrid"/>
        <w:tblW w:type="auto" w:w="0"/>
        <w:jc w:val="center"/>
        <w:tblLook w:firstColumn="1" w:firstRow="1" w:lastColumn="0" w:lastRow="0" w:noHBand="0" w:noVBand="1" w:val="04A0"/>
      </w:tblPr>
      <w:tblGrid>
        <w:gridCol w:w="4997"/>
        <w:gridCol w:w="4997"/>
      </w:tblGrid>
      <w:tr>
        <w:tc>
          <w:tcPr>
            <w:tcW w:type="dxa" w:w="1944"/>
            <w:shd w:fill="24476B"/>
          </w:tcPr>
          <w:p>
            <w:r>
              <w:rPr>
                <w:b/>
                <w:color w:val="FFFFFF"/>
                <w:sz w:val="18"/>
              </w:rPr>
              <w:t>Role</w:t>
            </w:r>
          </w:p>
        </w:tc>
        <w:tc>
          <w:tcPr>
            <w:tcW w:type="dxa" w:w="8064"/>
            <w:shd w:fill="24476B"/>
          </w:tcPr>
          <w:p>
            <w:r>
              <w:rPr>
                <w:b/>
                <w:color w:val="FFFFFF"/>
                <w:sz w:val="18"/>
              </w:rPr>
              <w:t>Current function</w:t>
            </w:r>
          </w:p>
        </w:tc>
      </w:tr>
      <w:tr>
        <w:tc>
          <w:tcPr>
            <w:tcW w:type="dxa" w:w="1944"/>
            <w:vAlign w:val="center"/>
          </w:tcPr>
          <w:p>
            <w:pPr>
              <w:spacing w:after="40"/>
            </w:pPr>
            <w:r>
              <w:rPr>
                <w:sz w:val="18"/>
              </w:rPr>
              <w:t>Data user</w:t>
            </w:r>
          </w:p>
        </w:tc>
        <w:tc>
          <w:tcPr>
            <w:tcW w:type="dxa" w:w="8064"/>
            <w:vAlign w:val="center"/>
          </w:tcPr>
          <w:p>
            <w:pPr>
              <w:spacing w:after="40"/>
            </w:pPr>
            <w:r>
              <w:rPr>
                <w:sz w:val="18"/>
              </w:rPr>
              <w:t>Sign in, submit records, upload validated workbooks, review dashboards and export filtered records.</w:t>
            </w:r>
          </w:p>
        </w:tc>
      </w:tr>
      <w:tr>
        <w:tc>
          <w:tcPr>
            <w:tcW w:type="dxa" w:w="1944"/>
            <w:vAlign w:val="center"/>
            <w:shd w:fill="F0F4F7"/>
          </w:tcPr>
          <w:p>
            <w:pPr>
              <w:spacing w:after="40"/>
            </w:pPr>
            <w:r>
              <w:rPr>
                <w:sz w:val="18"/>
              </w:rPr>
              <w:t>Administrator</w:t>
            </w:r>
          </w:p>
        </w:tc>
        <w:tc>
          <w:tcPr>
            <w:tcW w:type="dxa" w:w="8064"/>
            <w:vAlign w:val="center"/>
            <w:shd w:fill="F0F4F7"/>
          </w:tcPr>
          <w:p>
            <w:pPr>
              <w:spacing w:after="40"/>
            </w:pPr>
            <w:r>
              <w:rPr>
                <w:sz w:val="18"/>
              </w:rPr>
              <w:t>Manage accounts, roles, passwords and account status; use the data-entry features available in the app.</w:t>
            </w:r>
          </w:p>
        </w:tc>
      </w:tr>
      <w:tr>
        <w:tc>
          <w:tcPr>
            <w:tcW w:type="dxa" w:w="1944"/>
            <w:vAlign w:val="center"/>
          </w:tcPr>
          <w:p>
            <w:pPr>
              <w:spacing w:after="40"/>
            </w:pPr>
            <w:r>
              <w:rPr>
                <w:sz w:val="18"/>
              </w:rPr>
              <w:t>Management</w:t>
            </w:r>
          </w:p>
        </w:tc>
        <w:tc>
          <w:tcPr>
            <w:tcW w:type="dxa" w:w="8064"/>
            <w:vAlign w:val="center"/>
          </w:tcPr>
          <w:p>
            <w:pPr>
              <w:spacing w:after="40"/>
            </w:pPr>
            <w:r>
              <w:rPr>
                <w:sz w:val="18"/>
              </w:rPr>
              <w:t>Use the available aggregate dashboards and CSV exports for operational review; agree definitions and reporting procedures.</w:t>
            </w:r>
          </w:p>
        </w:tc>
      </w:tr>
    </w:tbl>
    <w:p>
      <w:pPr>
        <w:spacing w:after="0"/>
      </w:pPr>
    </w:p>
    <w:p>
      <w:pPr>
        <w:pStyle w:val="Heading1"/>
      </w:pPr>
      <w:r>
        <w:t>What the platform covers</w:t>
      </w:r>
    </w:p>
    <w:tbl>
      <w:tblPr>
        <w:tblStyle w:val="TableGrid"/>
        <w:tblW w:type="auto" w:w="0"/>
        <w:jc w:val="center"/>
        <w:tblLook w:firstColumn="1" w:firstRow="1" w:lastColumn="0" w:lastRow="0" w:noHBand="0" w:noVBand="1" w:val="04A0"/>
      </w:tblPr>
      <w:tblGrid>
        <w:gridCol w:w="4997"/>
        <w:gridCol w:w="4997"/>
      </w:tblGrid>
      <w:tr>
        <w:tc>
          <w:tcPr>
            <w:tcW w:type="dxa" w:w="2232"/>
            <w:shd w:fill="24476B"/>
          </w:tcPr>
          <w:p>
            <w:r>
              <w:rPr>
                <w:b/>
                <w:color w:val="FFFFFF"/>
                <w:sz w:val="18"/>
              </w:rPr>
              <w:t>Data area</w:t>
            </w:r>
          </w:p>
        </w:tc>
        <w:tc>
          <w:tcPr>
            <w:tcW w:type="dxa" w:w="7776"/>
            <w:shd w:fill="24476B"/>
          </w:tcPr>
          <w:p>
            <w:r>
              <w:rPr>
                <w:b/>
                <w:color w:val="FFFFFF"/>
                <w:sz w:val="18"/>
              </w:rPr>
              <w:t>Typical purpose</w:t>
            </w:r>
          </w:p>
        </w:tc>
      </w:tr>
      <w:tr>
        <w:tc>
          <w:tcPr>
            <w:tcW w:type="dxa" w:w="2232"/>
            <w:vAlign w:val="center"/>
          </w:tcPr>
          <w:p>
            <w:pPr>
              <w:spacing w:after="40"/>
            </w:pPr>
            <w:r>
              <w:rPr>
                <w:sz w:val="18"/>
              </w:rPr>
              <w:t>Tree plantation</w:t>
            </w:r>
          </w:p>
        </w:tc>
        <w:tc>
          <w:tcPr>
            <w:tcW w:type="dxa" w:w="7776"/>
            <w:vAlign w:val="center"/>
          </w:tcPr>
          <w:p>
            <w:pPr>
              <w:spacing w:after="40"/>
            </w:pPr>
            <w:r>
              <w:rPr>
                <w:sz w:val="18"/>
              </w:rPr>
              <w:t>Planting sites, area, tree counts, replacement and location details.</w:t>
            </w:r>
          </w:p>
        </w:tc>
      </w:tr>
      <w:tr>
        <w:tc>
          <w:tcPr>
            <w:tcW w:type="dxa" w:w="2232"/>
            <w:vAlign w:val="center"/>
            <w:shd w:fill="F0F4F7"/>
          </w:tcPr>
          <w:p>
            <w:pPr>
              <w:spacing w:after="40"/>
            </w:pPr>
            <w:r>
              <w:rPr>
                <w:sz w:val="18"/>
              </w:rPr>
              <w:t>Beneficiaries</w:t>
            </w:r>
          </w:p>
        </w:tc>
        <w:tc>
          <w:tcPr>
            <w:tcW w:type="dxa" w:w="7776"/>
            <w:vAlign w:val="center"/>
            <w:shd w:fill="F0F4F7"/>
          </w:tcPr>
          <w:p>
            <w:pPr>
              <w:spacing w:after="40"/>
            </w:pPr>
            <w:r>
              <w:rPr>
                <w:sz w:val="18"/>
              </w:rPr>
              <w:t>Beneficiary counts and categories.</w:t>
            </w:r>
          </w:p>
        </w:tc>
      </w:tr>
      <w:tr>
        <w:tc>
          <w:tcPr>
            <w:tcW w:type="dxa" w:w="2232"/>
            <w:vAlign w:val="center"/>
          </w:tcPr>
          <w:p>
            <w:pPr>
              <w:spacing w:after="40"/>
            </w:pPr>
            <w:r>
              <w:rPr>
                <w:sz w:val="18"/>
              </w:rPr>
              <w:t>BSO</w:t>
            </w:r>
          </w:p>
        </w:tc>
        <w:tc>
          <w:tcPr>
            <w:tcW w:type="dxa" w:w="7776"/>
            <w:vAlign w:val="center"/>
          </w:tcPr>
          <w:p>
            <w:pPr>
              <w:spacing w:after="40"/>
            </w:pPr>
            <w:r>
              <w:rPr>
                <w:sz w:val="18"/>
              </w:rPr>
              <w:t>Site and planting information.</w:t>
            </w:r>
          </w:p>
        </w:tc>
      </w:tr>
      <w:tr>
        <w:tc>
          <w:tcPr>
            <w:tcW w:type="dxa" w:w="2232"/>
            <w:vAlign w:val="center"/>
            <w:shd w:fill="F0F4F7"/>
          </w:tcPr>
          <w:p>
            <w:pPr>
              <w:spacing w:after="40"/>
            </w:pPr>
            <w:r>
              <w:rPr>
                <w:sz w:val="18"/>
              </w:rPr>
              <w:t>Silvo</w:t>
            </w:r>
          </w:p>
        </w:tc>
        <w:tc>
          <w:tcPr>
            <w:tcW w:type="dxa" w:w="7776"/>
            <w:vAlign w:val="center"/>
            <w:shd w:fill="F0F4F7"/>
          </w:tcPr>
          <w:p>
            <w:pPr>
              <w:spacing w:after="40"/>
            </w:pPr>
            <w:r>
              <w:rPr>
                <w:sz w:val="18"/>
              </w:rPr>
              <w:t>Agroforestry and livestock-related site records.</w:t>
            </w:r>
          </w:p>
        </w:tc>
      </w:tr>
      <w:tr>
        <w:tc>
          <w:tcPr>
            <w:tcW w:type="dxa" w:w="2232"/>
            <w:vAlign w:val="center"/>
          </w:tcPr>
          <w:p>
            <w:pPr>
              <w:spacing w:after="40"/>
            </w:pPr>
            <w:r>
              <w:rPr>
                <w:sz w:val="18"/>
              </w:rPr>
              <w:t>AF-Demo</w:t>
            </w:r>
          </w:p>
        </w:tc>
        <w:tc>
          <w:tcPr>
            <w:tcW w:type="dxa" w:w="7776"/>
            <w:vAlign w:val="center"/>
          </w:tcPr>
          <w:p>
            <w:pPr>
              <w:spacing w:after="40"/>
            </w:pPr>
            <w:r>
              <w:rPr>
                <w:sz w:val="18"/>
              </w:rPr>
              <w:t>Agroforestry demonstration site records.</w:t>
            </w:r>
          </w:p>
        </w:tc>
      </w:tr>
      <w:tr>
        <w:tc>
          <w:tcPr>
            <w:tcW w:type="dxa" w:w="2232"/>
            <w:vAlign w:val="center"/>
            <w:shd w:fill="F0F4F7"/>
          </w:tcPr>
          <w:p>
            <w:pPr>
              <w:spacing w:after="40"/>
            </w:pPr>
            <w:r>
              <w:rPr>
                <w:sz w:val="18"/>
              </w:rPr>
              <w:t>Activities</w:t>
            </w:r>
          </w:p>
        </w:tc>
        <w:tc>
          <w:tcPr>
            <w:tcW w:type="dxa" w:w="7776"/>
            <w:vAlign w:val="center"/>
            <w:shd w:fill="F0F4F7"/>
          </w:tcPr>
          <w:p>
            <w:pPr>
              <w:spacing w:after="40"/>
            </w:pPr>
            <w:r>
              <w:rPr>
                <w:sz w:val="18"/>
              </w:rPr>
              <w:t>Main and sub activities, deliverables, progress and expected results.</w:t>
            </w:r>
          </w:p>
        </w:tc>
      </w:tr>
      <w:tr>
        <w:tc>
          <w:tcPr>
            <w:tcW w:type="dxa" w:w="2232"/>
            <w:vAlign w:val="center"/>
          </w:tcPr>
          <w:p>
            <w:pPr>
              <w:spacing w:after="40"/>
            </w:pPr>
            <w:r>
              <w:rPr>
                <w:sz w:val="18"/>
              </w:rPr>
              <w:t>Indicators</w:t>
            </w:r>
          </w:p>
        </w:tc>
        <w:tc>
          <w:tcPr>
            <w:tcW w:type="dxa" w:w="7776"/>
            <w:vAlign w:val="center"/>
          </w:tcPr>
          <w:p>
            <w:pPr>
              <w:spacing w:after="40"/>
            </w:pPr>
            <w:r>
              <w:rPr>
                <w:sz w:val="18"/>
              </w:rPr>
              <w:t>Targets, reporting periods and actual values.</w:t>
            </w:r>
          </w:p>
        </w:tc>
      </w:tr>
      <w:tr>
        <w:tc>
          <w:tcPr>
            <w:tcW w:type="dxa" w:w="2232"/>
            <w:vAlign w:val="center"/>
            <w:shd w:fill="F0F4F7"/>
          </w:tcPr>
          <w:p>
            <w:pPr>
              <w:spacing w:after="40"/>
            </w:pPr>
            <w:r>
              <w:rPr>
                <w:sz w:val="18"/>
              </w:rPr>
              <w:t>Trainings</w:t>
            </w:r>
          </w:p>
        </w:tc>
        <w:tc>
          <w:tcPr>
            <w:tcW w:type="dxa" w:w="7776"/>
            <w:vAlign w:val="center"/>
            <w:shd w:fill="F0F4F7"/>
          </w:tcPr>
          <w:p>
            <w:pPr>
              <w:spacing w:after="40"/>
            </w:pPr>
            <w:r>
              <w:rPr>
                <w:sz w:val="18"/>
              </w:rPr>
              <w:t>Training events, participants, gender and supporting documents.</w:t>
            </w:r>
          </w:p>
        </w:tc>
      </w:tr>
      <w:tr>
        <w:tc>
          <w:tcPr>
            <w:tcW w:type="dxa" w:w="2232"/>
            <w:vAlign w:val="center"/>
          </w:tcPr>
          <w:p>
            <w:pPr>
              <w:spacing w:after="40"/>
            </w:pPr>
            <w:r>
              <w:rPr>
                <w:sz w:val="18"/>
              </w:rPr>
              <w:t>Jobs Created</w:t>
            </w:r>
          </w:p>
        </w:tc>
        <w:tc>
          <w:tcPr>
            <w:tcW w:type="dxa" w:w="7776"/>
            <w:vAlign w:val="center"/>
          </w:tcPr>
          <w:p>
            <w:pPr>
              <w:spacing w:after="40"/>
            </w:pPr>
            <w:r>
              <w:rPr>
                <w:sz w:val="18"/>
              </w:rPr>
              <w:t>Employment and beneficiary details.</w:t>
            </w:r>
          </w:p>
        </w:tc>
      </w:tr>
    </w:tbl>
    <w:p>
      <w:pPr>
        <w:spacing w:after="0"/>
      </w:pPr>
    </w:p>
    <w:p>
      <w:r>
        <w:t>The application also maintains user accounts and an upload register. The exact field definitions are centralized in the project schema, so a schema change affects forms, templates, validation and database creation together.</w:t>
      </w:r>
    </w:p>
    <w:p>
      <w:pPr>
        <w:pStyle w:val="Heading1"/>
      </w:pPr>
      <w:r>
        <w:t>How staff use it</w:t>
      </w:r>
    </w:p>
    <w:p>
      <w:pPr>
        <w:pStyle w:val="ListBullet"/>
      </w:pPr>
      <w:r>
        <w:t>Sign in with an administrator-created account. There is no default account or password.</w:t>
      </w:r>
    </w:p>
    <w:p>
      <w:pPr>
        <w:pStyle w:val="ListBullet"/>
      </w:pPr>
      <w:r>
        <w:t>Choose a data area from the navigation and submit a single record, or download its Excel template and prepare a bulk upload.</w:t>
      </w:r>
    </w:p>
    <w:p>
      <w:pPr>
        <w:pStyle w:val="ListBullet"/>
      </w:pPr>
      <w:r>
        <w:t>For bulk uploads, the app checks rows against required fields, field types and reference lists. Staff review a preview before confirming valid rows; invalid rows are reported with reasons.</w:t>
      </w:r>
    </w:p>
    <w:p>
      <w:pPr>
        <w:pStyle w:val="ListBullet"/>
      </w:pPr>
      <w:r>
        <w:t>Open the dashboard to filter records by Project, Implementer and Intervention, review aggregate metrics and charts, inspect records and export filtered data as CSV.</w:t>
      </w:r>
    </w:p>
    <w:p>
      <w:r>
        <w:t>Some fields use cascading choices. The bundled location reference supports District → Sector → Cell → Village; implementer choices constrain available interventions. Location combinations are validated during upload. Tree species choices remain free text unless an optional tree reference workbook is supplied.</w:t>
      </w:r>
    </w:p>
    <w:p>
      <w:pPr>
        <w:pStyle w:val="Heading1"/>
      </w:pPr>
      <w:r>
        <w:t>Information flow and technical components</w:t>
      </w:r>
    </w:p>
    <w:tbl>
      <w:tblPr>
        <w:tblStyle w:val="TableGrid"/>
        <w:tblW w:type="auto" w:w="0"/>
        <w:jc w:val="center"/>
        <w:tblLook w:firstColumn="1" w:firstRow="1" w:lastColumn="0" w:lastRow="0" w:noHBand="0" w:noVBand="1" w:val="04A0"/>
      </w:tblPr>
      <w:tblGrid>
        <w:gridCol w:w="4997"/>
        <w:gridCol w:w="4997"/>
      </w:tblGrid>
      <w:tr>
        <w:tc>
          <w:tcPr>
            <w:tcW w:type="dxa" w:w="2088"/>
            <w:shd w:fill="24476B"/>
          </w:tcPr>
          <w:p>
            <w:r>
              <w:rPr>
                <w:b/>
                <w:color w:val="FFFFFF"/>
                <w:sz w:val="18"/>
              </w:rPr>
              <w:t>Component</w:t>
            </w:r>
          </w:p>
        </w:tc>
        <w:tc>
          <w:tcPr>
            <w:tcW w:type="dxa" w:w="7920"/>
            <w:shd w:fill="24476B"/>
          </w:tcPr>
          <w:p>
            <w:r>
              <w:rPr>
                <w:b/>
                <w:color w:val="FFFFFF"/>
                <w:sz w:val="18"/>
              </w:rPr>
              <w:t>Management description</w:t>
            </w:r>
          </w:p>
        </w:tc>
      </w:tr>
      <w:tr>
        <w:tc>
          <w:tcPr>
            <w:tcW w:type="dxa" w:w="2088"/>
            <w:vAlign w:val="center"/>
          </w:tcPr>
          <w:p>
            <w:pPr>
              <w:spacing w:after="40"/>
            </w:pPr>
            <w:r>
              <w:rPr>
                <w:sz w:val="18"/>
              </w:rPr>
              <w:t>Web interface</w:t>
            </w:r>
          </w:p>
        </w:tc>
        <w:tc>
          <w:tcPr>
            <w:tcW w:type="dxa" w:w="7920"/>
            <w:vAlign w:val="center"/>
          </w:tcPr>
          <w:p>
            <w:pPr>
              <w:spacing w:after="40"/>
            </w:pPr>
            <w:r>
              <w:rPr>
                <w:sz w:val="18"/>
              </w:rPr>
              <w:t>Streamlit application with a home page, shared data-entry workflows and one page per data area.</w:t>
            </w:r>
          </w:p>
        </w:tc>
      </w:tr>
      <w:tr>
        <w:tc>
          <w:tcPr>
            <w:tcW w:type="dxa" w:w="2088"/>
            <w:vAlign w:val="center"/>
            <w:shd w:fill="F0F4F7"/>
          </w:tcPr>
          <w:p>
            <w:pPr>
              <w:spacing w:after="40"/>
            </w:pPr>
            <w:r>
              <w:rPr>
                <w:sz w:val="18"/>
              </w:rPr>
              <w:t>Validation and definitions</w:t>
            </w:r>
          </w:p>
        </w:tc>
        <w:tc>
          <w:tcPr>
            <w:tcW w:type="dxa" w:w="7920"/>
            <w:vAlign w:val="center"/>
            <w:shd w:fill="F0F4F7"/>
          </w:tcPr>
          <w:p>
            <w:pPr>
              <w:spacing w:after="40"/>
            </w:pPr>
            <w:r>
              <w:rPr>
                <w:sz w:val="18"/>
              </w:rPr>
              <w:t>Central schema defines fields; reference-data code loads project, implementer/intervention and location choices and validates imports.</w:t>
            </w:r>
          </w:p>
        </w:tc>
      </w:tr>
      <w:tr>
        <w:tc>
          <w:tcPr>
            <w:tcW w:type="dxa" w:w="2088"/>
            <w:vAlign w:val="center"/>
          </w:tcPr>
          <w:p>
            <w:pPr>
              <w:spacing w:after="40"/>
            </w:pPr>
            <w:r>
              <w:rPr>
                <w:sz w:val="18"/>
              </w:rPr>
              <w:t>Data store</w:t>
            </w:r>
          </w:p>
        </w:tc>
        <w:tc>
          <w:tcPr>
            <w:tcW w:type="dxa" w:w="7920"/>
            <w:vAlign w:val="center"/>
          </w:tcPr>
          <w:p>
            <w:pPr>
              <w:spacing w:after="40"/>
            </w:pPr>
            <w:r>
              <w:rPr>
                <w:sz w:val="18"/>
              </w:rPr>
              <w:t>MySQL database accessed through SQLAlchemy and PyMySQL. Data tables include creator, timestamp and manual/bulk source fields.</w:t>
            </w:r>
          </w:p>
        </w:tc>
      </w:tr>
      <w:tr>
        <w:tc>
          <w:tcPr>
            <w:tcW w:type="dxa" w:w="2088"/>
            <w:vAlign w:val="center"/>
            <w:shd w:fill="F0F4F7"/>
          </w:tcPr>
          <w:p>
            <w:pPr>
              <w:spacing w:after="40"/>
            </w:pPr>
            <w:r>
              <w:rPr>
                <w:sz w:val="18"/>
              </w:rPr>
              <w:t>Documents and attachments</w:t>
            </w:r>
          </w:p>
        </w:tc>
        <w:tc>
          <w:tcPr>
            <w:tcW w:type="dxa" w:w="7920"/>
            <w:vAlign w:val="center"/>
            <w:shd w:fill="F0F4F7"/>
          </w:tcPr>
          <w:p>
            <w:pPr>
              <w:spacing w:after="40"/>
            </w:pPr>
            <w:r>
              <w:rPr>
                <w:sz w:val="18"/>
              </w:rPr>
              <w:t>Uploaded supporting files are stored in the application uploads folder; database rows retain the generated filename.</w:t>
            </w:r>
          </w:p>
        </w:tc>
      </w:tr>
      <w:tr>
        <w:tc>
          <w:tcPr>
            <w:tcW w:type="dxa" w:w="2088"/>
            <w:vAlign w:val="center"/>
          </w:tcPr>
          <w:p>
            <w:pPr>
              <w:spacing w:after="40"/>
            </w:pPr>
            <w:r>
              <w:rPr>
                <w:sz w:val="18"/>
              </w:rPr>
              <w:t>Reporting</w:t>
            </w:r>
          </w:p>
        </w:tc>
        <w:tc>
          <w:tcPr>
            <w:tcW w:type="dxa" w:w="7920"/>
            <w:vAlign w:val="center"/>
          </w:tcPr>
          <w:p>
            <w:pPr>
              <w:spacing w:after="40"/>
            </w:pPr>
            <w:r>
              <w:rPr>
                <w:sz w:val="18"/>
              </w:rPr>
              <w:t>Interactive dashboard and CSV export; workbook templates are generated with guidance and lookup lists.</w:t>
            </w:r>
          </w:p>
        </w:tc>
      </w:tr>
    </w:tbl>
    <w:p>
      <w:pPr>
        <w:spacing w:after="0"/>
      </w:pPr>
    </w:p>
    <w:p>
      <w:pPr>
        <w:pStyle w:val="Heading1"/>
      </w:pPr>
      <w:r>
        <w:t>Security and data governance</w:t>
      </w:r>
    </w:p>
    <w:p>
      <w:r>
        <w:t>Passwords are stored as bcrypt hashes. Database settings are read from Streamlit secrets or environment variables, rather than being embedded as a password in application code. Database access requires configured credentials. Administrators can create, update, disable and delete accounts, with safeguards against demoting or deleting the last active administrator.</w:t>
      </w:r>
    </w:p>
    <w:p>
      <w:r>
        <w:t>The README records that a database password was previously shared in plaintext in chat and instructs that it be rotated before real data is used. Treat rotation as a required security action if it has not already been completed. The repository does not document encryption at rest, transport configuration, audit-log review, backup/restore procedures, privacy retention rules, or a formal incident process; management should assign owners for these controls.</w:t>
      </w:r>
    </w:p>
    <w:p>
      <w:r>
        <w:t>Personal information fields include names, phone numbers and (for jobs) ID numbers. Management should confirm the lawful purpose, minimum necessary collection, authorized viewers, retention period and handling of exports before operational rollout.</w:t>
      </w:r>
    </w:p>
    <w:p>
      <w:pPr>
        <w:pStyle w:val="Heading1"/>
      </w:pPr>
      <w:r>
        <w:t>Operational considerations</w:t>
      </w:r>
    </w:p>
    <w:p>
      <w:pPr>
        <w:pStyle w:val="ListBullet"/>
      </w:pPr>
      <w:r>
        <w:t>The database must be reachable from the deployed app, and credentials must be configured correctly. Database tables are created by a setup script; an initial administrator must also be created.</w:t>
      </w:r>
    </w:p>
    <w:p>
      <w:pPr>
        <w:pStyle w:val="ListBullet"/>
      </w:pPr>
      <w:r>
        <w:t>Uploaded files are saved on the application host’s local filesystem, with a documented 20 MB per-file limit. If the hosting environment has ephemeral storage, redeployments or container rebuilds can remove files while database records still contain their filenames. Persistent storage or a managed document store is needed for dependable retention.</w:t>
      </w:r>
    </w:p>
    <w:p>
      <w:pPr>
        <w:pStyle w:val="ListBullet"/>
      </w:pPr>
      <w:r>
        <w:t>The bundled location reference contains 14,842 rows. Implementer and intervention options are also bundled. These reference files need an assigned maintainer and change process so data remains aligned with program geography and partners.</w:t>
      </w:r>
    </w:p>
    <w:p>
      <w:pPr>
        <w:pStyle w:val="ListBullet"/>
      </w:pPr>
      <w:r>
        <w:t>The repository defines indexes for common filters, but does not include an operations runbook or documented service-level targets, backup schedule, recovery objectives, monitoring, or user support process.</w:t>
      </w:r>
    </w:p>
    <w:p>
      <w:pPr>
        <w:pStyle w:val="Heading1"/>
      </w:pPr>
      <w:r>
        <w:t>Management priorities before production reliance</w:t>
      </w:r>
    </w:p>
    <w:tbl>
      <w:tblPr>
        <w:tblStyle w:val="TableGrid"/>
        <w:tblW w:type="auto" w:w="0"/>
        <w:jc w:val="center"/>
        <w:tblLook w:firstColumn="1" w:firstRow="1" w:lastColumn="0" w:lastRow="0" w:noHBand="0" w:noVBand="1" w:val="04A0"/>
      </w:tblPr>
      <w:tblGrid>
        <w:gridCol w:w="4997"/>
        <w:gridCol w:w="4997"/>
      </w:tblGrid>
      <w:tr>
        <w:tc>
          <w:tcPr>
            <w:tcW w:type="dxa" w:w="1728"/>
            <w:shd w:fill="24476B"/>
          </w:tcPr>
          <w:p>
            <w:r>
              <w:rPr>
                <w:b/>
                <w:color w:val="FFFFFF"/>
                <w:sz w:val="18"/>
              </w:rPr>
              <w:t>Priority</w:t>
            </w:r>
          </w:p>
        </w:tc>
        <w:tc>
          <w:tcPr>
            <w:tcW w:type="dxa" w:w="8280"/>
            <w:shd w:fill="24476B"/>
          </w:tcPr>
          <w:p>
            <w:r>
              <w:rPr>
                <w:b/>
                <w:color w:val="FFFFFF"/>
                <w:sz w:val="18"/>
              </w:rPr>
              <w:t>Management action</w:t>
            </w:r>
          </w:p>
        </w:tc>
      </w:tr>
      <w:tr>
        <w:tc>
          <w:tcPr>
            <w:tcW w:type="dxa" w:w="1728"/>
            <w:vAlign w:val="center"/>
          </w:tcPr>
          <w:p>
            <w:pPr>
              <w:spacing w:after="40"/>
            </w:pPr>
            <w:r>
              <w:rPr>
                <w:sz w:val="18"/>
              </w:rPr>
              <w:t>Security</w:t>
            </w:r>
          </w:p>
        </w:tc>
        <w:tc>
          <w:tcPr>
            <w:tcW w:type="dxa" w:w="8280"/>
            <w:vAlign w:val="center"/>
          </w:tcPr>
          <w:p>
            <w:pPr>
              <w:spacing w:after="40"/>
            </w:pPr>
            <w:r>
              <w:rPr>
                <w:sz w:val="18"/>
              </w:rPr>
              <w:t>Verify the database password has been rotated; restrict secret access and confirm database/network protections.</w:t>
            </w:r>
          </w:p>
        </w:tc>
      </w:tr>
      <w:tr>
        <w:tc>
          <w:tcPr>
            <w:tcW w:type="dxa" w:w="1728"/>
            <w:vAlign w:val="center"/>
            <w:shd w:fill="F0F4F7"/>
          </w:tcPr>
          <w:p>
            <w:pPr>
              <w:spacing w:after="40"/>
            </w:pPr>
            <w:r>
              <w:rPr>
                <w:sz w:val="18"/>
              </w:rPr>
              <w:t>Continuity</w:t>
            </w:r>
          </w:p>
        </w:tc>
        <w:tc>
          <w:tcPr>
            <w:tcW w:type="dxa" w:w="8280"/>
            <w:vAlign w:val="center"/>
            <w:shd w:fill="F0F4F7"/>
          </w:tcPr>
          <w:p>
            <w:pPr>
              <w:spacing w:after="40"/>
            </w:pPr>
            <w:r>
              <w:rPr>
                <w:sz w:val="18"/>
              </w:rPr>
              <w:t>Set up and periodically verify database backups and restores; move attachments to durable storage or ensure the host volume is persistent.</w:t>
            </w:r>
          </w:p>
        </w:tc>
      </w:tr>
      <w:tr>
        <w:tc>
          <w:tcPr>
            <w:tcW w:type="dxa" w:w="1728"/>
            <w:vAlign w:val="center"/>
          </w:tcPr>
          <w:p>
            <w:pPr>
              <w:spacing w:after="40"/>
            </w:pPr>
            <w:r>
              <w:rPr>
                <w:sz w:val="18"/>
              </w:rPr>
              <w:t>Governance</w:t>
            </w:r>
          </w:p>
        </w:tc>
        <w:tc>
          <w:tcPr>
            <w:tcW w:type="dxa" w:w="8280"/>
            <w:vAlign w:val="center"/>
          </w:tcPr>
          <w:p>
            <w:pPr>
              <w:spacing w:after="40"/>
            </w:pPr>
            <w:r>
              <w:rPr>
                <w:sz w:val="18"/>
              </w:rPr>
              <w:t>Approve data definitions, ownership, access rules, retention and export handling, especially for personal data.</w:t>
            </w:r>
          </w:p>
        </w:tc>
      </w:tr>
      <w:tr>
        <w:tc>
          <w:tcPr>
            <w:tcW w:type="dxa" w:w="1728"/>
            <w:vAlign w:val="center"/>
            <w:shd w:fill="F0F4F7"/>
          </w:tcPr>
          <w:p>
            <w:pPr>
              <w:spacing w:after="40"/>
            </w:pPr>
            <w:r>
              <w:rPr>
                <w:sz w:val="18"/>
              </w:rPr>
              <w:t>Operations</w:t>
            </w:r>
          </w:p>
        </w:tc>
        <w:tc>
          <w:tcPr>
            <w:tcW w:type="dxa" w:w="8280"/>
            <w:vAlign w:val="center"/>
            <w:shd w:fill="F0F4F7"/>
          </w:tcPr>
          <w:p>
            <w:pPr>
              <w:spacing w:after="40"/>
            </w:pPr>
            <w:r>
              <w:rPr>
                <w:sz w:val="18"/>
              </w:rPr>
              <w:t>Name an application owner and support contact; document deployment, updates, incident handling and reference-data maintenance.</w:t>
            </w:r>
          </w:p>
        </w:tc>
      </w:tr>
      <w:tr>
        <w:tc>
          <w:tcPr>
            <w:tcW w:type="dxa" w:w="1728"/>
            <w:vAlign w:val="center"/>
          </w:tcPr>
          <w:p>
            <w:pPr>
              <w:spacing w:after="40"/>
            </w:pPr>
            <w:r>
              <w:rPr>
                <w:sz w:val="18"/>
              </w:rPr>
              <w:t>Assurance</w:t>
            </w:r>
          </w:p>
        </w:tc>
        <w:tc>
          <w:tcPr>
            <w:tcW w:type="dxa" w:w="8280"/>
            <w:vAlign w:val="center"/>
          </w:tcPr>
          <w:p>
            <w:pPr>
              <w:spacing w:after="40"/>
            </w:pPr>
            <w:r>
              <w:rPr>
                <w:sz w:val="18"/>
              </w:rPr>
              <w:t>Before production use, perform a fit-for-purpose review of access controls, validation, reporting accuracy and the target hosting setup.</w:t>
            </w:r>
          </w:p>
        </w:tc>
      </w:tr>
    </w:tbl>
    <w:p>
      <w:pPr>
        <w:spacing w:after="0"/>
      </w:pPr>
    </w:p>
    <w:p>
      <w:pPr>
        <w:pStyle w:val="Heading1"/>
      </w:pPr>
      <w:r>
        <w:t>Scope and basis of this overview</w:t>
      </w:r>
    </w:p>
    <w:p>
      <w:r>
        <w:t>This management overview is based on the repository README and code structure inspected on 23 September 2026. It describes implemented features visible in that source, not measured usage, live database contents, hosting status or independently verified security controls. The repository currently contains uncommitted changes in forms.py and reference_data.py; this document does not assess those changes.</w:t>
      </w:r>
    </w:p>
    <w:p>
      <w:r>
        <w:t>Project application: Streamlit, Python, MySQL, SQLAlchemy, pandas and openpyxl. The source repository remains the authoritative place for detailed setup and field-level specifications.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Management overview  •  23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05F6E"/>
        <w:sz w:val="16"/>
      </w:rPr>
      <w:t>PROJECT M&amp;E DATA PLATFORM  |  MANAGEMENT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22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Monitoring and Evaluation Data Platform Management Overview</dc:title>
  <dc:subject>Executive overview of purpose, capabilities, information handling and management priorities</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