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0" w:line="360" w:lineRule="auto"/>
        <w:jc w:val="center"/>
      </w:pPr>
      <w:r>
        <w:rPr>
          <w:rFonts w:ascii="Times New Roman" w:cs="Times New Roman" w:eastAsia="Times New Roman" w:hAnsi="Times New Roman"/>
          <w:b/>
          <w:bCs/>
          <w:i w:val="false"/>
          <w:iCs w:val="false"/>
          <w:color w:val="000000"/>
          <w:sz w:val="24"/>
          <w:szCs w:val="24"/>
        </w:rPr>
        <w:t xml:space="preserve">ITEC631 – Information Technology Masters Project Part B</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(Assessment 3)</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Research-Informed Final Project Thesis, Individual Reflection and Online Viva</w:t>
      </w:r>
    </w:p>
    <w:p>
      <w:pPr>
        <w:spacing w:after="360" w:line="360" w:lineRule="auto"/>
        <w:jc w:val="center"/>
      </w:pPr>
      <w:r>
        <w:rPr>
          <w:rFonts w:ascii="Times New Roman" w:cs="Times New Roman" w:eastAsia="Times New Roman" w:hAnsi="Times New Roman"/>
          <w:b/>
          <w:bCs/>
          <w:i w:val="false"/>
          <w:iCs w:val="false"/>
          <w:color w:val="000000"/>
          <w:sz w:val="24"/>
          <w:szCs w:val="24"/>
        </w:rPr>
        <w:t xml:space="preserve">Project Title - ResearchLens AI</w:t>
      </w:r>
    </w:p>
    <w:p>
      <w:pPr>
        <w:spacing w:after="360" w:line="360" w:lineRule="auto"/>
        <w:jc w:val="center"/>
      </w:pPr>
      <w:r>
        <w:rPr>
          <w:rFonts w:ascii="Times New Roman" w:cs="Times New Roman" w:eastAsia="Times New Roman" w:hAnsi="Times New Roman"/>
          <w:b/>
          <w:bCs/>
          <w:i w:val="false"/>
          <w:iCs w:val="false"/>
          <w:color w:val="000000"/>
          <w:sz w:val="24"/>
          <w:szCs w:val="24"/>
        </w:rPr>
        <w:t xml:space="preserve">Semester 2, 2026</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Submitted To:</w:t>
      </w:r>
    </w:p>
    <w:p>
      <w:pPr>
        <w:spacing w:after="360" w:line="360" w:lineRule="auto"/>
        <w:jc w:val="center"/>
      </w:pPr>
      <w:r>
        <w:rPr>
          <w:rFonts w:ascii="Times New Roman" w:cs="Times New Roman" w:eastAsia="Times New Roman" w:hAnsi="Times New Roman"/>
          <w:b/>
          <w:bCs/>
          <w:i w:val="false"/>
          <w:iCs w:val="false"/>
          <w:color w:val="000000"/>
          <w:sz w:val="24"/>
          <w:szCs w:val="24"/>
        </w:rPr>
        <w:t xml:space="preserve">Assoc. Prof. Walayat Hussain</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Submitted By:</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Emmanuel Uchenna Orunta, [enter student ID]</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Nikita Thapaliya, [enter student ID]</w:t>
      </w:r>
    </w:p>
    <w:p>
      <w:pPr>
        <w:spacing w:after="0" w:line="360" w:lineRule="auto"/>
        <w:jc w:val="center"/>
      </w:pPr>
      <w:r>
        <w:rPr>
          <w:rFonts w:ascii="Times New Roman" w:cs="Times New Roman" w:eastAsia="Times New Roman" w:hAnsi="Times New Roman"/>
          <w:b/>
          <w:bCs/>
          <w:i w:val="false"/>
          <w:iCs w:val="false"/>
          <w:color w:val="000000"/>
          <w:sz w:val="24"/>
          <w:szCs w:val="24"/>
        </w:rPr>
        <w:t xml:space="preserve">Bibek Paudel, [enter student ID]</w:t>
      </w:r>
    </w:p>
    <w:p>
      <w:pPr>
        <w:spacing w:after="360"/>
      </w:pPr>
    </w:p>
    <w:p>
      <w:pPr>
        <w:spacing w:after="0" w:line="360" w:lineRule="auto"/>
        <w:jc w:val="center"/>
      </w:pPr>
      <w:r>
        <w:rPr>
          <w:rFonts w:ascii="Times New Roman" w:cs="Times New Roman" w:eastAsia="Times New Roman" w:hAnsi="Times New Roman"/>
          <w:b/>
          <w:bCs/>
          <w:i w:val="false"/>
          <w:iCs w:val="false"/>
          <w:color w:val="000000"/>
          <w:sz w:val="24"/>
          <w:szCs w:val="24"/>
        </w:rPr>
        <w:t xml:space="preserve">Date of submission: [submission date, Week 12].</w:t>
      </w:r>
    </w:p>
    <w:p>
      <w:pPr>
        <w:spacing w:before="500"/>
      </w:pPr>
    </w:p>
    <w:p>
      <w:pPr>
        <w:spacing w:after="0" w:line="360" w:lineRule="auto"/>
        <w:jc w:val="center"/>
      </w:pPr>
      <w:r>
        <w:rPr>
          <w:rFonts w:ascii="Times New Roman" w:cs="Times New Roman" w:eastAsia="Times New Roman" w:hAnsi="Times New Roman"/>
          <w:b w:val="false"/>
          <w:bCs w:val="false"/>
          <w:i/>
          <w:iCs/>
          <w:color w:val="595959"/>
          <w:sz w:val="24"/>
          <w:szCs w:val="24"/>
        </w:rPr>
        <w:t xml:space="preserve">Word count (main thesis, Sections 1–7, narrative text): 1,974 words</w:t>
      </w:r>
    </w:p>
    <w:p>
      <w:r>
        <w:br w:type="page"/>
      </w:r>
    </w:p>
    <w:p>
      <w:pPr>
        <w:pStyle w:val="Heading2"/>
        <w:spacing w:after="120" w:before="240"/>
      </w:pPr>
      <w:r>
        <w:rPr>
          <w:rFonts w:ascii="Times New Roman" w:cs="Times New Roman" w:eastAsia="Times New Roman" w:hAnsi="Times New Roman"/>
          <w:b/>
          <w:bCs/>
          <w:color w:val="000000"/>
          <w:sz w:val="32"/>
          <w:szCs w:val="32"/>
        </w:rPr>
        <w:t xml:space="preserve">Authorship Statement</w:t>
      </w:r>
    </w:p>
    <w:p>
      <w:pPr>
        <w:spacing w:after="160" w:line="360"/>
        <w:jc w:val="both"/>
      </w:pPr>
      <w:r>
        <w:rPr>
          <w:rFonts w:ascii="Times New Roman" w:cs="Times New Roman" w:eastAsia="Times New Roman" w:hAnsi="Times New Roman"/>
          <w:b w:val="false"/>
          <w:bCs w:val="false"/>
          <w:i w:val="false"/>
          <w:iCs w:val="false"/>
          <w:sz w:val="24"/>
          <w:szCs w:val="24"/>
        </w:rPr>
        <w:t xml:space="preserve">We, the undersigned, confirm that the attached thesis and supporting project and research evidence package represent our own team's work for ResearchLens AI, except where sources, external code, libraries, datasets, standards, images, and AI assistance are explicitly acknowledged in-text and in the References and Appendix G (AI Disclosure). All three team members have reviewed the full thesis and take collective responsibility for its accuracy, and each team member takes individual responsibility for the contribution, reflection and evidence attributed to them in the Individual Evidence section.</w:t>
      </w:r>
    </w:p>
    <w:p>
      <w:pPr>
        <w:spacing w:after="160" w:line="360"/>
        <w:jc w:val="both"/>
      </w:pPr>
      <w:r>
        <w:rPr>
          <w:rFonts w:ascii="Times New Roman" w:cs="Times New Roman" w:eastAsia="Times New Roman" w:hAnsi="Times New Roman"/>
          <w:b w:val="false"/>
          <w:bCs w:val="false"/>
          <w:i w:val="false"/>
          <w:iCs w:val="false"/>
          <w:sz w:val="24"/>
          <w:szCs w:val="24"/>
        </w:rPr>
        <w:t xml:space="preserve">Signed:</w:t>
      </w:r>
    </w:p>
    <w:p>
      <w:pPr>
        <w:spacing w:after="100" w:line="360"/>
        <w:jc w:val="both"/>
      </w:pPr>
      <w:r>
        <w:rPr>
          <w:rFonts w:ascii="Times New Roman" w:cs="Times New Roman" w:eastAsia="Times New Roman" w:hAnsi="Times New Roman"/>
          <w:b w:val="false"/>
          <w:bCs w:val="false"/>
          <w:i w:val="false"/>
          <w:iCs w:val="false"/>
          <w:sz w:val="24"/>
          <w:szCs w:val="24"/>
        </w:rPr>
        <w:t xml:space="preserve">Emmanuel Uchenna Orunta   —   Signature: _______________________   Date: ___________</w:t>
      </w:r>
    </w:p>
    <w:p>
      <w:pPr>
        <w:spacing w:after="100" w:line="360"/>
        <w:jc w:val="both"/>
      </w:pPr>
      <w:r>
        <w:rPr>
          <w:rFonts w:ascii="Times New Roman" w:cs="Times New Roman" w:eastAsia="Times New Roman" w:hAnsi="Times New Roman"/>
          <w:b w:val="false"/>
          <w:bCs w:val="false"/>
          <w:i w:val="false"/>
          <w:iCs w:val="false"/>
          <w:sz w:val="24"/>
          <w:szCs w:val="24"/>
        </w:rPr>
        <w:t xml:space="preserve">Nikita Thapaliya   —   Signature: _______________________   Date: ___________</w:t>
      </w:r>
    </w:p>
    <w:p>
      <w:pPr>
        <w:spacing w:after="100" w:line="360"/>
        <w:jc w:val="both"/>
      </w:pPr>
      <w:r>
        <w:rPr>
          <w:rFonts w:ascii="Times New Roman" w:cs="Times New Roman" w:eastAsia="Times New Roman" w:hAnsi="Times New Roman"/>
          <w:b w:val="false"/>
          <w:bCs w:val="false"/>
          <w:i w:val="false"/>
          <w:iCs w:val="false"/>
          <w:sz w:val="24"/>
          <w:szCs w:val="24"/>
        </w:rPr>
        <w:t xml:space="preserve">Bibek Paudel   —   Signature: _______________________   Date: ___________</w:t>
      </w:r>
    </w:p>
    <w:p>
      <w:r>
        <w:br w:type="page"/>
      </w:r>
    </w:p>
    <w:p>
      <w:pPr>
        <w:spacing w:after="240" w:before="0"/>
        <w:jc w:val="center"/>
      </w:pPr>
      <w:r>
        <w:rPr>
          <w:rFonts w:ascii="Times New Roman" w:cs="Times New Roman" w:eastAsia="Times New Roman" w:hAnsi="Times New Roman"/>
          <w:b/>
          <w:bCs/>
          <w:color w:val="000000"/>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Times New Roman" w:cs="Times New Roman" w:eastAsia="Times New Roman" w:hAnsi="Times New Roman"/>
          <w:b/>
          <w:bCs/>
          <w:color w:val="000000"/>
          <w:sz w:val="40"/>
          <w:szCs w:val="40"/>
        </w:rPr>
        <w:t xml:space="preserve">1. Executive Summary</w:t>
      </w:r>
    </w:p>
    <w:p>
      <w:pPr>
        <w:spacing w:after="160" w:line="360"/>
        <w:jc w:val="both"/>
      </w:pPr>
      <w:r>
        <w:rPr>
          <w:rFonts w:ascii="Times New Roman" w:cs="Times New Roman" w:eastAsia="Times New Roman" w:hAnsi="Times New Roman"/>
          <w:b w:val="false"/>
          <w:bCs w:val="false"/>
          <w:i w:val="false"/>
          <w:iCs w:val="false"/>
          <w:sz w:val="24"/>
          <w:szCs w:val="24"/>
        </w:rPr>
        <w:t xml:space="preserve">ResearchLens AI is a Flask-based academic research workspace addressing a problem the team experienced directly: literature review is slow not because papers are scarce, but because turning papers into organised, trustworthy understanding is hard, and AI shortcuts are difficult to verify. This thesis asks whether showing AI output alongside server-verified source evidence measurably improves trust and usability for postgraduate researchers, and whether deterministic, project-scoped retrieval is a defensible substitute for vector retrieval at the scale of one user's saved-paper library. Across five sprints the team delivered a working application integrating Semantic Scholar and OpenAlex search, AI summaries and synthesis, a literature comparison matrix, and an evidence-tracking mechanism checking every AI claim against its exact source text. Table 1 summarises the project; evidence from 38+ automated tests, a ten-task usability script and a ten-respondent survey supports the approach while exposing real limitations, including a small self-selected sample and retrieval that is not true semantic search.</w:t>
      </w:r>
    </w:p>
    <w:tbl>
      <w:tblPr>
        <w:tblW w:type="dxa" w:w="9306"/>
        <w:tblBorders>
          <w:top w:val="single" w:color="999999" w:sz="4"/>
          <w:left w:val="single" w:color="999999" w:sz="4"/>
          <w:bottom w:val="single" w:color="999999" w:sz="4"/>
          <w:right w:val="single" w:color="999999" w:sz="4"/>
          <w:insideH w:val="single" w:color="CCCCCC" w:sz="2"/>
          <w:insideV w:val="single" w:color="CCCCCC" w:sz="2"/>
        </w:tblBorders>
      </w:tblPr>
      <w:tblGrid>
        <w:gridCol w:w="4653"/>
        <w:gridCol w:w="4653"/>
      </w:tblGrid>
      <w:tr>
        <w:tc>
          <w:tcPr>
            <w:tcW w:type="dxa" w:w="4653"/>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Metric</w:t>
            </w:r>
          </w:p>
        </w:tc>
        <w:tc>
          <w:tcPr>
            <w:tcW w:type="dxa" w:w="4653"/>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Value</w:t>
            </w:r>
          </w:p>
        </w:tc>
      </w:tr>
      <w:tr>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Team</w:t>
            </w:r>
          </w:p>
        </w:tc>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 members (Emmanuel, Nikita, Bibek)</w:t>
            </w:r>
          </w:p>
        </w:tc>
      </w:tr>
      <w:tr>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Delivery</w:t>
            </w:r>
          </w:p>
        </w:tc>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 sprints across 8 weeks</w:t>
            </w:r>
          </w:p>
        </w:tc>
      </w:tr>
      <w:tr>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Core AI features</w:t>
            </w:r>
          </w:p>
        </w:tc>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 — Summary, Relevance Analysis, Synthesis, Ask the Literature</w:t>
            </w:r>
          </w:p>
        </w:tc>
      </w:tr>
      <w:tr>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Automated tests</w:t>
            </w:r>
          </w:p>
        </w:tc>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38+ across 5 test files</w:t>
            </w:r>
          </w:p>
        </w:tc>
      </w:tr>
      <w:tr>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Usability evidence</w:t>
            </w:r>
          </w:p>
        </w:tc>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10-task script, run across Sprints 3–5</w:t>
            </w:r>
          </w:p>
        </w:tc>
      </w:tr>
      <w:tr>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Survey respondents</w:t>
            </w:r>
          </w:p>
        </w:tc>
        <w:tc>
          <w:tcPr>
            <w:tcW w:type="dxa" w:w="4653"/>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10 (anonymous convenience sample)</w:t>
            </w:r>
          </w:p>
        </w:tc>
      </w:tr>
    </w:tbl>
    <w:p>
      <w:pPr>
        <w:spacing w:after="220" w:before="80"/>
        <w:jc w:val="center"/>
      </w:pPr>
      <w:r>
        <w:rPr>
          <w:rFonts w:ascii="Times New Roman" w:cs="Times New Roman" w:eastAsia="Times New Roman" w:hAnsi="Times New Roman"/>
          <w:i/>
          <w:iCs/>
          <w:color w:val="595959"/>
          <w:sz w:val="20"/>
          <w:szCs w:val="20"/>
        </w:rPr>
        <w:t xml:space="preserve">Table 1. ResearchLens AI at a glance.</w:t>
      </w:r>
    </w:p>
    <w:p>
      <w:pPr>
        <w:pStyle w:val="Heading1"/>
        <w:spacing w:after="160" w:before="320"/>
      </w:pPr>
      <w:r>
        <w:rPr>
          <w:rFonts w:ascii="Times New Roman" w:cs="Times New Roman" w:eastAsia="Times New Roman" w:hAnsi="Times New Roman"/>
          <w:b/>
          <w:bCs/>
          <w:color w:val="000000"/>
          <w:sz w:val="40"/>
          <w:szCs w:val="40"/>
        </w:rPr>
        <w:t xml:space="preserve">2. Project Context, Research Problem and Common Good</w:t>
      </w:r>
    </w:p>
    <w:p>
      <w:pPr>
        <w:spacing w:after="160" w:line="360"/>
        <w:jc w:val="both"/>
      </w:pPr>
      <w:r>
        <w:rPr>
          <w:rFonts w:ascii="Times New Roman" w:cs="Times New Roman" w:eastAsia="Times New Roman" w:hAnsi="Times New Roman"/>
          <w:b w:val="false"/>
          <w:bCs w:val="false"/>
          <w:i w:val="false"/>
          <w:iCs w:val="false"/>
          <w:sz w:val="24"/>
          <w:szCs w:val="24"/>
        </w:rPr>
        <w:t xml:space="preserve">Academic research increasingly suffers not from a shortage of literature but from the difficulty of converting an abundance of papers into organised, defensible understanding. Our own problem statement, set out in the ITEC630 project plan, identified eight recurring burdens:</w:t>
      </w:r>
    </w:p>
    <w:p>
      <w:pPr>
        <w:spacing w:after="70" w:line="360"/>
        <w:ind w:left="460" w:hanging="320"/>
      </w:pPr>
      <w:r>
        <w:rPr>
          <w:rFonts w:ascii="Times New Roman" w:cs="Times New Roman" w:eastAsia="Times New Roman" w:hAnsi="Times New Roman"/>
          <w:b w:val="false"/>
          <w:bCs w:val="false"/>
          <w:sz w:val="24"/>
          <w:szCs w:val="24"/>
        </w:rPr>
        <w:t xml:space="preserve">1.	Searching widely across scholarly sources</w:t>
      </w:r>
    </w:p>
    <w:p>
      <w:pPr>
        <w:spacing w:after="70" w:line="360"/>
        <w:ind w:left="460" w:hanging="320"/>
      </w:pPr>
      <w:r>
        <w:rPr>
          <w:rFonts w:ascii="Times New Roman" w:cs="Times New Roman" w:eastAsia="Times New Roman" w:hAnsi="Times New Roman"/>
          <w:b w:val="false"/>
          <w:bCs w:val="false"/>
          <w:sz w:val="24"/>
          <w:szCs w:val="24"/>
        </w:rPr>
        <w:t xml:space="preserve">2.	Judging the relevance of what is found</w:t>
      </w:r>
    </w:p>
    <w:p>
      <w:pPr>
        <w:spacing w:after="70" w:line="360"/>
        <w:ind w:left="460" w:hanging="320"/>
      </w:pPr>
      <w:r>
        <w:rPr>
          <w:rFonts w:ascii="Times New Roman" w:cs="Times New Roman" w:eastAsia="Times New Roman" w:hAnsi="Times New Roman"/>
          <w:b w:val="false"/>
          <w:bCs w:val="false"/>
          <w:sz w:val="24"/>
          <w:szCs w:val="24"/>
        </w:rPr>
        <w:t xml:space="preserve">3.	Reading closely enough to extract real detail</w:t>
      </w:r>
    </w:p>
    <w:p>
      <w:pPr>
        <w:spacing w:after="70" w:line="360"/>
        <w:ind w:left="460" w:hanging="320"/>
      </w:pPr>
      <w:r>
        <w:rPr>
          <w:rFonts w:ascii="Times New Roman" w:cs="Times New Roman" w:eastAsia="Times New Roman" w:hAnsi="Times New Roman"/>
          <w:b w:val="false"/>
          <w:bCs w:val="false"/>
          <w:sz w:val="24"/>
          <w:szCs w:val="24"/>
        </w:rPr>
        <w:t xml:space="preserve">4.	Extracting methodology and findings accurately</w:t>
      </w:r>
    </w:p>
    <w:p>
      <w:pPr>
        <w:spacing w:after="70" w:line="360"/>
        <w:ind w:left="460" w:hanging="320"/>
      </w:pPr>
      <w:r>
        <w:rPr>
          <w:rFonts w:ascii="Times New Roman" w:cs="Times New Roman" w:eastAsia="Times New Roman" w:hAnsi="Times New Roman"/>
          <w:b w:val="false"/>
          <w:bCs w:val="false"/>
          <w:sz w:val="24"/>
          <w:szCs w:val="24"/>
        </w:rPr>
        <w:t xml:space="preserve">5.	Comparing studies against one another</w:t>
      </w:r>
    </w:p>
    <w:p>
      <w:pPr>
        <w:spacing w:after="70" w:line="360"/>
        <w:ind w:left="460" w:hanging="320"/>
      </w:pPr>
      <w:r>
        <w:rPr>
          <w:rFonts w:ascii="Times New Roman" w:cs="Times New Roman" w:eastAsia="Times New Roman" w:hAnsi="Times New Roman"/>
          <w:b w:val="false"/>
          <w:bCs w:val="false"/>
          <w:sz w:val="24"/>
          <w:szCs w:val="24"/>
        </w:rPr>
        <w:t xml:space="preserve">6.	Building a literature comparison matrix</w:t>
      </w:r>
    </w:p>
    <w:p>
      <w:pPr>
        <w:spacing w:after="70" w:line="360"/>
        <w:ind w:left="460" w:hanging="320"/>
      </w:pPr>
      <w:r>
        <w:rPr>
          <w:rFonts w:ascii="Times New Roman" w:cs="Times New Roman" w:eastAsia="Times New Roman" w:hAnsi="Times New Roman"/>
          <w:b w:val="false"/>
          <w:bCs w:val="false"/>
          <w:sz w:val="24"/>
          <w:szCs w:val="24"/>
        </w:rPr>
        <w:t xml:space="preserve">7.	Spotting themes and conflicts across papers</w:t>
      </w:r>
    </w:p>
    <w:p>
      <w:pPr>
        <w:spacing w:after="70" w:line="360"/>
        <w:ind w:left="460" w:hanging="320"/>
      </w:pPr>
      <w:r>
        <w:rPr>
          <w:rFonts w:ascii="Times New Roman" w:cs="Times New Roman" w:eastAsia="Times New Roman" w:hAnsi="Times New Roman"/>
          <w:b w:val="false"/>
          <w:bCs w:val="false"/>
          <w:sz w:val="24"/>
          <w:szCs w:val="24"/>
        </w:rPr>
        <w:t xml:space="preserve">8.	Deciding whether an AI-generated claim about a paper can actually be trusted</w:t>
      </w:r>
    </w:p>
    <w:tbl>
      <w:tblPr>
        <w:tblW w:type="dxa" w:w="9306"/>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6306"/>
      </w:tblGrid>
      <w:tr>
        <w:tc>
          <w:tcPr>
            <w:tcW w:type="dxa" w:w="3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Stakeholder</w:t>
            </w:r>
          </w:p>
        </w:tc>
        <w:tc>
          <w:tcPr>
            <w:tcW w:type="dxa" w:w="6306"/>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Who</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Primary</w:t>
            </w:r>
          </w:p>
        </w:tc>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University and postgraduate students and academic researchers conducting literature reviews, research proposals and thesis work</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Secondary</w:t>
            </w:r>
          </w:p>
        </w:tc>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Lecturers, research supervisors and support staff</w:t>
            </w:r>
          </w:p>
        </w:tc>
      </w:tr>
    </w:tbl>
    <w:p>
      <w:pPr>
        <w:spacing w:after="220" w:before="80"/>
        <w:jc w:val="center"/>
      </w:pPr>
      <w:r>
        <w:rPr>
          <w:rFonts w:ascii="Times New Roman" w:cs="Times New Roman" w:eastAsia="Times New Roman" w:hAnsi="Times New Roman"/>
          <w:i/>
          <w:iCs/>
          <w:color w:val="595959"/>
          <w:sz w:val="20"/>
          <w:szCs w:val="20"/>
        </w:rPr>
        <w:t xml:space="preserve">Table 2. Primary and secondary stakeholders.</w:t>
      </w:r>
    </w:p>
    <w:p>
      <w:pPr>
        <w:spacing w:after="160" w:line="360"/>
        <w:jc w:val="both"/>
      </w:pPr>
      <w:r>
        <w:rPr>
          <w:rFonts w:ascii="Times New Roman" w:cs="Times New Roman" w:eastAsia="Times New Roman" w:hAnsi="Times New Roman"/>
          <w:sz w:val="24"/>
          <w:szCs w:val="24"/>
        </w:rPr>
        <w:t xml:space="preserve">The project's aim is to provide an AI-assisted research workspace that lets a user search, save, analyse, compare and question their own literature, with every AI-generated insight traceable to its supporting source. This thesis is organised around two research questions. </w:t>
      </w:r>
      <w:r>
        <w:rPr>
          <w:rFonts w:ascii="Times New Roman" w:cs="Times New Roman" w:eastAsia="Times New Roman" w:hAnsi="Times New Roman"/>
          <w:b/>
          <w:bCs/>
          <w:sz w:val="24"/>
          <w:szCs w:val="24"/>
        </w:rPr>
        <w:t xml:space="preserve">RQ1: </w:t>
      </w:r>
      <w:r>
        <w:rPr>
          <w:rFonts w:ascii="Times New Roman" w:cs="Times New Roman" w:eastAsia="Times New Roman" w:hAnsi="Times New Roman"/>
          <w:sz w:val="24"/>
          <w:szCs w:val="24"/>
        </w:rPr>
        <w:t xml:space="preserve">does a server-verified evidence mechanism, presenting AI output beside the exact source text it is checked against, measurably improve the trustworthiness and usability of an AI research tool for postgraduate literature review? </w:t>
      </w:r>
      <w:r>
        <w:rPr>
          <w:rFonts w:ascii="Times New Roman" w:cs="Times New Roman" w:eastAsia="Times New Roman" w:hAnsi="Times New Roman"/>
          <w:b/>
          <w:bCs/>
          <w:sz w:val="24"/>
          <w:szCs w:val="24"/>
        </w:rPr>
        <w:t xml:space="preserve">RQ2: </w:t>
      </w:r>
      <w:r>
        <w:rPr>
          <w:rFonts w:ascii="Times New Roman" w:cs="Times New Roman" w:eastAsia="Times New Roman" w:hAnsi="Times New Roman"/>
          <w:sz w:val="24"/>
          <w:szCs w:val="24"/>
        </w:rPr>
        <w:t xml:space="preserve">is deterministic, project-scoped prompting a defensible substitute for embeddings-based vector retrieval at the scale of a single user's saved-paper library, within a three-person, eight-week delivery constraint? The intended contribution is a tested software artefact and evaluated evidence about both questions, together with an honest account of where the deterministic approach falls short, directly relevant to the common good of responsible, checkable AI use in academic work, where unverified AI claims risk propagating false information into scholarship.</w:t>
      </w:r>
    </w:p>
    <w:p>
      <w:pPr>
        <w:pStyle w:val="Heading1"/>
        <w:spacing w:after="160" w:before="320"/>
      </w:pPr>
      <w:r>
        <w:rPr>
          <w:rFonts w:ascii="Times New Roman" w:cs="Times New Roman" w:eastAsia="Times New Roman" w:hAnsi="Times New Roman"/>
          <w:b/>
          <w:bCs/>
          <w:color w:val="000000"/>
          <w:sz w:val="40"/>
          <w:szCs w:val="40"/>
        </w:rPr>
        <w:t xml:space="preserve">3. Updated Literature Synthesis and Gap</w:t>
      </w:r>
    </w:p>
    <w:p>
      <w:pPr>
        <w:spacing w:after="160" w:line="360"/>
        <w:jc w:val="both"/>
      </w:pPr>
      <w:r>
        <w:rPr>
          <w:rFonts w:ascii="Times New Roman" w:cs="Times New Roman" w:eastAsia="Times New Roman" w:hAnsi="Times New Roman"/>
          <w:sz w:val="24"/>
          <w:szCs w:val="24"/>
        </w:rPr>
        <w:t xml:space="preserve">Three bodies of recent work frame this project's central design decision. First, work on large language model hallucination shows ungrounded generation is a structural risk, not an occasional bug: Alansari and Luqman's survey traces hallucination to training data, fine-tuning incentives and prompt ambiguity, concluding retrieval-grounding reduces but never eliminates it, so no single technique suffices alone </w:t>
      </w:r>
      <w:r>
        <w:rPr>
          <w:rFonts w:ascii="Times New Roman" w:cs="Times New Roman" w:eastAsia="Times New Roman" w:hAnsi="Times New Roman"/>
          <w:color w:val="5B2A86"/>
          <w:sz w:val="24"/>
          <w:szCs w:val="24"/>
        </w:rPr>
        <w:t xml:space="preserve">[4]</w:t>
      </w:r>
      <w:r>
        <w:rPr>
          <w:rFonts w:ascii="Times New Roman" w:cs="Times New Roman" w:eastAsia="Times New Roman" w:hAnsi="Times New Roman"/>
          <w:sz w:val="24"/>
          <w:szCs w:val="24"/>
        </w:rPr>
        <w:t xml:space="preserve">. Picazo-Sanchez and Ortiz-Martin's audit of LLM-generated citations is more pointed: across 74,196 generated references and 127,063 references drawn from published papers, they found fabricated metadata and confirmed fabricated references inside peer-reviewed literature itself </w:t>
      </w:r>
      <w:r>
        <w:rPr>
          <w:rFonts w:ascii="Times New Roman" w:cs="Times New Roman" w:eastAsia="Times New Roman" w:hAnsi="Times New Roman"/>
          <w:color w:val="5B2A86"/>
          <w:sz w:val="24"/>
          <w:szCs w:val="24"/>
        </w:rPr>
        <w:t xml:space="preserve">[3]</w:t>
      </w:r>
      <w:r>
        <w:rPr>
          <w:rFonts w:ascii="Times New Roman" w:cs="Times New Roman" w:eastAsia="Times New Roman" w:hAnsi="Times New Roman"/>
          <w:sz w:val="24"/>
          <w:szCs w:val="24"/>
        </w:rPr>
        <w:t xml:space="preserve">. This is not abstract for ResearchLens AI's own users: our survey found checking whether an AI statement is supported by real sources was rated the joint-hardest part of the literature-review workflow (mean 4.0/5, n = 10) — small-scale but direct confirmation of the problem this project addresses.</w:t>
      </w:r>
    </w:p>
    <w:p>
      <w:pPr>
        <w:spacing w:after="160" w:line="360"/>
        <w:jc w:val="both"/>
      </w:pPr>
      <w:r>
        <w:rPr>
          <w:rFonts w:ascii="Times New Roman" w:cs="Times New Roman" w:eastAsia="Times New Roman" w:hAnsi="Times New Roman"/>
          <w:sz w:val="24"/>
          <w:szCs w:val="24"/>
        </w:rPr>
        <w:t xml:space="preserve">Second, trust research suggests source attribution is consequential, not merely reassuring: Łajewska and Balog's user study of RAG responses found source attribution had the strongest positive effect on trust of any explanation type tested, especially for factual and technical questions, with participants often distrusting unverifiable claims </w:t>
      </w:r>
      <w:r>
        <w:rPr>
          <w:rFonts w:ascii="Times New Roman" w:cs="Times New Roman" w:eastAsia="Times New Roman" w:hAnsi="Times New Roman"/>
          <w:color w:val="5B2A86"/>
          <w:sz w:val="24"/>
          <w:szCs w:val="24"/>
        </w:rPr>
        <w:t xml:space="preserve">[2]</w:t>
      </w:r>
      <w:r>
        <w:rPr>
          <w:rFonts w:ascii="Times New Roman" w:cs="Times New Roman" w:eastAsia="Times New Roman" w:hAnsi="Times New Roman"/>
          <w:sz w:val="24"/>
          <w:szCs w:val="24"/>
        </w:rPr>
        <w:t xml:space="preserve">. Rahman et al.'s small survey of LLM use in research similarly reports users encountering fabricated results and incorrect references firsthand </w:t>
      </w:r>
      <w:r>
        <w:rPr>
          <w:rFonts w:ascii="Times New Roman" w:cs="Times New Roman" w:eastAsia="Times New Roman" w:hAnsi="Times New Roman"/>
          <w:color w:val="5B2A86"/>
          <w:sz w:val="24"/>
          <w:szCs w:val="24"/>
        </w:rPr>
        <w:t xml:space="preserve">[6]</w:t>
      </w:r>
      <w:r>
        <w:rPr>
          <w:rFonts w:ascii="Times New Roman" w:cs="Times New Roman" w:eastAsia="Times New Roman" w:hAnsi="Times New Roman"/>
          <w:sz w:val="24"/>
          <w:szCs w:val="24"/>
        </w:rPr>
        <w:t xml:space="preserve">. Third, on tool design: Bernard et al.'s evaluation of Elicit shows AI-assisted extraction tools are mature enough for serious academic use, but still need human verification </w:t>
      </w:r>
      <w:r>
        <w:rPr>
          <w:rFonts w:ascii="Times New Roman" w:cs="Times New Roman" w:eastAsia="Times New Roman" w:hAnsi="Times New Roman"/>
          <w:color w:val="5B2A86"/>
          <w:sz w:val="24"/>
          <w:szCs w:val="24"/>
        </w:rPr>
        <w:t xml:space="preserve">[1]</w:t>
      </w:r>
      <w:r>
        <w:rPr>
          <w:rFonts w:ascii="Times New Roman" w:cs="Times New Roman" w:eastAsia="Times New Roman" w:hAnsi="Times New Roman"/>
          <w:sz w:val="24"/>
          <w:szCs w:val="24"/>
        </w:rPr>
        <w:t xml:space="preserve">; Garrard's matrix method remains the standard framework for literature comparison tables, informing our own Literature Matrix </w:t>
      </w:r>
      <w:r>
        <w:rPr>
          <w:rFonts w:ascii="Times New Roman" w:cs="Times New Roman" w:eastAsia="Times New Roman" w:hAnsi="Times New Roman"/>
          <w:color w:val="5B2A86"/>
          <w:sz w:val="24"/>
          <w:szCs w:val="24"/>
        </w:rPr>
        <w:t xml:space="preserve">[5]</w:t>
      </w:r>
      <w:r>
        <w:rPr>
          <w:rFonts w:ascii="Times New Roman" w:cs="Times New Roman" w:eastAsia="Times New Roman" w:hAnsi="Times New Roman"/>
          <w:sz w:val="24"/>
          <w:szCs w:val="24"/>
        </w:rPr>
        <w:t xml:space="preserve">. Table 3 records how each source was reviewed and the design decision it informed.</w:t>
      </w:r>
    </w:p>
    <w:tbl>
      <w:tblPr>
        <w:tblW w:type="dxa" w:w="96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2600"/>
        <w:gridCol w:w="1400"/>
        <w:gridCol w:w="2300"/>
        <w:gridCol w:w="2660"/>
      </w:tblGrid>
      <w:tr>
        <w:tc>
          <w:tcPr>
            <w:tcW w:type="dxa" w:w="7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Ref</w:t>
            </w:r>
          </w:p>
        </w:tc>
        <w:tc>
          <w:tcPr>
            <w:tcW w:type="dxa" w:w="26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Source</w:t>
            </w:r>
          </w:p>
        </w:tc>
        <w:tc>
          <w:tcPr>
            <w:tcW w:type="dxa" w:w="14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Reviewed by</w:t>
            </w:r>
          </w:p>
        </w:tc>
        <w:tc>
          <w:tcPr>
            <w:tcW w:type="dxa" w:w="23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Key finding</w:t>
            </w:r>
          </w:p>
        </w:tc>
        <w:tc>
          <w:tcPr>
            <w:tcW w:type="dxa" w:w="266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How it informed ResearchLens AI</w:t>
            </w:r>
          </w:p>
        </w:tc>
      </w:tr>
      <w:tr>
        <w:tc>
          <w:tcPr>
            <w:tcW w:type="dxa" w:w="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Bernard et al. 2025 — Elicit for systematic review</w:t>
            </w:r>
          </w:p>
        </w:tc>
        <w:tc>
          <w:tcPr>
            <w:tcW w:type="dxa" w:w="1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Nikita (lead)</w:t>
            </w:r>
          </w:p>
        </w:tc>
        <w:tc>
          <w:tcPr>
            <w:tcW w:type="dxa" w:w="23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AI extraction tools are mature enough for academic use but still need human verification.</w:t>
            </w:r>
          </w:p>
        </w:tc>
        <w:tc>
          <w:tcPr>
            <w:tcW w:type="dxa" w:w="266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Kept the Literature Matrix editable/human-checkable rather than fully automated.</w:t>
            </w:r>
          </w:p>
        </w:tc>
      </w:tr>
      <w:tr>
        <w:tc>
          <w:tcPr>
            <w:tcW w:type="dxa" w:w="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Łajewska &amp; Balog 2026 — Trust Me on This (RAG trust study)</w:t>
            </w:r>
          </w:p>
        </w:tc>
        <w:tc>
          <w:tcPr>
            <w:tcW w:type="dxa" w:w="1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Emmanuel (lead); Nikita (co-review)</w:t>
            </w:r>
          </w:p>
        </w:tc>
        <w:tc>
          <w:tcPr>
            <w:tcW w:type="dxa" w:w="23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Source attribution is the strongest driver of trust, especially for factual/technical content.</w:t>
            </w:r>
          </w:p>
        </w:tc>
        <w:tc>
          <w:tcPr>
            <w:tcW w:type="dxa" w:w="266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Directly motivated the evidence-tracking / citation-chip mechanism as the project's signature feature.</w:t>
            </w:r>
          </w:p>
        </w:tc>
      </w:tr>
      <w:tr>
        <w:tc>
          <w:tcPr>
            <w:tcW w:type="dxa" w:w="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Picazo-Sanchez &amp; Ortiz-Martin 2026 — fabricated LLM citations</w:t>
            </w:r>
          </w:p>
        </w:tc>
        <w:tc>
          <w:tcPr>
            <w:tcW w:type="dxa" w:w="1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Bibek (lead)</w:t>
            </w:r>
          </w:p>
        </w:tc>
        <w:tc>
          <w:tcPr>
            <w:tcW w:type="dxa" w:w="23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 measurable share of LLM-generated references, even in published literature, are fabricated.</w:t>
            </w:r>
          </w:p>
        </w:tc>
        <w:tc>
          <w:tcPr>
            <w:tcW w:type="dxa" w:w="266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Motivated server-side verification of every AI claim against exact saved-paper text.</w:t>
            </w:r>
          </w:p>
        </w:tc>
      </w:tr>
      <w:tr>
        <w:tc>
          <w:tcPr>
            <w:tcW w:type="dxa" w:w="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Alansari &amp; Luqman 2025 — LLM hallucination survey</w:t>
            </w:r>
          </w:p>
        </w:tc>
        <w:tc>
          <w:tcPr>
            <w:tcW w:type="dxa" w:w="1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Emmanuel (lead); Bibek (co-review)</w:t>
            </w:r>
          </w:p>
        </w:tc>
        <w:tc>
          <w:tcPr>
            <w:tcW w:type="dxa" w:w="23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Grounding reduces but never eliminates hallucination; no single fix is sufficient.</w:t>
            </w:r>
          </w:p>
        </w:tc>
        <w:tc>
          <w:tcPr>
            <w:tcW w:type="dxa" w:w="266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Shaped a realistic framing of RQ2 — deterministic retrieval is “defensible”, not a complete solution.</w:t>
            </w:r>
          </w:p>
        </w:tc>
      </w:tr>
      <w:tr>
        <w:tc>
          <w:tcPr>
            <w:tcW w:type="dxa" w:w="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Garrard 2014 — The Matrix Method</w:t>
            </w:r>
          </w:p>
        </w:tc>
        <w:tc>
          <w:tcPr>
            <w:tcW w:type="dxa" w:w="1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Nikita (lead); Bibek (co-review)</w:t>
            </w:r>
          </w:p>
        </w:tc>
        <w:tc>
          <w:tcPr>
            <w:tcW w:type="dxa" w:w="23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Standard column structure for literature comparison tables (citation, purpose, method, findings, limitations).</w:t>
            </w:r>
          </w:p>
        </w:tc>
        <w:tc>
          <w:tcPr>
            <w:tcW w:type="dxa" w:w="266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Directly informed the column design of the Literature Matrix feature.</w:t>
            </w:r>
          </w:p>
        </w:tc>
      </w:tr>
      <w:tr>
        <w:tc>
          <w:tcPr>
            <w:tcW w:type="dxa" w:w="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[6]</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Rahman et al. 2025 — LLMs for Education and Research survey</w:t>
            </w:r>
          </w:p>
        </w:tc>
        <w:tc>
          <w:tcPr>
            <w:tcW w:type="dxa" w:w="1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Emmanuel (lead)</w:t>
            </w:r>
          </w:p>
        </w:tc>
        <w:tc>
          <w:tcPr>
            <w:tcW w:type="dxa" w:w="23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Small independent survey found users encountering fabricated search results and missing references first-hand.</w:t>
            </w:r>
          </w:p>
        </w:tc>
        <w:tc>
          <w:tcPr>
            <w:tcW w:type="dxa" w:w="266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Cross-validated our own survey's Q10 finding with independent published evidence.</w:t>
            </w:r>
          </w:p>
        </w:tc>
      </w:tr>
    </w:tbl>
    <w:p>
      <w:pPr>
        <w:spacing w:after="220" w:before="80"/>
        <w:jc w:val="center"/>
      </w:pPr>
      <w:r>
        <w:rPr>
          <w:rFonts w:ascii="Times New Roman" w:cs="Times New Roman" w:eastAsia="Times New Roman" w:hAnsi="Times New Roman"/>
          <w:i/>
          <w:iCs/>
          <w:color w:val="595959"/>
          <w:sz w:val="20"/>
          <w:szCs w:val="20"/>
        </w:rPr>
        <w:t xml:space="preserve">Table 3. Literature-to-decision matrix (built following the Matrix Method structure [5]; full detail in Appendix A).</w:t>
      </w:r>
    </w:p>
    <w:p>
      <w:pPr>
        <w:spacing w:after="160" w:line="360"/>
        <w:jc w:val="both"/>
      </w:pPr>
      <w:r>
        <w:rPr>
          <w:rFonts w:ascii="Times New Roman" w:cs="Times New Roman" w:eastAsia="Times New Roman" w:hAnsi="Times New Roman"/>
          <w:b w:val="false"/>
          <w:bCs w:val="false"/>
          <w:i w:val="false"/>
          <w:iCs w:val="false"/>
          <w:sz w:val="24"/>
          <w:szCs w:val="24"/>
        </w:rPr>
        <w:t xml:space="preserve">The gap this literature leaves is practical, not theoretical: evaluations of source-attribution mechanisms are recent, small-scale, and rarely embedded in a working, testable, student-built system. ResearchLens AI's evidence-tracking mechanism, and the testing evidence around it, responds directly to that gap.</w:t>
      </w:r>
    </w:p>
    <w:p>
      <w:pPr>
        <w:pStyle w:val="Heading1"/>
        <w:spacing w:after="160" w:before="320"/>
      </w:pPr>
      <w:r>
        <w:rPr>
          <w:rFonts w:ascii="Times New Roman" w:cs="Times New Roman" w:eastAsia="Times New Roman" w:hAnsi="Times New Roman"/>
          <w:b/>
          <w:bCs/>
          <w:color w:val="000000"/>
          <w:sz w:val="40"/>
          <w:szCs w:val="40"/>
        </w:rPr>
        <w:t xml:space="preserve">4. Research and Engineering Methodology, Requirements and Design</w:t>
      </w:r>
    </w:p>
    <w:p>
      <w:pPr>
        <w:spacing w:after="160" w:line="360"/>
        <w:jc w:val="both"/>
      </w:pPr>
      <w:r>
        <w:rPr>
          <w:rFonts w:ascii="Times New Roman" w:cs="Times New Roman" w:eastAsia="Times New Roman" w:hAnsi="Times New Roman"/>
          <w:b w:val="false"/>
          <w:bCs w:val="false"/>
          <w:i w:val="false"/>
          <w:iCs w:val="false"/>
          <w:sz w:val="24"/>
          <w:szCs w:val="24"/>
        </w:rPr>
        <w:t xml:space="preserve">The project followed a design-science approach: build a working artefact, evaluate it against the research questions using evidence collected during development, and draw conclusions from that evidence rather than from the artefact's existence alone. This suited a project whose central claim, that visible, verified evidence improves trust, can only be tested by building and exercising the evidence mechanism itself, not by desk research.</w:t>
      </w:r>
    </w:p>
    <w:p>
      <w:pPr>
        <w:spacing w:after="160" w:line="360"/>
        <w:jc w:val="both"/>
      </w:pPr>
      <w:r>
        <w:rPr>
          <w:rFonts w:ascii="Times New Roman" w:cs="Times New Roman" w:eastAsia="Times New Roman" w:hAnsi="Times New Roman"/>
          <w:sz w:val="24"/>
          <w:szCs w:val="24"/>
        </w:rPr>
        <w:t xml:space="preserve">Requirements followed the course's elicitation–analysis–validation–management cycle </w:t>
      </w:r>
      <w:r>
        <w:rPr>
          <w:rFonts w:ascii="Times New Roman" w:cs="Times New Roman" w:eastAsia="Times New Roman" w:hAnsi="Times New Roman"/>
          <w:color w:val="5B2A86"/>
          <w:sz w:val="24"/>
          <w:szCs w:val="24"/>
        </w:rPr>
        <w:t xml:space="preserve">[18]</w:t>
      </w:r>
      <w:r>
        <w:rPr>
          <w:rFonts w:ascii="Times New Roman" w:cs="Times New Roman" w:eastAsia="Times New Roman" w:hAnsi="Times New Roman"/>
          <w:sz w:val="24"/>
          <w:szCs w:val="24"/>
        </w:rPr>
        <w:t xml:space="preserve">: the team's own experience of literature review, applying the course's First Law of understanding the problem domain </w:t>
      </w:r>
      <w:r>
        <w:rPr>
          <w:rFonts w:ascii="Times New Roman" w:cs="Times New Roman" w:eastAsia="Times New Roman" w:hAnsi="Times New Roman"/>
          <w:color w:val="5B2A86"/>
          <w:sz w:val="24"/>
          <w:szCs w:val="24"/>
        </w:rPr>
        <w:t xml:space="preserve">[17]</w:t>
      </w:r>
      <w:r>
        <w:rPr>
          <w:rFonts w:ascii="Times New Roman" w:cs="Times New Roman" w:eastAsia="Times New Roman" w:hAnsi="Times New Roman"/>
          <w:sz w:val="24"/>
          <w:szCs w:val="24"/>
        </w:rPr>
        <w:t xml:space="preserve">, generated an initial requirements set, refined across Sprints 1–2 through incremental delivery </w:t>
      </w:r>
      <w:r>
        <w:rPr>
          <w:rFonts w:ascii="Times New Roman" w:cs="Times New Roman" w:eastAsia="Times New Roman" w:hAnsi="Times New Roman"/>
          <w:color w:val="5B2A86"/>
          <w:sz w:val="24"/>
          <w:szCs w:val="24"/>
        </w:rPr>
        <w:t xml:space="preserve">[18]</w:t>
      </w:r>
      <w:r>
        <w:rPr>
          <w:rFonts w:ascii="Times New Roman" w:cs="Times New Roman" w:eastAsia="Times New Roman" w:hAnsi="Times New Roman"/>
          <w:sz w:val="24"/>
          <w:szCs w:val="24"/>
        </w:rPr>
        <w:t xml:space="preserve">, and validated informally through the team's own heavy use of the application plus a structured ten-respondent requirements survey (Appendix E) confirming that showing supporting sources for every AI claim was the single most desired of seven candidate AI features tested (mean desirability 3.4/5, the highest of the seven). Requirements are organised using the course's non-functional taxonomy of product, organisational and external constraints </w:t>
      </w:r>
      <w:r>
        <w:rPr>
          <w:rFonts w:ascii="Times New Roman" w:cs="Times New Roman" w:eastAsia="Times New Roman" w:hAnsi="Times New Roman"/>
          <w:color w:val="5B2A86"/>
          <w:sz w:val="24"/>
          <w:szCs w:val="24"/>
        </w:rPr>
        <w:t xml:space="preserve">[19]</w:t>
      </w:r>
      <w:r>
        <w:rPr>
          <w:rFonts w:ascii="Times New Roman" w:cs="Times New Roman" w:eastAsia="Times New Roman" w:hAnsi="Times New Roman"/>
          <w:sz w:val="24"/>
          <w:szCs w:val="24"/>
        </w:rPr>
        <w:t xml:space="preserve">, summarised in Table 5 and traced from requirement to implementation to evidence in Table 6 (full traceability in Appendix B).</w:t>
      </w:r>
    </w:p>
    <w:tbl>
      <w:tblPr>
        <w:tblW w:type="dxa" w:w="8420"/>
        <w:tblBorders>
          <w:top w:val="single" w:color="999999" w:sz="4"/>
          <w:left w:val="single" w:color="999999" w:sz="4"/>
          <w:bottom w:val="single" w:color="999999" w:sz="4"/>
          <w:right w:val="single" w:color="999999" w:sz="4"/>
          <w:insideH w:val="single" w:color="CCCCCC" w:sz="2"/>
          <w:insideV w:val="single" w:color="CCCCCC" w:sz="2"/>
        </w:tblBorders>
      </w:tblPr>
      <w:tblGrid>
        <w:gridCol w:w="2200"/>
        <w:gridCol w:w="6220"/>
      </w:tblGrid>
      <w:tr>
        <w:tc>
          <w:tcPr>
            <w:tcW w:type="dxa" w:w="22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Category</w:t>
            </w:r>
          </w:p>
        </w:tc>
        <w:tc>
          <w:tcPr>
            <w:tcW w:type="dxa" w:w="62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Examples applied in ResearchLens AI</w:t>
            </w:r>
          </w:p>
        </w:tc>
      </w:tr>
      <w:tr>
        <w:tc>
          <w:tcPr>
            <w:tcW w:type="dxa" w:w="2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w:t>
            </w:r>
          </w:p>
        </w:tc>
        <w:tc>
          <w:tcPr>
            <w:tcW w:type="dxa" w:w="62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Usability (10-task script, theme/mobile work); Dependability (graceful AI failure, Demo Mode); Security (bcrypt, session gating, tampered-URL test)</w:t>
            </w:r>
          </w:p>
        </w:tc>
      </w:tr>
      <w:tr>
        <w:tc>
          <w:tcPr>
            <w:tcW w:type="dxa" w:w="2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Organisational</w:t>
            </w:r>
          </w:p>
        </w:tc>
        <w:tc>
          <w:tcPr>
            <w:tcW w:type="dxa" w:w="62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Deliverable within a three-person, eight-week, five-sprint schedule; demonstrable without public deployment</w:t>
            </w:r>
          </w:p>
        </w:tc>
      </w:tr>
      <w:tr>
        <w:tc>
          <w:tcPr>
            <w:tcW w:type="dxa" w:w="2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External</w:t>
            </w:r>
          </w:p>
        </w:tc>
        <w:tc>
          <w:tcPr>
            <w:tcW w:type="dxa" w:w="62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Respecting Semantic Scholar/OpenAlex terms of service rather than scraping; removing credentials before submission</w:t>
            </w:r>
          </w:p>
        </w:tc>
      </w:tr>
    </w:tbl>
    <w:p>
      <w:pPr>
        <w:spacing w:after="220" w:before="80"/>
        <w:jc w:val="center"/>
      </w:pPr>
      <w:r>
        <w:rPr>
          <w:rFonts w:ascii="Times New Roman" w:cs="Times New Roman" w:eastAsia="Times New Roman" w:hAnsi="Times New Roman"/>
          <w:i/>
          <w:iCs/>
          <w:color w:val="595959"/>
          <w:sz w:val="20"/>
          <w:szCs w:val="20"/>
        </w:rPr>
        <w:t xml:space="preserve">Table 5. Non-functional requirement taxonomy applied [19].</w:t>
      </w:r>
    </w:p>
    <w:tbl>
      <w:tblPr>
        <w:tblW w:type="dxa" w:w="9620"/>
        <w:tblBorders>
          <w:top w:val="single" w:color="999999" w:sz="4"/>
          <w:left w:val="single" w:color="999999" w:sz="4"/>
          <w:bottom w:val="single" w:color="999999" w:sz="4"/>
          <w:right w:val="single" w:color="999999" w:sz="4"/>
          <w:insideH w:val="single" w:color="CCCCCC" w:sz="2"/>
          <w:insideV w:val="single" w:color="CCCCCC" w:sz="2"/>
        </w:tblBorders>
      </w:tblPr>
      <w:tblGrid>
        <w:gridCol w:w="600"/>
        <w:gridCol w:w="2500"/>
        <w:gridCol w:w="1700"/>
        <w:gridCol w:w="900"/>
        <w:gridCol w:w="2000"/>
        <w:gridCol w:w="1920"/>
      </w:tblGrid>
      <w:tr>
        <w:tc>
          <w:tcPr>
            <w:tcW w:type="dxa" w:w="6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ID</w:t>
            </w:r>
          </w:p>
        </w:tc>
        <w:tc>
          <w:tcPr>
            <w:tcW w:type="dxa" w:w="25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Requirement</w:t>
            </w:r>
          </w:p>
        </w:tc>
        <w:tc>
          <w:tcPr>
            <w:tcW w:type="dxa" w:w="17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NFR category [19]</w:t>
            </w:r>
          </w:p>
        </w:tc>
        <w:tc>
          <w:tcPr>
            <w:tcW w:type="dxa" w:w="9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Sprint</w:t>
            </w:r>
          </w:p>
        </w:tc>
        <w:tc>
          <w:tcPr>
            <w:tcW w:type="dxa" w:w="2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Implementation</w:t>
            </w:r>
          </w:p>
        </w:tc>
        <w:tc>
          <w:tcPr>
            <w:tcW w:type="dxa" w:w="19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Test / evidence</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R1</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Secure registration and login</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Security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auth blueprint; bcrypt, cost 12</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test_auth.py</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R7</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Connect every AI insight to its supporting source</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Dependability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evidence_service.py</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test_evidence_service.py (20+ tests)</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R9</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Usable on mobile devices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Usability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Responsive CSS, hamburger navigation</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10-task usability script</w:t>
            </w:r>
          </w:p>
        </w:tc>
      </w:tr>
    </w:tbl>
    <w:p>
      <w:pPr>
        <w:spacing w:after="220" w:before="80"/>
        <w:jc w:val="center"/>
      </w:pPr>
      <w:r>
        <w:rPr>
          <w:rFonts w:ascii="Times New Roman" w:cs="Times New Roman" w:eastAsia="Times New Roman" w:hAnsi="Times New Roman"/>
          <w:i/>
          <w:iCs/>
          <w:color w:val="595959"/>
          <w:sz w:val="20"/>
          <w:szCs w:val="20"/>
        </w:rPr>
        <w:t xml:space="preserve">Table 6. Sample requirements traceability (3 of 10; full traceability in Appendix B).</w:t>
      </w:r>
    </w:p>
    <w:p>
      <w:pPr>
        <w:spacing w:after="160" w:line="360"/>
        <w:jc w:val="both"/>
      </w:pPr>
      <w:r>
        <w:rPr>
          <w:rFonts w:ascii="Times New Roman" w:cs="Times New Roman" w:eastAsia="Times New Roman" w:hAnsi="Times New Roman"/>
          <w:sz w:val="24"/>
          <w:szCs w:val="24"/>
        </w:rPr>
        <w:t xml:space="preserve">Architecturally, the delivered system is a layered architecture with an MVC-style presentation pattern </w:t>
      </w:r>
      <w:r>
        <w:rPr>
          <w:rFonts w:ascii="Times New Roman" w:cs="Times New Roman" w:eastAsia="Times New Roman" w:hAnsi="Times New Roman"/>
          <w:color w:val="5B2A86"/>
          <w:sz w:val="24"/>
          <w:szCs w:val="24"/>
        </w:rPr>
        <w:t xml:space="preserve">[22]</w:t>
      </w:r>
      <w:r>
        <w:rPr>
          <w:rFonts w:ascii="Times New Roman" w:cs="Times New Roman" w:eastAsia="Times New Roman" w:hAnsi="Times New Roman"/>
          <w:sz w:val="24"/>
          <w:szCs w:val="24"/>
        </w:rPr>
        <w:t xml:space="preserve"> (Figure 1): a Jinja2/vanilla-JS client; four Flask blueprints (auth, main, papers, settings) acting as controllers; a service layer (paper_service.py, openai_service.py, evidence_service.py, semantic_scholar.py, openalex.py, pdf_service.py) holding business logic; and SQLAlchemy models over SQLite as the data layer. Three external APIs the team does not control, Semantic Scholar, OpenAlex and OpenAI, are integrated as service-oriented utility services </w:t>
      </w:r>
      <w:r>
        <w:rPr>
          <w:rFonts w:ascii="Times New Roman" w:cs="Times New Roman" w:eastAsia="Times New Roman" w:hAnsi="Times New Roman"/>
          <w:color w:val="5B2A86"/>
          <w:sz w:val="24"/>
          <w:szCs w:val="24"/>
        </w:rPr>
        <w:t xml:space="preserve">[23]</w:t>
      </w:r>
      <w:r>
        <w:rPr>
          <w:rFonts w:ascii="Times New Roman" w:cs="Times New Roman" w:eastAsia="Times New Roman" w:hAnsi="Times New Roman"/>
          <w:sz w:val="24"/>
          <w:szCs w:val="24"/>
        </w:rPr>
        <w:t xml:space="preserve">, each behind its own module so a provider outage or format change is isolated rather than propagated through the system. Figure 2 shows the UML use case model for the primary Researcher actor </w:t>
      </w:r>
      <w:r>
        <w:rPr>
          <w:rFonts w:ascii="Times New Roman" w:cs="Times New Roman" w:eastAsia="Times New Roman" w:hAnsi="Times New Roman"/>
          <w:color w:val="5B2A86"/>
          <w:sz w:val="24"/>
          <w:szCs w:val="24"/>
        </w:rPr>
        <w:t xml:space="preserve">[20]</w:t>
      </w:r>
      <w:r>
        <w:rPr>
          <w:rFonts w:ascii="Times New Roman" w:cs="Times New Roman" w:eastAsia="Times New Roman" w:hAnsi="Times New Roman"/>
          <w:sz w:val="24"/>
          <w:szCs w:val="24"/>
        </w:rPr>
        <w:t xml:space="preserve">, and Figure 3 sketches the evidence-chip interface that the architecture exists to serve.</w:t>
      </w:r>
    </w:p>
    <w:p>
      <w:pPr>
        <w:spacing w:after="40" w:before="120"/>
        <w:jc w:val="center"/>
      </w:pPr>
      <w:r>
        <w:drawing>
          <wp:inline distT="0" distB="0" distL="0" distR="0">
            <wp:extent cx="55245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62300"/>
                    </a:xfrm>
                    <a:prstGeom prst="rect">
                      <a:avLst/>
                    </a:prstGeom>
                  </pic:spPr>
                </pic:pic>
              </a:graphicData>
            </a:graphic>
          </wp:inline>
        </w:drawing>
      </w:r>
    </w:p>
    <w:p>
      <w:pPr>
        <w:spacing w:after="220" w:before="80"/>
        <w:jc w:val="center"/>
      </w:pPr>
      <w:r>
        <w:rPr>
          <w:rFonts w:ascii="Times New Roman" w:cs="Times New Roman" w:eastAsia="Times New Roman" w:hAnsi="Times New Roman"/>
          <w:i/>
          <w:iCs/>
          <w:color w:val="595959"/>
          <w:sz w:val="20"/>
          <w:szCs w:val="20"/>
        </w:rPr>
        <w:t xml:space="preserve">Figure 1. Layered architecture with MVC-style presentation [22].</w:t>
      </w:r>
    </w:p>
    <w:p>
      <w:pPr>
        <w:spacing w:after="40" w:before="120"/>
        <w:jc w:val="center"/>
      </w:pPr>
      <w:r>
        <w:drawing>
          <wp:inline distT="0" distB="0" distL="0" distR="0">
            <wp:extent cx="3143250" cy="3257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257550"/>
                    </a:xfrm>
                    <a:prstGeom prst="rect">
                      <a:avLst/>
                    </a:prstGeom>
                  </pic:spPr>
                </pic:pic>
              </a:graphicData>
            </a:graphic>
          </wp:inline>
        </w:drawing>
      </w:r>
    </w:p>
    <w:p>
      <w:pPr>
        <w:spacing w:after="220" w:before="80"/>
        <w:jc w:val="center"/>
      </w:pPr>
      <w:r>
        <w:rPr>
          <w:rFonts w:ascii="Times New Roman" w:cs="Times New Roman" w:eastAsia="Times New Roman" w:hAnsi="Times New Roman"/>
          <w:i/>
          <w:iCs/>
          <w:color w:val="595959"/>
          <w:sz w:val="20"/>
          <w:szCs w:val="20"/>
        </w:rPr>
        <w:t xml:space="preserve">Figure 2. Use case diagram [20], covering the primary Researcher actor and the evidence-view «include» relationship shared by the three AI features.</w:t>
      </w:r>
    </w:p>
    <w:p>
      <w:pPr>
        <w:spacing w:after="40" w:before="120"/>
        <w:jc w:val="center"/>
      </w:pPr>
      <w:r>
        <w:drawing>
          <wp:inline distT="0" distB="0" distL="0" distR="0">
            <wp:extent cx="5334000" cy="135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352550"/>
                    </a:xfrm>
                    <a:prstGeom prst="rect">
                      <a:avLst/>
                    </a:prstGeom>
                  </pic:spPr>
                </pic:pic>
              </a:graphicData>
            </a:graphic>
          </wp:inline>
        </w:drawing>
      </w:r>
    </w:p>
    <w:p>
      <w:pPr>
        <w:spacing w:after="220" w:before="80"/>
        <w:jc w:val="center"/>
      </w:pPr>
      <w:r>
        <w:rPr>
          <w:rFonts w:ascii="Times New Roman" w:cs="Times New Roman" w:eastAsia="Times New Roman" w:hAnsi="Times New Roman"/>
          <w:i/>
          <w:iCs/>
          <w:color w:val="595959"/>
          <w:sz w:val="20"/>
          <w:szCs w:val="20"/>
        </w:rPr>
        <w:t xml:space="preserve">Figure 3. Low-fidelity interface wireframe (conceptual, not a screenshot): the Dashboard and an AI Summary showing verified vs. not-verified-verbatim citation chips.</w:t>
      </w:r>
    </w:p>
    <w:p>
      <w:pPr>
        <w:spacing w:after="160" w:line="360"/>
        <w:jc w:val="both"/>
      </w:pPr>
      <w:r>
        <w:rPr>
          <w:rFonts w:ascii="Times New Roman" w:cs="Times New Roman" w:eastAsia="Times New Roman" w:hAnsi="Times New Roman"/>
          <w:b w:val="false"/>
          <w:bCs w:val="false"/>
          <w:i w:val="false"/>
          <w:iCs w:val="false"/>
          <w:sz w:val="24"/>
          <w:szCs w:val="24"/>
        </w:rPr>
        <w:t xml:space="preserve">Three decisions mark the gap between the original ITEC630 plan and the delivered system, summarised in Table 4.</w:t>
      </w:r>
    </w:p>
    <w:tbl>
      <w:tblPr>
        <w:tblW w:type="dxa" w:w="9306"/>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600"/>
        <w:gridCol w:w="4306"/>
      </w:tblGrid>
      <w:tr>
        <w:tc>
          <w:tcPr>
            <w:tcW w:type="dxa" w:w="24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Planned (ITEC630 plan)</w:t>
            </w:r>
          </w:p>
        </w:tc>
        <w:tc>
          <w:tcPr>
            <w:tcW w:type="dxa" w:w="26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Delivered</w:t>
            </w:r>
          </w:p>
        </w:tc>
        <w:tc>
          <w:tcPr>
            <w:tcW w:type="dxa" w:w="4306"/>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Rationale</w:t>
            </w:r>
          </w:p>
        </w:tc>
      </w:tr>
      <w:tr>
        <w:tc>
          <w:tcPr>
            <w:tcW w:type="dxa" w:w="2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Streamlit frontend</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Flask with hand-written Jinja2/CSS</w:t>
            </w:r>
          </w:p>
        </w:tc>
        <w:tc>
          <w:tcPr>
            <w:tcW w:type="dxa" w:w="4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Streamlit's rendering model capped UI/UX control; replaced after Sprint 1.</w:t>
            </w:r>
          </w:p>
        </w:tc>
      </w:tr>
      <w:tr>
        <w:tc>
          <w:tcPr>
            <w:tcW w:type="dxa" w:w="2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FAISS/Chroma vector database (RAG pipeline)</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Deterministic, project-scoped prompting with server-side quote verification</w:t>
            </w:r>
          </w:p>
        </w:tc>
        <w:tc>
          <w:tcPr>
            <w:tcW w:type="dxa" w:w="4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Testable and defensible within a three-person, eight-week timeline; the decision RQ2 interrogates directly (Section 6).</w:t>
            </w:r>
          </w:p>
        </w:tc>
      </w:tr>
      <w:tr>
        <w:tc>
          <w:tcPr>
            <w:tcW w:type="dxa" w:w="2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Autonomous OpenAI Agent</w:t>
            </w:r>
          </w:p>
        </w:tc>
        <w:tc>
          <w:tcPr>
            <w:tcW w:type="dxa" w:w="2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Descoped; evidence-tracking, synthesis and chat hardened instead</w:t>
            </w:r>
          </w:p>
        </w:tc>
        <w:tc>
          <w:tcPr>
            <w:tcW w:type="dxa" w:w="4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Protects correctness and testability over an under-tested feature in the final sprint.</w:t>
            </w:r>
          </w:p>
        </w:tc>
      </w:tr>
    </w:tbl>
    <w:p>
      <w:pPr>
        <w:spacing w:after="220" w:before="80"/>
        <w:jc w:val="center"/>
      </w:pPr>
      <w:r>
        <w:rPr>
          <w:rFonts w:ascii="Times New Roman" w:cs="Times New Roman" w:eastAsia="Times New Roman" w:hAnsi="Times New Roman"/>
          <w:i/>
          <w:iCs/>
          <w:color w:val="595959"/>
          <w:sz w:val="20"/>
          <w:szCs w:val="20"/>
        </w:rPr>
        <w:t xml:space="preserve">Table 4. Pivot decisions: planned vs. delivered.</w:t>
      </w:r>
    </w:p>
    <w:p>
      <w:pPr>
        <w:pStyle w:val="Heading1"/>
        <w:spacing w:after="160" w:before="320"/>
      </w:pPr>
      <w:r>
        <w:rPr>
          <w:rFonts w:ascii="Times New Roman" w:cs="Times New Roman" w:eastAsia="Times New Roman" w:hAnsi="Times New Roman"/>
          <w:b/>
          <w:bCs/>
          <w:color w:val="000000"/>
          <w:sz w:val="40"/>
          <w:szCs w:val="40"/>
        </w:rPr>
        <w:t xml:space="preserve">5. Implementation and Final Artefact</w:t>
      </w:r>
    </w:p>
    <w:p>
      <w:pPr>
        <w:spacing w:after="160" w:line="360"/>
        <w:jc w:val="both"/>
      </w:pPr>
      <w:r>
        <w:rPr>
          <w:rFonts w:ascii="Times New Roman" w:cs="Times New Roman" w:eastAsia="Times New Roman" w:hAnsi="Times New Roman"/>
          <w:sz w:val="24"/>
          <w:szCs w:val="24"/>
        </w:rPr>
        <w:t xml:space="preserve">The final artefact is a working Flask 3.x application </w:t>
      </w:r>
      <w:r>
        <w:rPr>
          <w:rFonts w:ascii="Times New Roman" w:cs="Times New Roman" w:eastAsia="Times New Roman" w:hAnsi="Times New Roman"/>
          <w:color w:val="5B2A86"/>
          <w:sz w:val="24"/>
          <w:szCs w:val="24"/>
        </w:rPr>
        <w:t xml:space="preserve">[26]</w:t>
      </w:r>
      <w:r>
        <w:rPr>
          <w:rFonts w:ascii="Times New Roman" w:cs="Times New Roman" w:eastAsia="Times New Roman" w:hAnsi="Times New Roman"/>
          <w:sz w:val="24"/>
          <w:szCs w:val="24"/>
        </w:rPr>
        <w:t xml:space="preserve">, delivered across five sprints and demonstrable end-to-end, not as disconnected screens, summarised in Table 7.</w:t>
      </w:r>
    </w:p>
    <w:tbl>
      <w:tblPr>
        <w:tblW w:type="dxa" w:w="9306"/>
        <w:tblBorders>
          <w:top w:val="single" w:color="999999" w:sz="4"/>
          <w:left w:val="single" w:color="999999" w:sz="4"/>
          <w:bottom w:val="single" w:color="999999" w:sz="4"/>
          <w:right w:val="single" w:color="999999" w:sz="4"/>
          <w:insideH w:val="single" w:color="CCCCCC" w:sz="2"/>
          <w:insideV w:val="single" w:color="CCCCCC" w:sz="2"/>
        </w:tblBorders>
      </w:tblPr>
      <w:tblGrid>
        <w:gridCol w:w="1200"/>
        <w:gridCol w:w="8106"/>
      </w:tblGrid>
      <w:tr>
        <w:tc>
          <w:tcPr>
            <w:tcW w:type="dxa" w:w="12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Sprint</w:t>
            </w:r>
          </w:p>
        </w:tc>
        <w:tc>
          <w:tcPr>
            <w:tcW w:type="dxa" w:w="8106"/>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Key deliverables</w:t>
            </w:r>
          </w:p>
        </w:tc>
      </w:tr>
      <w:tr>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w:t>
            </w:r>
          </w:p>
        </w:tc>
        <w:tc>
          <w:tcPr>
            <w:tcW w:type="dxa" w:w="81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Secure authentication (bcrypt, cost 12 [15]), session-gated pages, project CRUD</w:t>
            </w:r>
          </w:p>
        </w:tc>
      </w:tr>
      <w:tr>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w:t>
            </w:r>
          </w:p>
        </w:tc>
        <w:tc>
          <w:tcPr>
            <w:tcW w:type="dxa" w:w="81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Combined Semantic Scholar/OpenAlex search [9][10] with DOI-based de-duplication and title fallback, year-range filtering, direct PDF upload via PyMuPDF (capped at 200,000 characters) [14]</w:t>
            </w:r>
          </w:p>
        </w:tc>
      </w:tr>
      <w:tr>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w:t>
            </w:r>
          </w:p>
        </w:tc>
        <w:tc>
          <w:tcPr>
            <w:tcW w:type="dxa" w:w="81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OpenAI Responses API integration, streamed token-by-token as NDJSON [11]: AI paper summaries and relevance analysis</w:t>
            </w:r>
          </w:p>
        </w:tc>
      </w:tr>
      <w:tr>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w:t>
            </w:r>
          </w:p>
        </w:tc>
        <w:tc>
          <w:tcPr>
            <w:tcW w:type="dxa" w:w="81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Literature Matrix (AI-extracted or hand-edited, following Garrard's matrix structure [5], exportable to Excel/PDF/Word), Paper Synthesis, Ask the Literature (project-scoped chat)</w:t>
            </w:r>
          </w:p>
        </w:tc>
      </w:tr>
      <w:tr>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81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Evidence-tracking mechanism (citation chips), mobile navigation, Demo Mode, automated test-suite hardening</w:t>
            </w:r>
          </w:p>
        </w:tc>
      </w:tr>
    </w:tbl>
    <w:p>
      <w:pPr>
        <w:spacing w:after="220" w:before="80"/>
        <w:jc w:val="center"/>
      </w:pPr>
      <w:r>
        <w:rPr>
          <w:rFonts w:ascii="Times New Roman" w:cs="Times New Roman" w:eastAsia="Times New Roman" w:hAnsi="Times New Roman"/>
          <w:i/>
          <w:iCs/>
          <w:color w:val="595959"/>
          <w:sz w:val="20"/>
          <w:szCs w:val="20"/>
        </w:rPr>
        <w:t xml:space="preserve">Table 7. Sprint delivery summary.</w:t>
      </w:r>
    </w:p>
    <w:p>
      <w:pPr>
        <w:spacing w:after="160" w:line="360"/>
        <w:jc w:val="both"/>
      </w:pPr>
      <w:r>
        <w:rPr>
          <w:rFonts w:ascii="Times New Roman" w:cs="Times New Roman" w:eastAsia="Times New Roman" w:hAnsi="Times New Roman"/>
          <w:sz w:val="24"/>
          <w:szCs w:val="24"/>
        </w:rPr>
        <w:t xml:space="preserve">Each sprint delivered a vertically complete capability rather than a partial layer, consistent with the course's incremental delivery model </w:t>
      </w:r>
      <w:r>
        <w:rPr>
          <w:rFonts w:ascii="Times New Roman" w:cs="Times New Roman" w:eastAsia="Times New Roman" w:hAnsi="Times New Roman"/>
          <w:color w:val="5B2A86"/>
          <w:sz w:val="24"/>
          <w:szCs w:val="24"/>
        </w:rPr>
        <w:t xml:space="preserve">[18]</w:t>
      </w:r>
      <w:r>
        <w:rPr>
          <w:rFonts w:ascii="Times New Roman" w:cs="Times New Roman" w:eastAsia="Times New Roman" w:hAnsi="Times New Roman"/>
          <w:sz w:val="24"/>
          <w:szCs w:val="24"/>
        </w:rPr>
        <w:t xml:space="preserve">: authentication had to work end-to-end before search was built on top of it, and search had to return real saved papers before the AI features that analyse them could be meaningfully built and tested.</w:t>
      </w:r>
    </w:p>
    <w:p>
      <w:pPr>
        <w:spacing w:after="160" w:line="360"/>
        <w:jc w:val="both"/>
      </w:pPr>
      <w:r>
        <w:rPr>
          <w:rFonts w:ascii="Times New Roman" w:cs="Times New Roman" w:eastAsia="Times New Roman" w:hAnsi="Times New Roman"/>
          <w:b w:val="false"/>
          <w:bCs w:val="false"/>
          <w:i w:val="false"/>
          <w:iCs w:val="false"/>
          <w:sz w:val="24"/>
          <w:szCs w:val="24"/>
        </w:rPr>
        <w:t xml:space="preserve">Sprint 5's evidence-tracking mechanism is the implementation most directly tied to RQ1: a trailing, machine-readable citation block is generated alongside each streamed answer, stripped from the visible text, and checked server-side against the exact source text the model was shown, surfacing to the user as a “verified” or “not verified verbatim” citation chip rather than a single undifferentiated AI answer. Figure 4 traces this flow step by step for Ask the Literature.</w:t>
      </w:r>
    </w:p>
    <w:p>
      <w:pPr>
        <w:spacing w:after="40" w:before="120"/>
        <w:jc w:val="center"/>
      </w:pPr>
      <w:r>
        <w:drawing>
          <wp:inline distT="0" distB="0" distL="0" distR="0">
            <wp:extent cx="5334000" cy="1657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57350"/>
                    </a:xfrm>
                    <a:prstGeom prst="rect">
                      <a:avLst/>
                    </a:prstGeom>
                  </pic:spPr>
                </pic:pic>
              </a:graphicData>
            </a:graphic>
          </wp:inline>
        </w:drawing>
      </w:r>
    </w:p>
    <w:p>
      <w:pPr>
        <w:spacing w:after="220" w:before="80"/>
        <w:jc w:val="center"/>
      </w:pPr>
      <w:r>
        <w:rPr>
          <w:rFonts w:ascii="Times New Roman" w:cs="Times New Roman" w:eastAsia="Times New Roman" w:hAnsi="Times New Roman"/>
          <w:i/>
          <w:iCs/>
          <w:color w:val="595959"/>
          <w:sz w:val="20"/>
          <w:szCs w:val="20"/>
        </w:rPr>
        <w:t xml:space="preserve">Figure 4. Evidence-verification interaction flow for “Ask the Literature”, the mechanism central to RQ1.</w:t>
      </w:r>
    </w:p>
    <w:p>
      <w:pPr>
        <w:spacing w:after="160" w:line="360"/>
        <w:jc w:val="both"/>
      </w:pPr>
      <w:r>
        <w:rPr>
          <w:rFonts w:ascii="Times New Roman" w:cs="Times New Roman" w:eastAsia="Times New Roman" w:hAnsi="Times New Roman"/>
          <w:b w:val="false"/>
          <w:bCs w:val="false"/>
          <w:i w:val="false"/>
          <w:iCs w:val="false"/>
          <w:sz w:val="24"/>
          <w:szCs w:val="24"/>
        </w:rPr>
        <w:t xml:space="preserve">The most significant implementation trade-off was descoping the planned autonomous OpenAI Agent (originally a Sprint 4 deliverable, Table 4) in favour of hardening the evidence-tracking, synthesis and chat features already shipped, a conscious choice to protect correctness and testability over adding an under-tested feature in the final sprint. SQLAlchemy over SQLite provides the data layer, with a hand-rolled column-migration helper rather than Alembic, a deliberately lightweight decision reflecting the project's three-person, eight-week scale.</w:t>
      </w:r>
    </w:p>
    <w:p>
      <w:pPr>
        <w:pStyle w:val="Heading1"/>
        <w:spacing w:after="160" w:before="320"/>
      </w:pPr>
      <w:r>
        <w:rPr>
          <w:rFonts w:ascii="Times New Roman" w:cs="Times New Roman" w:eastAsia="Times New Roman" w:hAnsi="Times New Roman"/>
          <w:b/>
          <w:bCs/>
          <w:color w:val="000000"/>
          <w:sz w:val="40"/>
          <w:szCs w:val="40"/>
        </w:rPr>
        <w:t xml:space="preserve">6. Evaluation, Results and Discussion</w:t>
      </w:r>
    </w:p>
    <w:p>
      <w:pPr>
        <w:spacing w:after="160" w:line="360"/>
        <w:jc w:val="both"/>
      </w:pPr>
      <w:r>
        <w:rPr>
          <w:rFonts w:ascii="Times New Roman" w:cs="Times New Roman" w:eastAsia="Times New Roman" w:hAnsi="Times New Roman"/>
          <w:sz w:val="24"/>
          <w:szCs w:val="24"/>
        </w:rPr>
        <w:t xml:space="preserve">Evaluation evidence comes from three sources: an automated test suite, structured manual and usability testing, and a ten-respondent requirements survey, mapped to the course's test-level taxonomy </w:t>
      </w:r>
      <w:r>
        <w:rPr>
          <w:rFonts w:ascii="Times New Roman" w:cs="Times New Roman" w:eastAsia="Times New Roman" w:hAnsi="Times New Roman"/>
          <w:color w:val="5B2A86"/>
          <w:sz w:val="24"/>
          <w:szCs w:val="24"/>
        </w:rPr>
        <w:t xml:space="preserve">[24]</w:t>
      </w:r>
      <w:r>
        <w:rPr>
          <w:rFonts w:ascii="Times New Roman" w:cs="Times New Roman" w:eastAsia="Times New Roman" w:hAnsi="Times New Roman"/>
          <w:sz w:val="24"/>
          <w:szCs w:val="24"/>
        </w:rPr>
        <w:t xml:space="preserve"> in Appendix D.</w:t>
      </w:r>
    </w:p>
    <w:p>
      <w:pPr>
        <w:spacing w:after="160" w:line="360"/>
        <w:jc w:val="both"/>
      </w:pPr>
      <w:r>
        <w:rPr>
          <w:rFonts w:ascii="Times New Roman" w:cs="Times New Roman" w:eastAsia="Times New Roman" w:hAnsi="Times New Roman"/>
          <w:sz w:val="24"/>
          <w:szCs w:val="24"/>
        </w:rPr>
        <w:t xml:space="preserve">Automated evidence, at unit and component level </w:t>
      </w:r>
      <w:r>
        <w:rPr>
          <w:rFonts w:ascii="Times New Roman" w:cs="Times New Roman" w:eastAsia="Times New Roman" w:hAnsi="Times New Roman"/>
          <w:color w:val="5B2A86"/>
          <w:sz w:val="24"/>
          <w:szCs w:val="24"/>
        </w:rPr>
        <w:t xml:space="preserve">[24]</w:t>
      </w:r>
      <w:r>
        <w:rPr>
          <w:rFonts w:ascii="Times New Roman" w:cs="Times New Roman" w:eastAsia="Times New Roman" w:hAnsi="Times New Roman"/>
          <w:sz w:val="24"/>
          <w:szCs w:val="24"/>
        </w:rPr>
        <w:t xml:space="preserve">: 38+ tests across five files (Table 8) confirm the evidence mechanism works as designed. This is defect testing in the course's own sense </w:t>
      </w:r>
      <w:r>
        <w:rPr>
          <w:rFonts w:ascii="Times New Roman" w:cs="Times New Roman" w:eastAsia="Times New Roman" w:hAnsi="Times New Roman"/>
          <w:color w:val="5B2A86"/>
          <w:sz w:val="24"/>
          <w:szCs w:val="24"/>
        </w:rPr>
        <w:t xml:space="preserve">[24]</w:t>
      </w:r>
      <w:r>
        <w:rPr>
          <w:rFonts w:ascii="Times New Roman" w:cs="Times New Roman" w:eastAsia="Times New Roman" w:hAnsi="Times New Roman"/>
          <w:sz w:val="24"/>
          <w:szCs w:val="24"/>
        </w:rPr>
        <w:t xml:space="preserve">, deliberately adversarial input designed to break the system, complemented by a 14-section manual checklist (release/system-level validation testing </w:t>
      </w:r>
      <w:r>
        <w:rPr>
          <w:rFonts w:ascii="Times New Roman" w:cs="Times New Roman" w:eastAsia="Times New Roman" w:hAnsi="Times New Roman"/>
          <w:color w:val="5B2A86"/>
          <w:sz w:val="24"/>
          <w:szCs w:val="24"/>
        </w:rPr>
        <w:t xml:space="preserve">[24]</w:t>
      </w:r>
      <w:r>
        <w:rPr>
          <w:rFonts w:ascii="Times New Roman" w:cs="Times New Roman" w:eastAsia="Times New Roman" w:hAnsi="Times New Roman"/>
          <w:sz w:val="24"/>
          <w:szCs w:val="24"/>
        </w:rPr>
        <w:t xml:space="preserve">) including an explicit, passed test that cross-account data access via a tampered URL is denied (Appendix D).</w:t>
      </w:r>
    </w:p>
    <w:tbl>
      <w:tblPr>
        <w:tblW w:type="dxa" w:w="842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1100"/>
        <w:gridCol w:w="4320"/>
      </w:tblGrid>
      <w:tr>
        <w:tc>
          <w:tcPr>
            <w:tcW w:type="dxa" w:w="3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File</w:t>
            </w:r>
          </w:p>
        </w:tc>
        <w:tc>
          <w:tcPr>
            <w:tcW w:type="dxa" w:w="11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Tests</w:t>
            </w:r>
          </w:p>
        </w:tc>
        <w:tc>
          <w:tcPr>
            <w:tcW w:type="dxa" w:w="43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What it checks</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test_auth.py</w:t>
            </w:r>
          </w:p>
        </w:tc>
        <w:tc>
          <w:tcPr>
            <w:tcW w:type="dxa" w:w="1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w:t>
            </w:r>
          </w:p>
        </w:tc>
        <w:tc>
          <w:tcPr>
            <w:tcW w:type="dxa" w:w="43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Registration, login/logout, weak-password and duplicate-email rejection, anti-enumeration</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test_search_dedup.py</w:t>
            </w:r>
          </w:p>
        </w:tc>
        <w:tc>
          <w:tcPr>
            <w:tcW w:type="dxa" w:w="1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w:t>
            </w:r>
          </w:p>
        </w:tc>
        <w:tc>
          <w:tcPr>
            <w:tcW w:type="dxa" w:w="43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DOI-based de-duplication with title fallback; year-range filtering</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test_evidence_service.py</w:t>
            </w:r>
          </w:p>
        </w:tc>
        <w:tc>
          <w:tcPr>
            <w:tcW w:type="dxa" w:w="1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20+</w:t>
            </w:r>
          </w:p>
        </w:tc>
        <w:tc>
          <w:tcPr>
            <w:tcW w:type="dxa" w:w="43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Quote verification and normalisation; graceful handling of malformed input</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test_matrix_and_synthesis.py</w:t>
            </w:r>
          </w:p>
        </w:tc>
        <w:tc>
          <w:tcPr>
            <w:tcW w:type="dxa" w:w="1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w:t>
            </w:r>
          </w:p>
        </w:tc>
        <w:tc>
          <w:tcPr>
            <w:tcW w:type="dxa" w:w="43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Blank-field handling; two-paper minimum guard on synthesis</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test_ai_stream_guards.py</w:t>
            </w:r>
          </w:p>
        </w:tc>
        <w:tc>
          <w:tcPr>
            <w:tcW w:type="dxa" w:w="1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w:t>
            </w:r>
          </w:p>
        </w:tc>
        <w:tc>
          <w:tcPr>
            <w:tcW w:type="dxa" w:w="43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Every AI entry point fails safely with one clear message, never a crash</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Total</w:t>
            </w:r>
          </w:p>
        </w:tc>
        <w:tc>
          <w:tcPr>
            <w:tcW w:type="dxa" w:w="1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38+</w:t>
            </w:r>
          </w:p>
        </w:tc>
        <w:tc>
          <w:tcPr>
            <w:tcW w:type="dxa" w:w="43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Confirmed passing, October 2026</w:t>
            </w:r>
          </w:p>
        </w:tc>
      </w:tr>
    </w:tbl>
    <w:p>
      <w:pPr>
        <w:spacing w:after="220" w:before="80"/>
        <w:jc w:val="center"/>
      </w:pPr>
      <w:r>
        <w:rPr>
          <w:rFonts w:ascii="Times New Roman" w:cs="Times New Roman" w:eastAsia="Times New Roman" w:hAnsi="Times New Roman"/>
          <w:i/>
          <w:iCs/>
          <w:color w:val="595959"/>
          <w:sz w:val="20"/>
          <w:szCs w:val="20"/>
        </w:rPr>
        <w:t xml:space="preserve">Table 8. Automated test suite summary (full file-by-file evidence in Appendix D).</w:t>
      </w:r>
    </w:p>
    <w:p>
      <w:pPr>
        <w:spacing w:after="160" w:line="360"/>
        <w:jc w:val="both"/>
      </w:pPr>
      <w:r>
        <w:rPr>
          <w:rFonts w:ascii="Times New Roman" w:cs="Times New Roman" w:eastAsia="Times New Roman" w:hAnsi="Times New Roman"/>
          <w:b w:val="false"/>
          <w:bCs w:val="false"/>
          <w:i w:val="false"/>
          <w:iCs w:val="false"/>
          <w:sz w:val="24"/>
          <w:szCs w:val="24"/>
        </w:rPr>
        <w:t xml:space="preserve">This automated coverage matters specifically because the application's riskiest behaviour is not its business logic but external-service failure: every AI feature is tested with the OpenAI key deliberately removed, confirming it degrades to one plain-English message rather than a crash or frozen page, in exactly the failure mode most likely to occur live.</w:t>
      </w:r>
    </w:p>
    <w:p>
      <w:pPr>
        <w:spacing w:after="160" w:line="360"/>
        <w:jc w:val="both"/>
      </w:pPr>
      <w:r>
        <w:rPr>
          <w:rFonts w:ascii="Times New Roman" w:cs="Times New Roman" w:eastAsia="Times New Roman" w:hAnsi="Times New Roman"/>
          <w:sz w:val="24"/>
          <w:szCs w:val="24"/>
        </w:rPr>
        <w:t xml:space="preserve">Usability evidence, at user level </w:t>
      </w:r>
      <w:r>
        <w:rPr>
          <w:rFonts w:ascii="Times New Roman" w:cs="Times New Roman" w:eastAsia="Times New Roman" w:hAnsi="Times New Roman"/>
          <w:color w:val="5B2A86"/>
          <w:sz w:val="24"/>
          <w:szCs w:val="24"/>
        </w:rPr>
        <w:t xml:space="preserve">[25]</w:t>
      </w:r>
      <w:r>
        <w:rPr>
          <w:rFonts w:ascii="Times New Roman" w:cs="Times New Roman" w:eastAsia="Times New Roman" w:hAnsi="Times New Roman"/>
          <w:sz w:val="24"/>
          <w:szCs w:val="24"/>
        </w:rPr>
        <w:t xml:space="preserve">: a ten-task script (register through logout, with a three-question debrief on hesitation points, slow steps and desired changes) was run informally by the team across Sprints 3–5 rather than with a separate outside-tester pool, a genuine limitation acknowledged in Section 7. No formal Nielsen heuristic evaluation with severity ratings was conducted </w:t>
      </w:r>
      <w:r>
        <w:rPr>
          <w:rFonts w:ascii="Times New Roman" w:cs="Times New Roman" w:eastAsia="Times New Roman" w:hAnsi="Times New Roman"/>
          <w:color w:val="5B2A86"/>
          <w:sz w:val="24"/>
          <w:szCs w:val="24"/>
        </w:rPr>
        <w:t xml:space="preserve">[25]</w:t>
      </w:r>
      <w:r>
        <w:rPr>
          <w:rFonts w:ascii="Times New Roman" w:cs="Times New Roman" w:eastAsia="Times New Roman" w:hAnsi="Times New Roman"/>
          <w:sz w:val="24"/>
          <w:szCs w:val="24"/>
        </w:rPr>
        <w:t xml:space="preserve">; the light/dark theme and mobile navigation instead reflect an informal expert review the team can defend but should not overstate as equivalent.</w:t>
      </w:r>
    </w:p>
    <w:p>
      <w:pPr>
        <w:spacing w:after="160" w:line="360"/>
        <w:jc w:val="both"/>
      </w:pPr>
      <w:r>
        <w:rPr>
          <w:rFonts w:ascii="Times New Roman" w:cs="Times New Roman" w:eastAsia="Times New Roman" w:hAnsi="Times New Roman"/>
          <w:b w:val="false"/>
          <w:bCs w:val="false"/>
          <w:i w:val="false"/>
          <w:iCs w:val="false"/>
          <w:sz w:val="24"/>
          <w:szCs w:val="24"/>
        </w:rPr>
        <w:t xml:space="preserve">Survey evidence directly motivated and validated the evidence-tracking feature actually built (Table 9; full item-level breakdown in Appendix E).</w:t>
      </w:r>
    </w:p>
    <w:tbl>
      <w:tblPr>
        <w:tblW w:type="dxa" w:w="9306"/>
        <w:tblBorders>
          <w:top w:val="single" w:color="999999" w:sz="4"/>
          <w:left w:val="single" w:color="999999" w:sz="4"/>
          <w:bottom w:val="single" w:color="999999" w:sz="4"/>
          <w:right w:val="single" w:color="999999" w:sz="4"/>
          <w:insideH w:val="single" w:color="CCCCCC" w:sz="2"/>
          <w:insideV w:val="single" w:color="CCCCCC" w:sz="2"/>
        </w:tblBorders>
      </w:tblPr>
      <w:tblGrid>
        <w:gridCol w:w="6306"/>
        <w:gridCol w:w="3000"/>
      </w:tblGrid>
      <w:tr>
        <w:tc>
          <w:tcPr>
            <w:tcW w:type="dxa" w:w="6306"/>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Finding</w:t>
            </w:r>
          </w:p>
        </w:tc>
        <w:tc>
          <w:tcPr>
            <w:tcW w:type="dxa" w:w="3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Value</w:t>
            </w:r>
          </w:p>
        </w:tc>
      </w:tr>
      <w:tr>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Hardest literature-review tasks (joint)</w:t>
            </w:r>
          </w:p>
        </w:tc>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Checking AI claims against real sources; identifying research gaps — both 4.00/5</w:t>
            </w:r>
          </w:p>
        </w:tc>
      </w:tr>
      <w:tr>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Most-desired candidate AI feature</w:t>
            </w:r>
          </w:p>
        </w:tc>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Showing supporting sources for every AI claim — 3.40/5, highest of seven</w:t>
            </w:r>
          </w:p>
        </w:tc>
      </w:tr>
      <w:tr>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“Would trust AI more if sources shown” (Q12)</w:t>
            </w:r>
          </w:p>
        </w:tc>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7 Neutral, 1 Agree, 1 Strongly agree, 1 Strongly disagree (n=10)</w:t>
            </w:r>
          </w:p>
        </w:tc>
      </w:tr>
    </w:tbl>
    <w:p>
      <w:pPr>
        <w:spacing w:after="220" w:before="80"/>
        <w:jc w:val="center"/>
      </w:pPr>
      <w:r>
        <w:rPr>
          <w:rFonts w:ascii="Times New Roman" w:cs="Times New Roman" w:eastAsia="Times New Roman" w:hAnsi="Times New Roman"/>
          <w:i/>
          <w:iCs/>
          <w:color w:val="595959"/>
          <w:sz w:val="20"/>
          <w:szCs w:val="20"/>
        </w:rPr>
        <w:t xml:space="preserve">Table 9. Key survey findings (headline numbers; full breakdown in Appendix E).</w:t>
      </w:r>
    </w:p>
    <w:p>
      <w:pPr>
        <w:spacing w:after="160" w:line="360"/>
        <w:jc w:val="both"/>
      </w:pPr>
      <w:r>
        <w:rPr>
          <w:rFonts w:ascii="Times New Roman" w:cs="Times New Roman" w:eastAsia="Times New Roman" w:hAnsi="Times New Roman"/>
          <w:b w:val="false"/>
          <w:bCs w:val="false"/>
          <w:i w:val="false"/>
          <w:iCs w:val="false"/>
          <w:sz w:val="24"/>
          <w:szCs w:val="24"/>
        </w:rPr>
        <w:t xml:space="preserve">Responses to “I would trust an AI answer more if it showed the supporting papers” were more mixed than expected, a result reported honestly rather than smoothed over: it suggests visible evidence is valued in principle but does not automatically convert into stated trust for this small, self-selected sample.</w:t>
      </w:r>
    </w:p>
    <w:p>
      <w:pPr>
        <w:spacing w:after="160" w:line="360"/>
        <w:jc w:val="both"/>
      </w:pPr>
      <w:r>
        <w:rPr>
          <w:rFonts w:ascii="Times New Roman" w:cs="Times New Roman" w:eastAsia="Times New Roman" w:hAnsi="Times New Roman"/>
          <w:sz w:val="24"/>
          <w:szCs w:val="24"/>
        </w:rPr>
        <w:t xml:space="preserve">Answering RQ1: the automated, manual and survey evidence together show that a verified-evidence mechanism is buildable, testable and genuinely wanted, the highest-rated of seven candidate features, which is a necessary condition for improving trust. The mixed Q12 survey result means the thesis cannot claim a proven trust increase, only a well-evidenced, literature-aligned </w:t>
      </w:r>
      <w:r>
        <w:rPr>
          <w:rFonts w:ascii="Times New Roman" w:cs="Times New Roman" w:eastAsia="Times New Roman" w:hAnsi="Times New Roman"/>
          <w:color w:val="5B2A86"/>
          <w:sz w:val="24"/>
          <w:szCs w:val="24"/>
        </w:rPr>
        <w:t xml:space="preserve">[2]</w:t>
      </w:r>
      <w:r>
        <w:rPr>
          <w:rFonts w:ascii="Times New Roman" w:cs="Times New Roman" w:eastAsia="Times New Roman" w:hAnsi="Times New Roman"/>
          <w:sz w:val="24"/>
          <w:szCs w:val="24"/>
        </w:rPr>
        <w:t xml:space="preserve"> design rationale for one. </w:t>
      </w:r>
      <w:r>
        <w:rPr>
          <w:rFonts w:ascii="Times New Roman" w:cs="Times New Roman" w:eastAsia="Times New Roman" w:hAnsi="Times New Roman"/>
          <w:b/>
          <w:bCs/>
          <w:sz w:val="24"/>
          <w:szCs w:val="24"/>
        </w:rPr>
        <w:t xml:space="preserve">Answering RQ2: </w:t>
      </w:r>
      <w:r>
        <w:rPr>
          <w:rFonts w:ascii="Times New Roman" w:cs="Times New Roman" w:eastAsia="Times New Roman" w:hAnsi="Times New Roman"/>
          <w:sz w:val="24"/>
          <w:szCs w:val="24"/>
        </w:rPr>
        <w:t xml:space="preserve">deterministic prompting passed all evidence-verification tests and the security and correctness checklist within a timeline a vector-database approach would not have met, supporting it as a defensible, if not semantically ideal, substitute at this project's library scale, consistent with the hallucination literature's conclusion that grounding reduces but does not eliminate risk regardless of retrieval method </w:t>
      </w:r>
      <w:r>
        <w:rPr>
          <w:rFonts w:ascii="Times New Roman" w:cs="Times New Roman" w:eastAsia="Times New Roman" w:hAnsi="Times New Roman"/>
          <w:color w:val="5B2A86"/>
          <w:sz w:val="24"/>
          <w:szCs w:val="24"/>
        </w:rPr>
        <w:t xml:space="preserve">[4]</w:t>
      </w:r>
      <w:r>
        <w:rPr>
          <w:rFonts w:ascii="Times New Roman" w:cs="Times New Roman" w:eastAsia="Times New Roman" w:hAnsi="Times New Roman"/>
          <w:sz w:val="24"/>
          <w:szCs w:val="24"/>
        </w:rPr>
        <w:t xml:space="preserve">.</w:t>
      </w:r>
    </w:p>
    <w:p>
      <w:pPr>
        <w:pStyle w:val="Heading1"/>
        <w:spacing w:after="160" w:before="320"/>
      </w:pPr>
      <w:r>
        <w:rPr>
          <w:rFonts w:ascii="Times New Roman" w:cs="Times New Roman" w:eastAsia="Times New Roman" w:hAnsi="Times New Roman"/>
          <w:b/>
          <w:bCs/>
          <w:color w:val="000000"/>
          <w:sz w:val="40"/>
          <w:szCs w:val="40"/>
        </w:rPr>
        <w:t xml:space="preserve">7. Project Performance, Limitations, Conclusion and Recommendations</w:t>
      </w:r>
    </w:p>
    <w:p>
      <w:pPr>
        <w:spacing w:after="160" w:line="360"/>
        <w:jc w:val="both"/>
      </w:pPr>
      <w:r>
        <w:rPr>
          <w:rFonts w:ascii="Times New Roman" w:cs="Times New Roman" w:eastAsia="Times New Roman" w:hAnsi="Times New Roman"/>
          <w:b w:val="false"/>
          <w:bCs w:val="false"/>
          <w:i w:val="false"/>
          <w:iCs w:val="false"/>
          <w:sz w:val="24"/>
          <w:szCs w:val="24"/>
        </w:rPr>
        <w:t xml:space="preserve">Measured against the ITEC630 success criteria (Table 10), the team delivered all ten functional criteria and all eight technical criteria except one: “implement a basic RAG pipeline” was met with deterministic prompting rather than the originally planned embeddings-based pipeline (Table 4, Section 4), a scope change made explicitly and defended rather than silently substituted.</w:t>
      </w:r>
    </w:p>
    <w:tbl>
      <w:tblPr>
        <w:tblW w:type="dxa" w:w="9306"/>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6306"/>
      </w:tblGrid>
      <w:tr>
        <w:tc>
          <w:tcPr>
            <w:tcW w:type="dxa" w:w="3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Criteria type</w:t>
            </w:r>
          </w:p>
        </w:tc>
        <w:tc>
          <w:tcPr>
            <w:tcW w:type="dxa" w:w="6306"/>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Result</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Functional criteria (10 total)</w:t>
            </w:r>
          </w:p>
        </w:tc>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10/10 met</w:t>
            </w:r>
          </w:p>
        </w:tc>
      </w:tr>
      <w:tr>
        <w:tc>
          <w:tcPr>
            <w:tcW w:type="dxa" w:w="3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Technical criteria (8 total)</w:t>
            </w:r>
          </w:p>
        </w:tc>
        <w:tc>
          <w:tcPr>
            <w:tcW w:type="dxa" w:w="6306"/>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7/8 met — “implement a basic RAG pipeline” substituted with deterministic, project-scoped prompting (see Table 4)</w:t>
            </w:r>
          </w:p>
        </w:tc>
      </w:tr>
    </w:tbl>
    <w:p>
      <w:pPr>
        <w:spacing w:after="220" w:before="80"/>
        <w:jc w:val="center"/>
      </w:pPr>
      <w:r>
        <w:rPr>
          <w:rFonts w:ascii="Times New Roman" w:cs="Times New Roman" w:eastAsia="Times New Roman" w:hAnsi="Times New Roman"/>
          <w:i/>
          <w:iCs/>
          <w:color w:val="595959"/>
          <w:sz w:val="20"/>
          <w:szCs w:val="20"/>
        </w:rPr>
        <w:t xml:space="preserve">Table 10. Success criteria achieved against the ITEC630 project plan.</w:t>
      </w:r>
    </w:p>
    <w:p>
      <w:pPr>
        <w:spacing w:after="160" w:line="360"/>
        <w:jc w:val="both"/>
      </w:pPr>
      <w:r>
        <w:rPr>
          <w:rFonts w:ascii="Times New Roman" w:cs="Times New Roman" w:eastAsia="Times New Roman" w:hAnsi="Times New Roman"/>
          <w:b w:val="false"/>
          <w:bCs w:val="false"/>
          <w:i w:val="false"/>
          <w:iCs w:val="false"/>
          <w:sz w:val="24"/>
          <w:szCs w:val="24"/>
        </w:rPr>
        <w:t xml:space="preserve">Limitations are stated honestly rather than minimised:</w:t>
      </w:r>
    </w:p>
    <w:p>
      <w:pPr>
        <w:pStyle w:val="ListParagraph"/>
        <w:numPr>
          <w:ilvl w:val="0"/>
          <w:numId w:val="2"/>
        </w:numPr>
        <w:spacing w:after="70" w:line="360"/>
      </w:pPr>
      <w:r>
        <w:rPr>
          <w:rFonts w:ascii="Times New Roman" w:cs="Times New Roman" w:eastAsia="Times New Roman" w:hAnsi="Times New Roman"/>
          <w:sz w:val="24"/>
          <w:szCs w:val="24"/>
        </w:rPr>
        <w:t xml:space="preserve">Retrieval is deterministic, project-scoped prompting, not true vector or semantic search, so it will not scale gracefully to very large saved-paper libraries.</w:t>
      </w:r>
    </w:p>
    <w:p>
      <w:pPr>
        <w:pStyle w:val="ListParagraph"/>
        <w:numPr>
          <w:ilvl w:val="0"/>
          <w:numId w:val="2"/>
        </w:numPr>
        <w:spacing w:after="70" w:line="360"/>
      </w:pPr>
      <w:r>
        <w:rPr>
          <w:rFonts w:ascii="Times New Roman" w:cs="Times New Roman" w:eastAsia="Times New Roman" w:hAnsi="Times New Roman"/>
          <w:sz w:val="24"/>
          <w:szCs w:val="24"/>
        </w:rPr>
        <w:t xml:space="preserve">Usability testing substituted heavy internal team use for a formal outside-tester pass.</w:t>
      </w:r>
    </w:p>
    <w:p>
      <w:pPr>
        <w:pStyle w:val="ListParagraph"/>
        <w:numPr>
          <w:ilvl w:val="0"/>
          <w:numId w:val="2"/>
        </w:numPr>
        <w:spacing w:after="70" w:line="360"/>
      </w:pPr>
      <w:r>
        <w:rPr>
          <w:rFonts w:ascii="Times New Roman" w:cs="Times New Roman" w:eastAsia="Times New Roman" w:hAnsi="Times New Roman"/>
          <w:sz w:val="24"/>
          <w:szCs w:val="24"/>
        </w:rPr>
        <w:t xml:space="preserve">The requirements survey (n = 10) is small and self-selected, limiting how far the mixed trust result in Section 6 can generalise.</w:t>
      </w:r>
    </w:p>
    <w:p>
      <w:pPr>
        <w:pStyle w:val="ListParagraph"/>
        <w:numPr>
          <w:ilvl w:val="0"/>
          <w:numId w:val="2"/>
        </w:numPr>
        <w:spacing w:after="70" w:line="360"/>
      </w:pPr>
      <w:r>
        <w:rPr>
          <w:rFonts w:ascii="Times New Roman" w:cs="Times New Roman" w:eastAsia="Times New Roman" w:hAnsi="Times New Roman"/>
          <w:sz w:val="24"/>
          <w:szCs w:val="24"/>
        </w:rPr>
        <w:t xml:space="preserve">A planned email/two-step verification feature was built then reverted after an unresolved Windows OpenSSL certificate-chain issue, leaving a few unused, harmless database columns.</w:t>
      </w:r>
    </w:p>
    <w:p>
      <w:pPr>
        <w:pStyle w:val="ListParagraph"/>
        <w:numPr>
          <w:ilvl w:val="0"/>
          <w:numId w:val="2"/>
        </w:numPr>
        <w:spacing w:after="70" w:line="360"/>
      </w:pPr>
      <w:r>
        <w:rPr>
          <w:rFonts w:ascii="Times New Roman" w:cs="Times New Roman" w:eastAsia="Times New Roman" w:hAnsi="Times New Roman"/>
          <w:sz w:val="24"/>
          <w:szCs w:val="24"/>
        </w:rPr>
        <w:t xml:space="preserve">The autonomous OpenAI Agent was consciously descoped rather than built under-tested.</w:t>
      </w:r>
    </w:p>
    <w:p>
      <w:pPr>
        <w:spacing w:after="160" w:line="360"/>
        <w:jc w:val="both"/>
      </w:pPr>
      <w:r>
        <w:rPr>
          <w:rFonts w:ascii="Times New Roman" w:cs="Times New Roman" w:eastAsia="Times New Roman" w:hAnsi="Times New Roman"/>
          <w:b w:val="false"/>
          <w:bCs w:val="false"/>
          <w:i w:val="false"/>
          <w:iCs w:val="false"/>
          <w:sz w:val="24"/>
          <w:szCs w:val="24"/>
        </w:rPr>
        <w:t xml:space="preserve">These are threats to validity the team can name and defend, not gaps the team was unaware of.</w:t>
      </w:r>
    </w:p>
    <w:p>
      <w:pPr>
        <w:spacing w:after="160" w:line="360"/>
        <w:jc w:val="both"/>
      </w:pPr>
      <w:r>
        <w:rPr>
          <w:rFonts w:ascii="Times New Roman" w:cs="Times New Roman" w:eastAsia="Times New Roman" w:hAnsi="Times New Roman"/>
          <w:b w:val="false"/>
          <w:bCs w:val="false"/>
          <w:i w:val="false"/>
          <w:iCs w:val="false"/>
          <w:sz w:val="24"/>
          <w:szCs w:val="24"/>
        </w:rPr>
        <w:t xml:space="preserve">The project's overall contribution is a working, tested artefact demonstrating that server-verified evidence tracking is implementable within a small team's timeline, together with honest, evidenced answers to both research questions rather than optimistic claims unsupported by the evidence gathered. Recommendations for future work:</w:t>
      </w:r>
    </w:p>
    <w:p>
      <w:pPr>
        <w:spacing w:after="70" w:line="360"/>
        <w:ind w:left="460" w:hanging="320"/>
      </w:pPr>
      <w:r>
        <w:rPr>
          <w:rFonts w:ascii="Times New Roman" w:cs="Times New Roman" w:eastAsia="Times New Roman" w:hAnsi="Times New Roman"/>
          <w:b w:val="false"/>
          <w:bCs w:val="false"/>
          <w:sz w:val="24"/>
          <w:szCs w:val="24"/>
        </w:rPr>
        <w:t xml:space="preserve">1.	Add embeddings-based retrieval once the deterministic baseline's limits are reached.</w:t>
      </w:r>
    </w:p>
    <w:p>
      <w:pPr>
        <w:spacing w:after="70" w:line="360"/>
        <w:ind w:left="460" w:hanging="320"/>
      </w:pPr>
      <w:r>
        <w:rPr>
          <w:rFonts w:ascii="Times New Roman" w:cs="Times New Roman" w:eastAsia="Times New Roman" w:hAnsi="Times New Roman"/>
          <w:b w:val="false"/>
          <w:bCs w:val="false"/>
          <w:sz w:val="24"/>
          <w:szCs w:val="24"/>
        </w:rPr>
        <w:t xml:space="preserve">2.	Complete a larger-scale, externally recruited usability and trust evaluation.</w:t>
      </w:r>
    </w:p>
    <w:p>
      <w:pPr>
        <w:spacing w:after="70" w:line="360"/>
        <w:ind w:left="460" w:hanging="320"/>
      </w:pPr>
      <w:r>
        <w:rPr>
          <w:rFonts w:ascii="Times New Roman" w:cs="Times New Roman" w:eastAsia="Times New Roman" w:hAnsi="Times New Roman"/>
          <w:b w:val="false"/>
          <w:bCs w:val="false"/>
          <w:sz w:val="24"/>
          <w:szCs w:val="24"/>
        </w:rPr>
        <w:t xml:space="preserve">3.	Re-attempt email verification with the certifi fix already identified.</w:t>
      </w:r>
    </w:p>
    <w:p>
      <w:pPr>
        <w:spacing w:after="70" w:line="360"/>
        <w:ind w:left="460" w:hanging="320"/>
      </w:pPr>
      <w:r>
        <w:rPr>
          <w:rFonts w:ascii="Times New Roman" w:cs="Times New Roman" w:eastAsia="Times New Roman" w:hAnsi="Times New Roman"/>
          <w:b w:val="false"/>
          <w:bCs w:val="false"/>
          <w:sz w:val="24"/>
          <w:szCs w:val="24"/>
        </w:rPr>
        <w:t xml:space="preserve">4.	Build a narrowly scoped, well-tested Agent only once the verified core is proven stable in production use.</w:t>
      </w:r>
    </w:p>
    <w:p>
      <w:pPr>
        <w:pStyle w:val="Heading1"/>
        <w:pageBreakBefore/>
        <w:spacing w:after="160" w:before="320"/>
      </w:pPr>
      <w:r>
        <w:rPr>
          <w:rFonts w:ascii="Times New Roman" w:cs="Times New Roman" w:eastAsia="Times New Roman" w:hAnsi="Times New Roman"/>
          <w:b/>
          <w:bCs/>
          <w:color w:val="000000"/>
          <w:sz w:val="40"/>
          <w:szCs w:val="40"/>
        </w:rPr>
        <w:t xml:space="preserve">References</w:t>
      </w:r>
    </w:p>
    <w:p>
      <w:pPr>
        <w:spacing w:after="130" w:line="360"/>
        <w:ind w:left="420" w:hanging="420"/>
      </w:pPr>
      <w:r>
        <w:rPr>
          <w:rFonts w:ascii="Times New Roman" w:cs="Times New Roman" w:eastAsia="Times New Roman" w:hAnsi="Times New Roman"/>
          <w:sz w:val="22"/>
          <w:szCs w:val="22"/>
        </w:rPr>
        <w:t xml:space="preserve">[1]  N. Bernard, Y. Sagawa Jr, N. Bier, T. Lihoreau, L. Pazart, and T. Tannou, “Using artificial intelligence for systematic review: the example of elicit,” BMC Med. Res. Methodol., vol. 25, no. 1, art. no. 75, 2025.</w:t>
      </w:r>
    </w:p>
    <w:p>
      <w:pPr>
        <w:spacing w:after="130" w:line="360"/>
        <w:ind w:left="420" w:hanging="420"/>
      </w:pPr>
      <w:r>
        <w:rPr>
          <w:rFonts w:ascii="Times New Roman" w:cs="Times New Roman" w:eastAsia="Times New Roman" w:hAnsi="Times New Roman"/>
          <w:sz w:val="22"/>
          <w:szCs w:val="22"/>
        </w:rPr>
        <w:t xml:space="preserve">[2]  W. Łajewska and K. Balog, “Trust Me on This: A User Study of Trustworthiness for RAG Responses,” arXiv:2601.14460 [cs.IR], Jan. 2026.</w:t>
      </w:r>
    </w:p>
    <w:p>
      <w:pPr>
        <w:spacing w:after="130" w:line="360"/>
        <w:ind w:left="420" w:hanging="420"/>
      </w:pPr>
      <w:r>
        <w:rPr>
          <w:rFonts w:ascii="Times New Roman" w:cs="Times New Roman" w:eastAsia="Times New Roman" w:hAnsi="Times New Roman"/>
          <w:sz w:val="22"/>
          <w:szCs w:val="22"/>
        </w:rPr>
        <w:t xml:space="preserve">[3]  P. Picazo-Sanchez and L. Ortiz-Martin, “Evaluating the Integrity of LLM-Generated Citations: Prevalence and Risks of Fabricated References in Scientific Literature,” Data, vol. 11, no. 5, art. no. 122, 2026.</w:t>
      </w:r>
    </w:p>
    <w:p>
      <w:pPr>
        <w:spacing w:after="130" w:line="360"/>
        <w:ind w:left="420" w:hanging="420"/>
      </w:pPr>
      <w:r>
        <w:rPr>
          <w:rFonts w:ascii="Times New Roman" w:cs="Times New Roman" w:eastAsia="Times New Roman" w:hAnsi="Times New Roman"/>
          <w:sz w:val="22"/>
          <w:szCs w:val="22"/>
        </w:rPr>
        <w:t xml:space="preserve">[4]  A. Alansari and H. Luqman, “Large Language Models Hallucination: A Comprehensive Survey,” arXiv:2510.06265, 2025.</w:t>
      </w:r>
    </w:p>
    <w:p>
      <w:pPr>
        <w:spacing w:after="130" w:line="360"/>
        <w:ind w:left="420" w:hanging="420"/>
      </w:pPr>
      <w:r>
        <w:rPr>
          <w:rFonts w:ascii="Times New Roman" w:cs="Times New Roman" w:eastAsia="Times New Roman" w:hAnsi="Times New Roman"/>
          <w:sz w:val="22"/>
          <w:szCs w:val="22"/>
        </w:rPr>
        <w:t xml:space="preserve">[5]  J. Garrard, Health Sciences Literature Review Made Easy: The Matrix Method, 4th ed. Sudbury, MA, USA: Jones &amp; Bartlett Learning, 2014.</w:t>
      </w:r>
    </w:p>
    <w:p>
      <w:pPr>
        <w:spacing w:after="130" w:line="360"/>
        <w:ind w:left="420" w:hanging="420"/>
      </w:pPr>
      <w:r>
        <w:rPr>
          <w:rFonts w:ascii="Times New Roman" w:cs="Times New Roman" w:eastAsia="Times New Roman" w:hAnsi="Times New Roman"/>
          <w:sz w:val="22"/>
          <w:szCs w:val="22"/>
        </w:rPr>
        <w:t xml:space="preserve">[6]  M. M. Rahman, A. I. Shiplu, M. F. I. Amin, Y. Watanobe, and L. Peng, “Large Language Models for Education and Research: An Empirical and User Survey-based Analysis,” arXiv:2512.08057, Dec. 2025.</w:t>
      </w:r>
    </w:p>
    <w:p>
      <w:pPr>
        <w:spacing w:after="130" w:line="360"/>
        <w:ind w:left="420" w:hanging="420"/>
      </w:pPr>
      <w:r>
        <w:rPr>
          <w:rFonts w:ascii="Times New Roman" w:cs="Times New Roman" w:eastAsia="Times New Roman" w:hAnsi="Times New Roman"/>
          <w:sz w:val="22"/>
          <w:szCs w:val="22"/>
        </w:rPr>
        <w:t xml:space="preserve">[7]  J. Nielsen, “Heuristic evaluation,” in Usability Inspection Methods, J. Nielsen and R. L. Mack, Eds. New York, NY, USA: John Wiley &amp; Sons, 1994, pp. 25–62.</w:t>
      </w:r>
    </w:p>
    <w:p>
      <w:pPr>
        <w:spacing w:after="130" w:line="360"/>
        <w:ind w:left="420" w:hanging="420"/>
      </w:pPr>
      <w:r>
        <w:rPr>
          <w:rFonts w:ascii="Times New Roman" w:cs="Times New Roman" w:eastAsia="Times New Roman" w:hAnsi="Times New Roman"/>
          <w:sz w:val="22"/>
          <w:szCs w:val="22"/>
        </w:rPr>
        <w:t xml:space="preserve">[8]  I. Sommerville, Software Engineering, 10th ed. Harlow, U.K.: Pearson, 2016.</w:t>
      </w:r>
    </w:p>
    <w:p>
      <w:pPr>
        <w:spacing w:after="130" w:line="360"/>
        <w:ind w:left="420" w:hanging="420"/>
      </w:pPr>
      <w:r>
        <w:rPr>
          <w:rFonts w:ascii="Times New Roman" w:cs="Times New Roman" w:eastAsia="Times New Roman" w:hAnsi="Times New Roman"/>
          <w:sz w:val="22"/>
          <w:szCs w:val="22"/>
        </w:rPr>
        <w:t xml:space="preserve">[9]  Allen Institute for AI, “Semantic Scholar Academic Graph API,” Semantic Scholar, 2024. [Online]. Available: https://api.semanticscholar.org/</w:t>
      </w:r>
    </w:p>
    <w:p>
      <w:pPr>
        <w:spacing w:after="130" w:line="360"/>
        <w:ind w:left="420" w:hanging="420"/>
      </w:pPr>
      <w:r>
        <w:rPr>
          <w:rFonts w:ascii="Times New Roman" w:cs="Times New Roman" w:eastAsia="Times New Roman" w:hAnsi="Times New Roman"/>
          <w:sz w:val="22"/>
          <w:szCs w:val="22"/>
        </w:rPr>
        <w:t xml:space="preserve">[10]  OpenAlex, “OpenAlex API Documentation,” OurResearch, 2024. [Online]. Available: https://docs.openalex.org/</w:t>
      </w:r>
    </w:p>
    <w:p>
      <w:pPr>
        <w:spacing w:after="130" w:line="360"/>
        <w:ind w:left="420" w:hanging="420"/>
      </w:pPr>
      <w:r>
        <w:rPr>
          <w:rFonts w:ascii="Times New Roman" w:cs="Times New Roman" w:eastAsia="Times New Roman" w:hAnsi="Times New Roman"/>
          <w:sz w:val="22"/>
          <w:szCs w:val="22"/>
        </w:rPr>
        <w:t xml:space="preserve">[11]  OpenAI, “OpenAI Platform — Responses API Reference,” OpenAI, 2025. [Online]. Available: https://platform.openai.com/docs/</w:t>
      </w:r>
    </w:p>
    <w:p>
      <w:pPr>
        <w:spacing w:after="130" w:line="360"/>
        <w:ind w:left="420" w:hanging="420"/>
      </w:pPr>
      <w:r>
        <w:rPr>
          <w:rFonts w:ascii="Times New Roman" w:cs="Times New Roman" w:eastAsia="Times New Roman" w:hAnsi="Times New Roman"/>
          <w:sz w:val="22"/>
          <w:szCs w:val="22"/>
        </w:rPr>
        <w:t xml:space="preserve">[12]  Pallets Projects, “Flask Documentation,” 2024. [Online]. Available: https://flask.palletsprojects.com/</w:t>
      </w:r>
    </w:p>
    <w:p>
      <w:pPr>
        <w:spacing w:after="130" w:line="360"/>
        <w:ind w:left="420" w:hanging="420"/>
      </w:pPr>
      <w:r>
        <w:rPr>
          <w:rFonts w:ascii="Times New Roman" w:cs="Times New Roman" w:eastAsia="Times New Roman" w:hAnsi="Times New Roman"/>
          <w:sz w:val="22"/>
          <w:szCs w:val="22"/>
        </w:rPr>
        <w:t xml:space="preserve">[13]  SQLAlchemy Authors, “SQLAlchemy — The Python SQL Toolkit and ORM,” 2024. [Online]. Available: https://www.sqlalchemy.org/</w:t>
      </w:r>
    </w:p>
    <w:p>
      <w:pPr>
        <w:spacing w:after="130" w:line="360"/>
        <w:ind w:left="420" w:hanging="420"/>
      </w:pPr>
      <w:r>
        <w:rPr>
          <w:rFonts w:ascii="Times New Roman" w:cs="Times New Roman" w:eastAsia="Times New Roman" w:hAnsi="Times New Roman"/>
          <w:sz w:val="22"/>
          <w:szCs w:val="22"/>
        </w:rPr>
        <w:t xml:space="preserve">[14]  Artifex Software Inc., “PyMuPDF Documentation,” 2024. [Online]. Available: https://pymupdf.readthedocs.io/</w:t>
      </w:r>
    </w:p>
    <w:p>
      <w:pPr>
        <w:spacing w:after="130" w:line="360"/>
        <w:ind w:left="420" w:hanging="420"/>
      </w:pPr>
      <w:r>
        <w:rPr>
          <w:rFonts w:ascii="Times New Roman" w:cs="Times New Roman" w:eastAsia="Times New Roman" w:hAnsi="Times New Roman"/>
          <w:sz w:val="22"/>
          <w:szCs w:val="22"/>
        </w:rPr>
        <w:t xml:space="preserve">[15]  pyca, “bcrypt — Modern Password Hashing for Your Software and Your Servers,” 2024. [Online]. Available: https://github.com/pyca/bcrypt/</w:t>
      </w:r>
    </w:p>
    <w:p>
      <w:pPr>
        <w:spacing w:after="130" w:line="360"/>
        <w:ind w:left="420" w:hanging="420"/>
      </w:pPr>
      <w:r>
        <w:rPr>
          <w:rFonts w:ascii="Times New Roman" w:cs="Times New Roman" w:eastAsia="Times New Roman" w:hAnsi="Times New Roman"/>
          <w:sz w:val="22"/>
          <w:szCs w:val="22"/>
        </w:rPr>
        <w:t xml:space="preserve">[16]  Australian Catholic University, “ITEC631: Information Technology Masters Project Part B — Assessment 3 Guide,” Semester 2, 2026.</w:t>
      </w:r>
    </w:p>
    <w:p>
      <w:pPr>
        <w:spacing w:after="130" w:line="360"/>
        <w:ind w:left="420" w:hanging="420"/>
      </w:pPr>
      <w:r>
        <w:rPr>
          <w:rFonts w:ascii="Times New Roman" w:cs="Times New Roman" w:eastAsia="Times New Roman" w:hAnsi="Times New Roman"/>
          <w:sz w:val="22"/>
          <w:szCs w:val="22"/>
        </w:rPr>
        <w:t xml:space="preserve">[17]  Australian Catholic University, “L01: Principles of Software Engineering,” ITEC631 lecture notes, Semester 2, 2026.</w:t>
      </w:r>
    </w:p>
    <w:p>
      <w:pPr>
        <w:spacing w:after="130" w:line="360"/>
        <w:ind w:left="420" w:hanging="420"/>
      </w:pPr>
      <w:r>
        <w:rPr>
          <w:rFonts w:ascii="Times New Roman" w:cs="Times New Roman" w:eastAsia="Times New Roman" w:hAnsi="Times New Roman"/>
          <w:sz w:val="22"/>
          <w:szCs w:val="22"/>
        </w:rPr>
        <w:t xml:space="preserve">[18]  Australian Catholic University, “L02: Software Processes,” ITEC631 lecture notes, Semester 2, 2026.</w:t>
      </w:r>
    </w:p>
    <w:p>
      <w:pPr>
        <w:spacing w:after="130" w:line="360"/>
        <w:ind w:left="420" w:hanging="420"/>
      </w:pPr>
      <w:r>
        <w:rPr>
          <w:rFonts w:ascii="Times New Roman" w:cs="Times New Roman" w:eastAsia="Times New Roman" w:hAnsi="Times New Roman"/>
          <w:sz w:val="22"/>
          <w:szCs w:val="22"/>
        </w:rPr>
        <w:t xml:space="preserve">[19]  Australian Catholic University, “L03: Requirements Engineering,” ITEC631 lecture notes, Semester 2, 2026.</w:t>
      </w:r>
    </w:p>
    <w:p>
      <w:pPr>
        <w:spacing w:after="130" w:line="360"/>
        <w:ind w:left="420" w:hanging="420"/>
      </w:pPr>
      <w:r>
        <w:rPr>
          <w:rFonts w:ascii="Times New Roman" w:cs="Times New Roman" w:eastAsia="Times New Roman" w:hAnsi="Times New Roman"/>
          <w:sz w:val="22"/>
          <w:szCs w:val="22"/>
        </w:rPr>
        <w:t xml:space="preserve">[20]  Australian Catholic University, “L05: System Modeling,” ITEC631 lecture notes, Semester 2, 2026.</w:t>
      </w:r>
    </w:p>
    <w:p>
      <w:pPr>
        <w:spacing w:after="130" w:line="360"/>
        <w:ind w:left="420" w:hanging="420"/>
      </w:pPr>
      <w:r>
        <w:rPr>
          <w:rFonts w:ascii="Times New Roman" w:cs="Times New Roman" w:eastAsia="Times New Roman" w:hAnsi="Times New Roman"/>
          <w:sz w:val="22"/>
          <w:szCs w:val="22"/>
        </w:rPr>
        <w:t xml:space="preserve">[21]  Australian Catholic University, “L06: Design and Implementation,” ITEC631 lecture notes, Semester 2, 2026.</w:t>
      </w:r>
    </w:p>
    <w:p>
      <w:pPr>
        <w:spacing w:after="130" w:line="360"/>
        <w:ind w:left="420" w:hanging="420"/>
      </w:pPr>
      <w:r>
        <w:rPr>
          <w:rFonts w:ascii="Times New Roman" w:cs="Times New Roman" w:eastAsia="Times New Roman" w:hAnsi="Times New Roman"/>
          <w:sz w:val="22"/>
          <w:szCs w:val="22"/>
        </w:rPr>
        <w:t xml:space="preserve">[22]  Australian Catholic University, “Architectural Design,” ITEC631 lecture notes, Semester 2, 2026.</w:t>
      </w:r>
    </w:p>
    <w:p>
      <w:pPr>
        <w:spacing w:after="130" w:line="360"/>
        <w:ind w:left="420" w:hanging="420"/>
      </w:pPr>
      <w:r>
        <w:rPr>
          <w:rFonts w:ascii="Times New Roman" w:cs="Times New Roman" w:eastAsia="Times New Roman" w:hAnsi="Times New Roman"/>
          <w:sz w:val="22"/>
          <w:szCs w:val="22"/>
        </w:rPr>
        <w:t xml:space="preserve">[23]  Australian Catholic University, “L10: Service-Oriented Software Engineering,” ITEC631 lecture notes, Semester 2, 2026.</w:t>
      </w:r>
    </w:p>
    <w:p>
      <w:pPr>
        <w:spacing w:after="130" w:line="360"/>
        <w:ind w:left="420" w:hanging="420"/>
      </w:pPr>
      <w:r>
        <w:rPr>
          <w:rFonts w:ascii="Times New Roman" w:cs="Times New Roman" w:eastAsia="Times New Roman" w:hAnsi="Times New Roman"/>
          <w:sz w:val="22"/>
          <w:szCs w:val="22"/>
        </w:rPr>
        <w:t xml:space="preserve">[24]  Australian Catholic University, “L07: Software Testing,” ITEC631 lecture notes, Semester 2, 2026.</w:t>
      </w:r>
    </w:p>
    <w:p>
      <w:pPr>
        <w:spacing w:after="130" w:line="360"/>
        <w:ind w:left="420" w:hanging="420"/>
      </w:pPr>
      <w:r>
        <w:rPr>
          <w:rFonts w:ascii="Times New Roman" w:cs="Times New Roman" w:eastAsia="Times New Roman" w:hAnsi="Times New Roman"/>
          <w:sz w:val="22"/>
          <w:szCs w:val="22"/>
        </w:rPr>
        <w:t xml:space="preserve">[25]  Australian Catholic University, “L08: User Interface Evaluation, Part 1,” ITEC631 lecture notes, Semester 2, 2026.</w:t>
      </w:r>
    </w:p>
    <w:p>
      <w:pPr>
        <w:spacing w:after="130" w:line="360"/>
        <w:ind w:left="420" w:hanging="420"/>
      </w:pPr>
      <w:r>
        <w:rPr>
          <w:rFonts w:ascii="Times New Roman" w:cs="Times New Roman" w:eastAsia="Times New Roman" w:hAnsi="Times New Roman"/>
          <w:sz w:val="22"/>
          <w:szCs w:val="22"/>
        </w:rPr>
        <w:t xml:space="preserve">[26]  E. U. Orunta, N. Thapaliya, and B. Paudel, “ResearchLens AI,” GitHub repository, 2026. [Online]. Available: https://github.com/EmmanuelOrunta/researchlens-ai</w:t>
      </w:r>
    </w:p>
    <w:p>
      <w:pPr>
        <w:pStyle w:val="Heading1"/>
        <w:pageBreakBefore/>
        <w:spacing w:after="160" w:before="320"/>
      </w:pPr>
      <w:r>
        <w:rPr>
          <w:rFonts w:ascii="Times New Roman" w:cs="Times New Roman" w:eastAsia="Times New Roman" w:hAnsi="Times New Roman"/>
          <w:b/>
          <w:bCs/>
          <w:color w:val="000000"/>
          <w:sz w:val="40"/>
          <w:szCs w:val="40"/>
        </w:rPr>
        <w:t xml:space="preserve">Appendix A — Literature-to-Decision Matrix</w:t>
      </w:r>
    </w:p>
    <w:p>
      <w:pPr>
        <w:spacing w:after="160" w:line="360"/>
        <w:jc w:val="both"/>
      </w:pPr>
      <w:r>
        <w:rPr>
          <w:rFonts w:ascii="Times New Roman" w:cs="Times New Roman" w:eastAsia="Times New Roman" w:hAnsi="Times New Roman"/>
          <w:b w:val="false"/>
          <w:bCs w:val="false"/>
          <w:i w:val="false"/>
          <w:iCs w:val="false"/>
          <w:sz w:val="24"/>
          <w:szCs w:val="24"/>
        </w:rPr>
        <w:t xml:space="preserve">The full literature-to-decision matrix — six peer-reviewed or preprint sources plus the standard literature-matrix textbook, with reviewer assignments confirming each team member reviewed or co-reviewed at least three sources — is presented as Table 3 in Section 3, directly beside the literature discussion it supports, rather than repeated here. This appendix is retained so the thesis keeps the assessment guide's full lettered-appendix structure.</w:t>
      </w:r>
    </w:p>
    <w:p>
      <w:pPr>
        <w:pStyle w:val="Heading1"/>
        <w:pageBreakBefore/>
        <w:spacing w:after="160" w:before="320"/>
      </w:pPr>
      <w:r>
        <w:rPr>
          <w:rFonts w:ascii="Times New Roman" w:cs="Times New Roman" w:eastAsia="Times New Roman" w:hAnsi="Times New Roman"/>
          <w:b/>
          <w:bCs/>
          <w:color w:val="000000"/>
          <w:sz w:val="40"/>
          <w:szCs w:val="40"/>
        </w:rPr>
        <w:t xml:space="preserve">Appendix B — Requirements Traceability</w:t>
      </w:r>
    </w:p>
    <w:p>
      <w:pPr>
        <w:spacing w:after="160" w:line="360"/>
        <w:jc w:val="both"/>
      </w:pPr>
      <w:r>
        <w:rPr>
          <w:rFonts w:ascii="Times New Roman" w:cs="Times New Roman" w:eastAsia="Times New Roman" w:hAnsi="Times New Roman"/>
          <w:b w:val="false"/>
          <w:bCs w:val="false"/>
          <w:i w:val="false"/>
          <w:iCs w:val="false"/>
          <w:sz w:val="24"/>
          <w:szCs w:val="24"/>
        </w:rPr>
        <w:t xml:space="preserve">The full ten-requirement traceability table (Section 4, Table 6 shows a three-row preview) tracing each requirement from the ITEC630 project plan through to the sprint that delivered it, the implementation, and the evidence that verifies it. Non-functional requirements are classified using the course's product / organisational / external taxonomy [19].</w:t>
      </w:r>
    </w:p>
    <w:tbl>
      <w:tblPr>
        <w:tblW w:type="dxa" w:w="9620"/>
        <w:tblBorders>
          <w:top w:val="single" w:color="999999" w:sz="4"/>
          <w:left w:val="single" w:color="999999" w:sz="4"/>
          <w:bottom w:val="single" w:color="999999" w:sz="4"/>
          <w:right w:val="single" w:color="999999" w:sz="4"/>
          <w:insideH w:val="single" w:color="CCCCCC" w:sz="2"/>
          <w:insideV w:val="single" w:color="CCCCCC" w:sz="2"/>
        </w:tblBorders>
      </w:tblPr>
      <w:tblGrid>
        <w:gridCol w:w="600"/>
        <w:gridCol w:w="2500"/>
        <w:gridCol w:w="1700"/>
        <w:gridCol w:w="900"/>
        <w:gridCol w:w="2000"/>
        <w:gridCol w:w="1920"/>
      </w:tblGrid>
      <w:tr>
        <w:tc>
          <w:tcPr>
            <w:tcW w:type="dxa" w:w="6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ID</w:t>
            </w:r>
          </w:p>
        </w:tc>
        <w:tc>
          <w:tcPr>
            <w:tcW w:type="dxa" w:w="25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Requirement</w:t>
            </w:r>
          </w:p>
        </w:tc>
        <w:tc>
          <w:tcPr>
            <w:tcW w:type="dxa" w:w="17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NFR category [19]</w:t>
            </w:r>
          </w:p>
        </w:tc>
        <w:tc>
          <w:tcPr>
            <w:tcW w:type="dxa" w:w="9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Sprint</w:t>
            </w:r>
          </w:p>
        </w:tc>
        <w:tc>
          <w:tcPr>
            <w:tcW w:type="dxa" w:w="2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Implementation</w:t>
            </w:r>
          </w:p>
        </w:tc>
        <w:tc>
          <w:tcPr>
            <w:tcW w:type="dxa" w:w="19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Test / evidence</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R1</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Secure registration and login</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Security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auth blueprint; bcrypt, cost 12</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test_auth.py</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R2</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Search academic papers via scholarly APIs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Dependability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semantic_scholar.py, openalex.py</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test_search_dedup.py</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R3</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Save papers to a research project</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Functional</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papers blueprint; paper_service.py</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Manual checklist</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R4</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AI-generated paper summaries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Functional</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openai_service.py (streamed)</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Manual checklist; AI-accuracy spot-check</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R5</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Automated literature comparison matrix</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Functional</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paper_service.py; matrix structure per [5]</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test_matrix_and_synthesis.py</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R6</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Question-answering over saved literature</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Functional</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Ask the Literature chat</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Manual checklist</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R7</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Connect every AI insight to its supporting source</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Dependability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evidence_service.py</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test_evidence_service.py (20+ tests)</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R8</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Prevent cross-account data access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Security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session-gated routes, auth checks</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Manual checklist (tampered-URL test, passed)</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R9</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Usable on mobile devices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Product — Usability</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Responsive CSS, hamburger navigation</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10-task usability script</w:t>
            </w:r>
          </w:p>
        </w:tc>
      </w:tr>
      <w:tr>
        <w:tc>
          <w:tcPr>
            <w:tcW w:type="dxa" w:w="6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R10</w:t>
            </w:r>
          </w:p>
        </w:tc>
        <w:tc>
          <w:tcPr>
            <w:tcW w:type="dxa" w:w="25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Demonstrable without relying on live external APIs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Organisational</w:t>
            </w:r>
          </w:p>
        </w:tc>
        <w:tc>
          <w:tcPr>
            <w:tcW w:type="dxa" w:w="9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Demo Mode, seeded dataset</w:t>
            </w:r>
          </w:p>
        </w:tc>
        <w:tc>
          <w:tcPr>
            <w:tcW w:type="dxa" w:w="1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Manual checklist</w:t>
            </w:r>
          </w:p>
        </w:tc>
      </w:tr>
    </w:tbl>
    <w:p>
      <w:pPr>
        <w:spacing w:after="220" w:before="80"/>
        <w:jc w:val="center"/>
      </w:pPr>
      <w:r>
        <w:rPr>
          <w:rFonts w:ascii="Times New Roman" w:cs="Times New Roman" w:eastAsia="Times New Roman" w:hAnsi="Times New Roman"/>
          <w:i/>
          <w:iCs/>
          <w:color w:val="595959"/>
          <w:sz w:val="20"/>
          <w:szCs w:val="20"/>
        </w:rPr>
        <w:t xml:space="preserve">Table B1. Requirements traceability (representative sample; full traceability retained in the project's own tracker).</w:t>
      </w:r>
    </w:p>
    <w:p>
      <w:pPr>
        <w:pStyle w:val="Heading1"/>
        <w:pageBreakBefore/>
        <w:spacing w:after="160" w:before="320"/>
      </w:pPr>
      <w:r>
        <w:rPr>
          <w:rFonts w:ascii="Times New Roman" w:cs="Times New Roman" w:eastAsia="Times New Roman" w:hAnsi="Times New Roman"/>
          <w:b/>
          <w:bCs/>
          <w:color w:val="000000"/>
          <w:sz w:val="40"/>
          <w:szCs w:val="40"/>
        </w:rPr>
        <w:t xml:space="preserve">Appendix C — System Models</w:t>
      </w:r>
    </w:p>
    <w:p>
      <w:pPr>
        <w:spacing w:after="160" w:line="360"/>
        <w:jc w:val="both"/>
      </w:pPr>
      <w:r>
        <w:rPr>
          <w:rFonts w:ascii="Times New Roman" w:cs="Times New Roman" w:eastAsia="Times New Roman" w:hAnsi="Times New Roman"/>
          <w:sz w:val="24"/>
          <w:szCs w:val="24"/>
        </w:rPr>
        <w:t xml:space="preserve">The system's structural, interaction and behavioural models — the layered/MVC architecture (Figure 1), the UML use case diagram (Figure 2), the interface wireframe (Figure 3) and the evidence-verification interaction flow (Figure 4) — together with the non-functional requirement taxonomy applied (Table 5), are presented in Sections 4 and 5, directly beside the design and implementation discussion they support, following Sommerville's standard account of system modelling </w:t>
      </w:r>
      <w:r>
        <w:rPr>
          <w:rFonts w:ascii="Times New Roman" w:cs="Times New Roman" w:eastAsia="Times New Roman" w:hAnsi="Times New Roman"/>
          <w:color w:val="5B2A86"/>
          <w:sz w:val="24"/>
          <w:szCs w:val="24"/>
        </w:rPr>
        <w:t xml:space="preserve">[8]</w:t>
      </w:r>
      <w:r>
        <w:rPr>
          <w:rFonts w:ascii="Times New Roman" w:cs="Times New Roman" w:eastAsia="Times New Roman" w:hAnsi="Times New Roman"/>
          <w:sz w:val="24"/>
          <w:szCs w:val="24"/>
        </w:rPr>
        <w:t xml:space="preserve">, rather than repeated here.</w:t>
      </w:r>
    </w:p>
    <w:p>
      <w:pPr>
        <w:pStyle w:val="Heading1"/>
        <w:pageBreakBefore/>
        <w:spacing w:after="160" w:before="320"/>
      </w:pPr>
      <w:r>
        <w:rPr>
          <w:rFonts w:ascii="Times New Roman" w:cs="Times New Roman" w:eastAsia="Times New Roman" w:hAnsi="Times New Roman"/>
          <w:b/>
          <w:bCs/>
          <w:color w:val="000000"/>
          <w:sz w:val="40"/>
          <w:szCs w:val="40"/>
        </w:rPr>
        <w:t xml:space="preserve">Appendix D — Test Evidence</w:t>
      </w:r>
    </w:p>
    <w:p>
      <w:pPr>
        <w:spacing w:after="160" w:line="360"/>
        <w:jc w:val="both"/>
      </w:pPr>
      <w:r>
        <w:rPr>
          <w:rFonts w:ascii="Times New Roman" w:cs="Times New Roman" w:eastAsia="Times New Roman" w:hAnsi="Times New Roman"/>
          <w:b w:val="false"/>
          <w:bCs w:val="false"/>
          <w:i w:val="false"/>
          <w:iCs w:val="false"/>
          <w:sz w:val="24"/>
          <w:szCs w:val="24"/>
        </w:rPr>
        <w:t xml:space="preserve">The automated test suite (38+ tests across five files) is summarised as Table 8 in Section 6, beside the evaluation discussion it supports. The manual, usability and AI-accuracy spot-check evidence that complements it is detailed below.</w:t>
      </w:r>
    </w:p>
    <w:p>
      <w:pPr>
        <w:pStyle w:val="Heading2"/>
        <w:spacing w:after="120" w:before="240"/>
      </w:pPr>
      <w:r>
        <w:rPr>
          <w:rFonts w:ascii="Times New Roman" w:cs="Times New Roman" w:eastAsia="Times New Roman" w:hAnsi="Times New Roman"/>
          <w:b/>
          <w:bCs/>
          <w:color w:val="000000"/>
          <w:sz w:val="32"/>
          <w:szCs w:val="32"/>
        </w:rPr>
        <w:t xml:space="preserve">Manual, usability and spot-check evidence (system / user level [24][25])</w:t>
      </w:r>
    </w:p>
    <w:p>
      <w:pPr>
        <w:pStyle w:val="ListParagraph"/>
        <w:numPr>
          <w:ilvl w:val="0"/>
          <w:numId w:val="2"/>
        </w:numPr>
        <w:spacing w:after="70" w:line="360"/>
      </w:pPr>
      <w:r>
        <w:rPr>
          <w:rFonts w:ascii="Times New Roman" w:cs="Times New Roman" w:eastAsia="Times New Roman" w:hAnsi="Times New Roman"/>
          <w:sz w:val="24"/>
          <w:szCs w:val="24"/>
        </w:rPr>
        <w:t xml:space="preserve">14-section manual testing checklist (sections A–N): accounts &amp; authentication, dashboard, project management, academic search, the My Papers/AI-analysis hub, AI summary, relevance analysis, the literature matrix (including Excel/PDF/Word export), paper synthesis, Ask the Literature, notes, settings, and mobile &amp; responsive layout, concluding with a cross-cutting security check (section N: editing a project/paper URL to point at another account's data, tested and denied).</w:t>
      </w:r>
    </w:p>
    <w:p>
      <w:pPr>
        <w:pStyle w:val="ListParagraph"/>
        <w:numPr>
          <w:ilvl w:val="0"/>
          <w:numId w:val="2"/>
        </w:numPr>
        <w:spacing w:after="70" w:line="360"/>
      </w:pPr>
      <w:r>
        <w:rPr>
          <w:rFonts w:ascii="Times New Roman" w:cs="Times New Roman" w:eastAsia="Times New Roman" w:hAnsi="Times New Roman"/>
          <w:sz w:val="24"/>
          <w:szCs w:val="24"/>
        </w:rPr>
        <w:t xml:space="preserve">Usability test script: 10 tasks (register → create project → search &amp; save → AI summary → add a note → extract a matrix row → synthesis → ask the literature → toggle dark mode → logout), each on a fresh account, followed by a 3-question debrief on where testers hesitated, what took longer than expected, and what they would change [25]. Run by the team across Sprints 3–5 (see Section 7 limitation).</w:t>
      </w:r>
    </w:p>
    <w:p>
      <w:pPr>
        <w:pStyle w:val="ListParagraph"/>
        <w:numPr>
          <w:ilvl w:val="0"/>
          <w:numId w:val="2"/>
        </w:numPr>
        <w:spacing w:after="70" w:line="360"/>
      </w:pPr>
      <w:r>
        <w:rPr>
          <w:rFonts w:ascii="Times New Roman" w:cs="Times New Roman" w:eastAsia="Times New Roman" w:hAnsi="Times New Roman"/>
          <w:sz w:val="24"/>
          <w:szCs w:val="24"/>
        </w:rPr>
        <w:t xml:space="preserve">AI-accuracy spot-check: AI-generated summaries, relevance analysis and Ask the Literature answers manually checked against the source text for 4–5 real saved papers.</w:t>
      </w:r>
    </w:p>
    <w:p>
      <w:pPr>
        <w:pStyle w:val="Heading1"/>
        <w:pageBreakBefore/>
        <w:spacing w:after="160" w:before="320"/>
      </w:pPr>
      <w:r>
        <w:rPr>
          <w:rFonts w:ascii="Times New Roman" w:cs="Times New Roman" w:eastAsia="Times New Roman" w:hAnsi="Times New Roman"/>
          <w:b/>
          <w:bCs/>
          <w:color w:val="000000"/>
          <w:sz w:val="40"/>
          <w:szCs w:val="40"/>
        </w:rPr>
        <w:t xml:space="preserve">Appendix E — Survey Data Summary</w:t>
      </w:r>
    </w:p>
    <w:p>
      <w:pPr>
        <w:spacing w:after="160" w:line="360"/>
        <w:jc w:val="both"/>
      </w:pPr>
      <w:r>
        <w:rPr>
          <w:rFonts w:ascii="Times New Roman" w:cs="Times New Roman" w:eastAsia="Times New Roman" w:hAnsi="Times New Roman"/>
          <w:b w:val="false"/>
          <w:bCs w:val="false"/>
          <w:i w:val="false"/>
          <w:iCs w:val="false"/>
          <w:sz w:val="24"/>
          <w:szCs w:val="24"/>
        </w:rPr>
        <w:t xml:space="preserve">A ten-respondent, anonymous Google Form survey (informal convenience sample of peers and postgraduate contacts, collected August–September 2026) was used to validate the requirements driving the evidence-tracking feature. Likert items used a 1–5 scale. Section 6, Table 9 presents the headline findings; the full item-level breakdown is retained here as supporting evidence.</w:t>
      </w:r>
    </w:p>
    <w:tbl>
      <w:tblPr>
        <w:tblW w:type="dxa" w:w="9220"/>
        <w:tblBorders>
          <w:top w:val="single" w:color="999999" w:sz="4"/>
          <w:left w:val="single" w:color="999999" w:sz="4"/>
          <w:bottom w:val="single" w:color="999999" w:sz="4"/>
          <w:right w:val="single" w:color="999999" w:sz="4"/>
          <w:insideH w:val="single" w:color="CCCCCC" w:sz="2"/>
          <w:insideV w:val="single" w:color="CCCCCC" w:sz="2"/>
        </w:tblBorders>
      </w:tblPr>
      <w:tblGrid>
        <w:gridCol w:w="5100"/>
        <w:gridCol w:w="1200"/>
        <w:gridCol w:w="2920"/>
      </w:tblGrid>
      <w:tr>
        <w:tc>
          <w:tcPr>
            <w:tcW w:type="dxa" w:w="51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Difficulty item (1 = easy, 5 = very hard)</w:t>
            </w:r>
          </w:p>
        </w:tc>
        <w:tc>
          <w:tcPr>
            <w:tcW w:type="dxa" w:w="12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Mean (n=10)</w:t>
            </w:r>
          </w:p>
        </w:tc>
        <w:tc>
          <w:tcPr>
            <w:tcW w:type="dxa" w:w="29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Note</w:t>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Checking whether AI statements are supported by real sources (Q10)</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4.00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Joint-hardest item</w:t>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Identifying research gaps (Q9)</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4.00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Joint-hardest item</w:t>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Building a comparison matrix (Q8)</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3.80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Finding relevant papers (Q5)</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3.50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Keeping papers organised (Q6)</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3.50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Extracting methodology/sample/findings (Q7)</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3.20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Lowest-rated difficulty</w:t>
            </w:r>
          </w:p>
        </w:tc>
      </w:tr>
    </w:tbl>
    <w:p>
      <w:pPr>
        <w:spacing w:after="220" w:before="80"/>
        <w:jc w:val="center"/>
      </w:pPr>
      <w:r>
        <w:rPr>
          <w:rFonts w:ascii="Times New Roman" w:cs="Times New Roman" w:eastAsia="Times New Roman" w:hAnsi="Times New Roman"/>
          <w:i/>
          <w:iCs/>
          <w:color w:val="595959"/>
          <w:sz w:val="20"/>
          <w:szCs w:val="20"/>
        </w:rPr>
        <w:t xml:space="preserve">Table E1. Literature-review pain points (Q5–Q10).</w:t>
      </w:r>
    </w:p>
    <w:tbl>
      <w:tblPr>
        <w:tblW w:type="dxa" w:w="9220"/>
        <w:tblBorders>
          <w:top w:val="single" w:color="999999" w:sz="4"/>
          <w:left w:val="single" w:color="999999" w:sz="4"/>
          <w:bottom w:val="single" w:color="999999" w:sz="4"/>
          <w:right w:val="single" w:color="999999" w:sz="4"/>
          <w:insideH w:val="single" w:color="CCCCCC" w:sz="2"/>
          <w:insideV w:val="single" w:color="CCCCCC" w:sz="2"/>
        </w:tblBorders>
      </w:tblPr>
      <w:tblGrid>
        <w:gridCol w:w="5100"/>
        <w:gridCol w:w="1200"/>
        <w:gridCol w:w="2920"/>
      </w:tblGrid>
      <w:tr>
        <w:tc>
          <w:tcPr>
            <w:tcW w:type="dxa" w:w="51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Candidate AI feature — desirability (1–5) (Q11a–g)</w:t>
            </w:r>
          </w:p>
        </w:tc>
        <w:tc>
          <w:tcPr>
            <w:tcW w:type="dxa" w:w="12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Mean (n=10)</w:t>
            </w:r>
          </w:p>
        </w:tc>
        <w:tc>
          <w:tcPr>
            <w:tcW w:type="dxa" w:w="29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Note</w:t>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Showing supporting sources for every AI claim (Q11f)</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3.40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Highest-rated of the seven — directly built as the evidence-tracking feature</w:t>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AI analysis of papers — methodology, findings, limitations (Q11c)</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3.30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Searching multiple academic sources in one place (Q11a)</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3.10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Auto-generated literature matrix (Q11d)</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3.10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Potential research-gap detection (Q11g)</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3.10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Asking questions about your saved papers (Q11e)</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3.00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
            </w:r>
          </w:p>
        </w:tc>
      </w:tr>
      <w:tr>
        <w:tc>
          <w:tcPr>
            <w:tcW w:type="dxa" w:w="51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Saving papers into research projects (Q11b)</w:t>
            </w:r>
          </w:p>
        </w:tc>
        <w:tc>
          <w:tcPr>
            <w:tcW w:type="dxa" w:w="12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2.90</w:t>
            </w:r>
          </w:p>
        </w:tc>
        <w:tc>
          <w:tcPr>
            <w:tcW w:type="dxa" w:w="29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Lowest-rated of the seven</w:t>
            </w:r>
          </w:p>
        </w:tc>
      </w:tr>
    </w:tbl>
    <w:p>
      <w:pPr>
        <w:spacing w:after="220" w:before="80"/>
        <w:jc w:val="center"/>
      </w:pPr>
      <w:r>
        <w:rPr>
          <w:rFonts w:ascii="Times New Roman" w:cs="Times New Roman" w:eastAsia="Times New Roman" w:hAnsi="Times New Roman"/>
          <w:i/>
          <w:iCs/>
          <w:color w:val="595959"/>
          <w:sz w:val="20"/>
          <w:szCs w:val="20"/>
        </w:rPr>
        <w:t xml:space="preserve">Table E2. Desirability of candidate AI features (Q11a–g).</w:t>
      </w:r>
    </w:p>
    <w:p>
      <w:pPr>
        <w:spacing w:after="160" w:line="360"/>
        <w:jc w:val="both"/>
      </w:pPr>
      <w:r>
        <w:rPr>
          <w:rFonts w:ascii="Times New Roman" w:cs="Times New Roman" w:eastAsia="Times New Roman" w:hAnsi="Times New Roman"/>
          <w:b w:val="false"/>
          <w:bCs w:val="false"/>
          <w:i w:val="false"/>
          <w:iCs w:val="false"/>
          <w:sz w:val="24"/>
          <w:szCs w:val="24"/>
        </w:rPr>
        <w:t xml:space="preserve">Q12 — “I would trust an AI answer more if it showed the supporting papers”: 7 Neutral, 1 Agree, 1 Strongly agree, 1 Strongly disagree (n = 10). Q13 — most-wanted automation target: writing summaries (3 respondents), building comparison matrices (2), searching for papers (2), identifying research gaps (2), checking citations/evidence (1). All statistics were computed directly from the raw CSV export rather than estimated.</w:t>
      </w:r>
    </w:p>
    <w:p>
      <w:pPr>
        <w:pStyle w:val="Heading1"/>
        <w:pageBreakBefore/>
        <w:spacing w:after="160" w:before="320"/>
      </w:pPr>
      <w:r>
        <w:rPr>
          <w:rFonts w:ascii="Times New Roman" w:cs="Times New Roman" w:eastAsia="Times New Roman" w:hAnsi="Times New Roman"/>
          <w:b/>
          <w:bCs/>
          <w:color w:val="000000"/>
          <w:sz w:val="40"/>
          <w:szCs w:val="40"/>
        </w:rPr>
        <w:t xml:space="preserve">Appendix F — Technical Handover</w:t>
      </w:r>
    </w:p>
    <w:p>
      <w:pPr>
        <w:spacing w:after="160" w:line="360"/>
        <w:jc w:val="both"/>
      </w:pPr>
      <w:r>
        <w:rPr>
          <w:rFonts w:ascii="Times New Roman" w:cs="Times New Roman" w:eastAsia="Times New Roman" w:hAnsi="Times New Roman"/>
          <w:sz w:val="24"/>
          <w:szCs w:val="24"/>
        </w:rPr>
        <w:t xml:space="preserve">ResearchLens AI is a Flask 3.x application structured as: blueprints for auth, main, papers and settings; a services/ layer (paper_service.py, openai_service.py, evidence_service.py, semantic_scholar.py, openalex.py, pdf_service.py); SQLAlchemy models for Users, Projects, Papers, Analysis, Notes and Evidence; Jinja2 templates and hand-written CSS (static/); and a tests/ directory with 5 pytest files (38+ tests). The complete, version-controlled source code is maintained in the team's GitHub repository </w:t>
      </w:r>
      <w:r>
        <w:rPr>
          <w:rFonts w:ascii="Times New Roman" w:cs="Times New Roman" w:eastAsia="Times New Roman" w:hAnsi="Times New Roman"/>
          <w:color w:val="5B2A86"/>
          <w:sz w:val="24"/>
          <w:szCs w:val="24"/>
        </w:rPr>
        <w:t xml:space="preserve">[26]</w:t>
      </w:r>
      <w:r>
        <w:rPr>
          <w:rFonts w:ascii="Times New Roman" w:cs="Times New Roman" w:eastAsia="Times New Roman" w:hAnsi="Times New Roman"/>
          <w:sz w:val="24"/>
          <w:szCs w:val="24"/>
        </w:rPr>
        <w:t xml:space="preserve">.</w:t>
      </w:r>
    </w:p>
    <w:p>
      <w:pPr>
        <w:pStyle w:val="Heading3"/>
        <w:spacing w:after="90" w:before="180"/>
      </w:pPr>
      <w:r>
        <w:rPr>
          <w:rFonts w:ascii="Times New Roman" w:cs="Times New Roman" w:eastAsia="Times New Roman" w:hAnsi="Times New Roman"/>
          <w:b/>
          <w:bCs/>
          <w:i w:val="false"/>
          <w:iCs w:val="false"/>
          <w:color w:val="000000"/>
          <w:sz w:val="24"/>
          <w:szCs w:val="24"/>
        </w:rPr>
        <w:t xml:space="preserve">Setup</w:t>
      </w:r>
    </w:p>
    <w:p>
      <w:pPr>
        <w:pStyle w:val="ListParagraph"/>
        <w:numPr>
          <w:ilvl w:val="0"/>
          <w:numId w:val="2"/>
        </w:numPr>
        <w:spacing w:after="70" w:line="360"/>
      </w:pPr>
      <w:r>
        <w:rPr>
          <w:rFonts w:ascii="Times New Roman" w:cs="Times New Roman" w:eastAsia="Times New Roman" w:hAnsi="Times New Roman"/>
          <w:sz w:val="24"/>
          <w:szCs w:val="24"/>
        </w:rPr>
        <w:t xml:space="preserve">Clone the team's GitHub repository [26] or extract the submitted code snapshot.</w:t>
      </w:r>
    </w:p>
    <w:p>
      <w:pPr>
        <w:pStyle w:val="ListParagraph"/>
        <w:numPr>
          <w:ilvl w:val="0"/>
          <w:numId w:val="2"/>
        </w:numPr>
        <w:spacing w:after="70" w:line="360"/>
      </w:pPr>
      <w:r>
        <w:rPr>
          <w:rFonts w:ascii="Times New Roman" w:cs="Times New Roman" w:eastAsia="Times New Roman" w:hAnsi="Times New Roman"/>
          <w:sz w:val="24"/>
          <w:szCs w:val="24"/>
        </w:rPr>
        <w:t xml:space="preserve">Create a Python 3 virtual environment and install dependencies from requirements.txt.</w:t>
      </w:r>
    </w:p>
    <w:p>
      <w:pPr>
        <w:pStyle w:val="ListParagraph"/>
        <w:numPr>
          <w:ilvl w:val="0"/>
          <w:numId w:val="2"/>
        </w:numPr>
        <w:spacing w:after="70" w:line="360"/>
      </w:pPr>
      <w:r>
        <w:rPr>
          <w:rFonts w:ascii="Times New Roman" w:cs="Times New Roman" w:eastAsia="Times New Roman" w:hAnsi="Times New Roman"/>
          <w:sz w:val="24"/>
          <w:szCs w:val="24"/>
        </w:rPr>
        <w:t xml:space="preserve">Copy .env.example to .env and supply an OpenAI API key; Semantic Scholar and OpenAlex are used at their free, keyless tiers.</w:t>
      </w:r>
    </w:p>
    <w:p>
      <w:pPr>
        <w:pStyle w:val="ListParagraph"/>
        <w:numPr>
          <w:ilvl w:val="0"/>
          <w:numId w:val="2"/>
        </w:numPr>
        <w:spacing w:after="70" w:line="360"/>
      </w:pPr>
      <w:r>
        <w:rPr>
          <w:rFonts w:ascii="Times New Roman" w:cs="Times New Roman" w:eastAsia="Times New Roman" w:hAnsi="Times New Roman"/>
          <w:sz w:val="24"/>
          <w:szCs w:val="24"/>
        </w:rPr>
        <w:t xml:space="preserve">Run the project's hand-rolled column-migration helper to initialise the SQLite schema, then start the Flask development server.</w:t>
      </w:r>
    </w:p>
    <w:p>
      <w:pPr>
        <w:pStyle w:val="ListParagraph"/>
        <w:numPr>
          <w:ilvl w:val="0"/>
          <w:numId w:val="2"/>
        </w:numPr>
        <w:spacing w:after="70" w:line="360"/>
      </w:pPr>
      <w:r>
        <w:rPr>
          <w:rFonts w:ascii="Times New Roman" w:cs="Times New Roman" w:eastAsia="Times New Roman" w:hAnsi="Times New Roman"/>
          <w:sz w:val="24"/>
          <w:szCs w:val="24"/>
        </w:rPr>
        <w:t xml:space="preserve">Demo Mode provides a seeded account and local dataset so the application can be demonstrated without live API access.</w:t>
      </w:r>
    </w:p>
    <w:p>
      <w:pPr>
        <w:pStyle w:val="Heading3"/>
        <w:spacing w:after="90" w:before="180"/>
      </w:pPr>
      <w:r>
        <w:rPr>
          <w:rFonts w:ascii="Times New Roman" w:cs="Times New Roman" w:eastAsia="Times New Roman" w:hAnsi="Times New Roman"/>
          <w:b/>
          <w:bCs/>
          <w:i w:val="false"/>
          <w:iCs w:val="false"/>
          <w:color w:val="000000"/>
          <w:sz w:val="24"/>
          <w:szCs w:val="24"/>
        </w:rPr>
        <w:t xml:space="preserve">Known issues (disclosed)</w:t>
      </w:r>
    </w:p>
    <w:p>
      <w:pPr>
        <w:pStyle w:val="ListParagraph"/>
        <w:numPr>
          <w:ilvl w:val="0"/>
          <w:numId w:val="2"/>
        </w:numPr>
        <w:spacing w:after="70" w:line="360"/>
      </w:pPr>
      <w:r>
        <w:rPr>
          <w:rFonts w:ascii="Times New Roman" w:cs="Times New Roman" w:eastAsia="Times New Roman" w:hAnsi="Times New Roman"/>
          <w:sz w:val="24"/>
          <w:szCs w:val="24"/>
        </w:rPr>
        <w:t xml:space="preserve">A small number of unused database columns remain from a reverted email/two-step-verification feature, parked after an unresolved Windows OpenSSL certificate-chain issue; a certifi-based fix was identified but not reapplied before submission, to protect stability.</w:t>
      </w:r>
    </w:p>
    <w:p>
      <w:pPr>
        <w:pStyle w:val="ListParagraph"/>
        <w:numPr>
          <w:ilvl w:val="0"/>
          <w:numId w:val="2"/>
        </w:numPr>
        <w:spacing w:after="70" w:line="360"/>
      </w:pPr>
      <w:r>
        <w:rPr>
          <w:rFonts w:ascii="Times New Roman" w:cs="Times New Roman" w:eastAsia="Times New Roman" w:hAnsi="Times New Roman"/>
          <w:sz w:val="24"/>
          <w:szCs w:val="24"/>
        </w:rPr>
        <w:t xml:space="preserve">Retrieval is deterministic rather than embeddings-based, so very large saved-paper libraries beyond the scale tested may see degraded relevance (see Section 7).</w:t>
      </w:r>
    </w:p>
    <w:p>
      <w:pPr>
        <w:pStyle w:val="ListParagraph"/>
        <w:numPr>
          <w:ilvl w:val="0"/>
          <w:numId w:val="2"/>
        </w:numPr>
        <w:spacing w:after="70" w:line="360"/>
      </w:pPr>
      <w:r>
        <w:rPr>
          <w:rFonts w:ascii="Times New Roman" w:cs="Times New Roman" w:eastAsia="Times New Roman" w:hAnsi="Times New Roman"/>
          <w:sz w:val="24"/>
          <w:szCs w:val="24"/>
        </w:rPr>
        <w:t xml:space="preserve">Only a single user role exists; there is no admin or reviewer role in this prototype.</w:t>
      </w:r>
    </w:p>
    <w:p>
      <w:pPr>
        <w:spacing w:after="160" w:line="360"/>
        <w:jc w:val="both"/>
      </w:pPr>
      <w:r>
        <w:rPr>
          <w:rFonts w:ascii="Times New Roman" w:cs="Times New Roman" w:eastAsia="Times New Roman" w:hAnsi="Times New Roman"/>
          <w:b w:val="false"/>
          <w:bCs w:val="false"/>
          <w:i w:val="false"/>
          <w:iCs w:val="false"/>
          <w:sz w:val="24"/>
          <w:szCs w:val="24"/>
        </w:rPr>
        <w:t xml:space="preserve">All API keys, passwords and identifiable user data have been removed from the submitted package. A .env.example file documents the required environment variables without real values, per the submission checklist.</w:t>
      </w:r>
    </w:p>
    <w:p>
      <w:pPr>
        <w:pStyle w:val="Heading1"/>
        <w:pageBreakBefore/>
        <w:spacing w:after="160" w:before="320"/>
      </w:pPr>
      <w:r>
        <w:rPr>
          <w:rFonts w:ascii="Times New Roman" w:cs="Times New Roman" w:eastAsia="Times New Roman" w:hAnsi="Times New Roman"/>
          <w:b/>
          <w:bCs/>
          <w:color w:val="000000"/>
          <w:sz w:val="40"/>
          <w:szCs w:val="40"/>
        </w:rPr>
        <w:t xml:space="preserve">Appendix G — AI Disclosure</w:t>
      </w:r>
    </w:p>
    <w:p>
      <w:pPr>
        <w:spacing w:after="120" w:line="360"/>
        <w:jc w:val="both"/>
      </w:pPr>
      <w:r>
        <w:rPr>
          <w:rFonts w:ascii="Times New Roman" w:cs="Times New Roman" w:eastAsia="Times New Roman" w:hAnsi="Times New Roman"/>
          <w:b w:val="false"/>
          <w:bCs w:val="false"/>
          <w:i w:val="false"/>
          <w:iCs w:val="false"/>
          <w:sz w:val="24"/>
          <w:szCs w:val="24"/>
        </w:rPr>
        <w:t xml:space="preserve">Generative AI tool used: Claude (Anthropic, Sonnet 5 model).</w:t>
      </w:r>
    </w:p>
    <w:p>
      <w:pPr>
        <w:spacing w:after="120" w:line="360"/>
        <w:jc w:val="both"/>
      </w:pPr>
      <w:r>
        <w:rPr>
          <w:rFonts w:ascii="Times New Roman" w:cs="Times New Roman" w:eastAsia="Times New Roman" w:hAnsi="Times New Roman"/>
          <w:b w:val="false"/>
          <w:bCs w:val="false"/>
          <w:i w:val="false"/>
          <w:iCs w:val="false"/>
          <w:sz w:val="24"/>
          <w:szCs w:val="24"/>
        </w:rPr>
        <w:t xml:space="preserve">Purpose: the team used Claude to (1) help structure and draft this thesis from the team's own ITEC630 project plan, sprint roadmap, AT2 presentation and source-code comments; (2) search for and independently verify the citation details of the external academic literature used in Section 3; (3) compute the descriptive statistics in Section 6 and Appendix E directly from the team's own raw requirements-survey CSV export; (4) generate Figures 1–4, including Figure 3's conceptual interface wireframe, from a written description of the already-built system; and (5) proofread prose and check it against the AT3 guide's word-count targets.</w:t>
      </w:r>
    </w:p>
    <w:p>
      <w:pPr>
        <w:spacing w:after="120" w:line="360"/>
        <w:jc w:val="both"/>
      </w:pPr>
      <w:r>
        <w:rPr>
          <w:rFonts w:ascii="Times New Roman" w:cs="Times New Roman" w:eastAsia="Times New Roman" w:hAnsi="Times New Roman"/>
          <w:b w:val="false"/>
          <w:bCs w:val="false"/>
          <w:i w:val="false"/>
          <w:iCs w:val="false"/>
          <w:sz w:val="24"/>
          <w:szCs w:val="24"/>
        </w:rPr>
        <w:t xml:space="preserve">Artefacts influenced: this thesis document (drafting and structure), Figures 1–4, and the literature search underlying Section 3. No application code, test suite, or survey data was generated or altered by AI — the software, the 38+ automated tests, the manual checklist, the usability script results and the survey responses are the team's own prior work from Sprints 1–5, used here only as evidence. Figure 3 is a conceptual wireframe used to illustrate the evidence-chip interaction, not a screenshot of the running application.</w:t>
      </w:r>
    </w:p>
    <w:p>
      <w:pPr>
        <w:spacing w:after="120" w:line="360"/>
        <w:jc w:val="both"/>
      </w:pPr>
      <w:r>
        <w:rPr>
          <w:rFonts w:ascii="Times New Roman" w:cs="Times New Roman" w:eastAsia="Times New Roman" w:hAnsi="Times New Roman"/>
          <w:b w:val="false"/>
          <w:bCs w:val="false"/>
          <w:i w:val="false"/>
          <w:iCs w:val="false"/>
          <w:sz w:val="24"/>
          <w:szCs w:val="24"/>
        </w:rPr>
        <w:t xml:space="preserve">Checking and integration: every AI-drafted claim about the system was checked against the team's own project plan, sprint roadmap and AT2 materials; every academic citation was independently verified against its source before inclusion; survey statistics were recomputed programmatically from the raw CSV rather than taken on trust. All three team members reviewed the full draft, corrected anything that did not match their own knowledge of the project, and take responsibility for the final submitted content.</w:t>
      </w:r>
    </w:p>
    <w:p>
      <w:pPr>
        <w:spacing w:after="160" w:line="360"/>
        <w:jc w:val="both"/>
      </w:pPr>
      <w:r>
        <w:rPr>
          <w:rFonts w:ascii="Times New Roman" w:cs="Times New Roman" w:eastAsia="Times New Roman" w:hAnsi="Times New Roman"/>
          <w:b w:val="false"/>
          <w:bCs w:val="false"/>
          <w:i/>
          <w:iCs/>
          <w:sz w:val="24"/>
          <w:szCs w:val="24"/>
        </w:rPr>
        <w:t xml:space="preserve">Note: this disclosure is a working draft prepared alongside the thesis. It must be transferred to ACU's official AI disclosure form and signed by all team members before submission.</w:t>
      </w:r>
    </w:p>
    <w:p>
      <w:pPr>
        <w:pStyle w:val="Heading1"/>
        <w:pageBreakBefore/>
        <w:spacing w:after="160" w:before="320"/>
      </w:pPr>
      <w:r>
        <w:rPr>
          <w:rFonts w:ascii="Times New Roman" w:cs="Times New Roman" w:eastAsia="Times New Roman" w:hAnsi="Times New Roman"/>
          <w:b/>
          <w:bCs/>
          <w:color w:val="000000"/>
          <w:sz w:val="40"/>
          <w:szCs w:val="40"/>
        </w:rPr>
        <w:t xml:space="preserve">Individual Evidence</w:t>
      </w:r>
    </w:p>
    <w:p>
      <w:pPr>
        <w:spacing w:after="200" w:line="360"/>
        <w:jc w:val="both"/>
      </w:pPr>
      <w:r>
        <w:rPr>
          <w:rFonts w:ascii="Times New Roman" w:cs="Times New Roman" w:eastAsia="Times New Roman" w:hAnsi="Times New Roman"/>
          <w:b w:val="false"/>
          <w:bCs w:val="false"/>
          <w:i w:val="false"/>
          <w:iCs w:val="false"/>
          <w:sz w:val="24"/>
          <w:szCs w:val="24"/>
        </w:rPr>
        <w:t xml:space="preserve">This section provides the consolidated team contribution statement required by the AT3 guide, followed by each member's individual reflection (maximum 400 words each). Reflections are presented as team-reviewed first drafts; each named member is responsible for verifying, personalising and signing their own reflection before submission.</w:t>
      </w:r>
    </w:p>
    <w:p>
      <w:pPr>
        <w:pStyle w:val="Heading2"/>
        <w:spacing w:after="120" w:before="240"/>
      </w:pPr>
      <w:r>
        <w:rPr>
          <w:rFonts w:ascii="Times New Roman" w:cs="Times New Roman" w:eastAsia="Times New Roman" w:hAnsi="Times New Roman"/>
          <w:b/>
          <w:bCs/>
          <w:color w:val="000000"/>
          <w:sz w:val="32"/>
          <w:szCs w:val="32"/>
        </w:rPr>
        <w:t xml:space="preserve">Contribution Matrix</w:t>
      </w:r>
    </w:p>
    <w:tbl>
      <w:tblPr>
        <w:tblW w:type="dxa" w:w="9320"/>
        <w:tblBorders>
          <w:top w:val="single" w:color="999999" w:sz="4"/>
          <w:left w:val="single" w:color="999999" w:sz="4"/>
          <w:bottom w:val="single" w:color="999999" w:sz="4"/>
          <w:right w:val="single" w:color="999999" w:sz="4"/>
          <w:insideH w:val="single" w:color="CCCCCC" w:sz="2"/>
          <w:insideV w:val="single" w:color="CCCCCC" w:sz="2"/>
        </w:tblBorders>
      </w:tblPr>
      <w:tblGrid>
        <w:gridCol w:w="1700"/>
        <w:gridCol w:w="2000"/>
        <w:gridCol w:w="2400"/>
        <w:gridCol w:w="1700"/>
        <w:gridCol w:w="1520"/>
      </w:tblGrid>
      <w:tr>
        <w:tc>
          <w:tcPr>
            <w:tcW w:type="dxa" w:w="17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Team member</w:t>
            </w:r>
          </w:p>
        </w:tc>
        <w:tc>
          <w:tcPr>
            <w:tcW w:type="dxa" w:w="20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Primary contribution area</w:t>
            </w:r>
          </w:p>
        </w:tc>
        <w:tc>
          <w:tcPr>
            <w:tcW w:type="dxa" w:w="24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Key technical features led</w:t>
            </w:r>
          </w:p>
        </w:tc>
        <w:tc>
          <w:tcPr>
            <w:tcW w:type="dxa" w:w="170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Thesis sections drafted</w:t>
            </w:r>
          </w:p>
        </w:tc>
        <w:tc>
          <w:tcPr>
            <w:tcW w:type="dxa" w:w="1520"/>
            <w:shd w:fill="EDE4F5" w:val="clear"/>
            <w:tcMar>
              <w:top w:type="dxa" w:w="80"/>
              <w:left w:type="dxa" w:w="110"/>
              <w:bottom w:type="dxa" w:w="80"/>
              <w:right w:type="dxa" w:w="110"/>
            </w:tcMar>
            <w:vAlign w:val="center"/>
          </w:tcPr>
          <w:p>
            <w:r>
              <w:rPr>
                <w:rFonts w:ascii="Times New Roman" w:cs="Times New Roman" w:eastAsia="Times New Roman" w:hAnsi="Times New Roman"/>
                <w:b/>
                <w:bCs/>
                <w:color w:val="000000"/>
                <w:sz w:val="20"/>
                <w:szCs w:val="20"/>
              </w:rPr>
              <w:t xml:space="preserve">Literature reviewed</w:t>
            </w:r>
          </w:p>
        </w:tc>
      </w:tr>
      <w:tr>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Emmanuel Uchenna Orunta</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AI integration &amp; backend architecture</w:t>
            </w:r>
          </w:p>
        </w:tc>
        <w:tc>
          <w:tcPr>
            <w:tcW w:type="dxa" w:w="2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OpenAI Responses API streaming (Summary, Relevance, Synthesis, Chat); Flask/Streamlit pivot; evidence-tracking design</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Exec. Summary; §2 Context; §4 Methodology; §6 RQ discussion; §7 Conclusion</w:t>
            </w:r>
          </w:p>
        </w:tc>
        <w:tc>
          <w:tcPr>
            <w:tcW w:type="dxa" w:w="15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[2], [4], [6]</w:t>
            </w:r>
          </w:p>
        </w:tc>
      </w:tr>
      <w:tr>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Nikita Thapaliya</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Frontend, UX design &amp; usability testing</w:t>
            </w:r>
          </w:p>
        </w:tc>
        <w:tc>
          <w:tcPr>
            <w:tcW w:type="dxa" w:w="2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Design system/CSS theming; light/dark theme; mobile navigation; chat UI redesign; requirements survey design</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§4 Requirements &amp; design (UX); §6 Usability evidence; Appendix E</w:t>
            </w:r>
          </w:p>
        </w:tc>
        <w:tc>
          <w:tcPr>
            <w:tcW w:type="dxa" w:w="15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[1], [5], [2] (co-review)</w:t>
            </w:r>
          </w:p>
        </w:tc>
      </w:tr>
      <w:tr>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Bibek Paudel</w:t>
            </w:r>
          </w:p>
        </w:tc>
        <w:tc>
          <w:tcPr>
            <w:tcW w:type="dxa" w:w="20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Data layer, integrations &amp; QA</w:t>
            </w:r>
          </w:p>
        </w:tc>
        <w:tc>
          <w:tcPr>
            <w:tcW w:type="dxa" w:w="24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SQLAlchemy models; Semantic Scholar/OpenAlex search &amp; de-duplication; automated test suite (38+ tests)</w:t>
            </w:r>
          </w:p>
        </w:tc>
        <w:tc>
          <w:tcPr>
            <w:tcW w:type="dxa" w:w="170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§5 Implementation; §6 Automated-test evidence; Appendix D</w:t>
            </w:r>
          </w:p>
        </w:tc>
        <w:tc>
          <w:tcPr>
            <w:tcW w:type="dxa" w:w="1520"/>
            <w:tcMar>
              <w:top w:type="dxa" w:w="80"/>
              <w:left w:type="dxa" w:w="110"/>
              <w:bottom w:type="dxa" w:w="80"/>
              <w:right w:type="dxa" w:w="110"/>
            </w:tcMar>
            <w:vAlign w:val="center"/>
          </w:tcPr>
          <w:p>
            <w:r>
              <w:rPr>
                <w:rFonts w:ascii="Times New Roman" w:cs="Times New Roman" w:eastAsia="Times New Roman" w:hAnsi="Times New Roman"/>
                <w:color w:val="000000"/>
                <w:sz w:val="20"/>
                <w:szCs w:val="20"/>
              </w:rPr>
              <w:t xml:space="preserve">[3], [4] (co-review), [5] (co-review)</w:t>
            </w:r>
          </w:p>
        </w:tc>
      </w:tr>
    </w:tbl>
    <w:p>
      <w:pPr>
        <w:spacing w:after="220" w:before="80"/>
        <w:jc w:val="center"/>
      </w:pPr>
      <w:r>
        <w:rPr>
          <w:rFonts w:ascii="Times New Roman" w:cs="Times New Roman" w:eastAsia="Times New Roman" w:hAnsi="Times New Roman"/>
          <w:i/>
          <w:iCs/>
          <w:color w:val="595959"/>
          <w:sz w:val="20"/>
          <w:szCs w:val="20"/>
        </w:rPr>
        <w:t xml:space="preserve">Table I1. Contribution matrix (research, technical and writing contribution).</w:t>
      </w:r>
    </w:p>
    <w:p>
      <w:pPr>
        <w:spacing w:after="240" w:line="360"/>
        <w:jc w:val="both"/>
      </w:pPr>
      <w:r>
        <w:rPr>
          <w:rFonts w:ascii="Times New Roman" w:cs="Times New Roman" w:eastAsia="Times New Roman" w:hAnsi="Times New Roman"/>
          <w:b w:val="false"/>
          <w:bCs w:val="false"/>
          <w:i w:val="false"/>
          <w:iCs w:val="false"/>
          <w:sz w:val="24"/>
          <w:szCs w:val="24"/>
        </w:rPr>
        <w:t xml:space="preserve">Evidence for the above: service-layer and model source files, the Sprint 1 architecture pivot record, the AT2 presentation deck, templates/ and static/ commit history, the usability test script, and the tests/ directory with its 38+ passing automated tests.</w:t>
      </w:r>
    </w:p>
    <w:p>
      <w:pPr>
        <w:pStyle w:val="Heading2"/>
        <w:pageBreakBefore/>
        <w:spacing w:after="120" w:before="240"/>
      </w:pPr>
      <w:r>
        <w:rPr>
          <w:rFonts w:ascii="Times New Roman" w:cs="Times New Roman" w:eastAsia="Times New Roman" w:hAnsi="Times New Roman"/>
          <w:b/>
          <w:bCs/>
          <w:color w:val="000000"/>
          <w:sz w:val="32"/>
          <w:szCs w:val="32"/>
        </w:rPr>
        <w:t xml:space="preserve">Reflection — Emmanuel Uchenna Orunta</w:t>
      </w:r>
    </w:p>
    <w:p>
      <w:pPr>
        <w:spacing w:after="160" w:line="360"/>
        <w:jc w:val="both"/>
      </w:pPr>
      <w:r>
        <w:rPr>
          <w:rFonts w:ascii="Times New Roman" w:cs="Times New Roman" w:eastAsia="Times New Roman" w:hAnsi="Times New Roman"/>
          <w:b w:val="false"/>
          <w:bCs w:val="false"/>
          <w:i w:val="false"/>
          <w:iCs w:val="false"/>
          <w:sz w:val="24"/>
          <w:szCs w:val="24"/>
        </w:rPr>
        <w:t xml:space="preserve">My primary contribution to ResearchLens AI was the AI integration and backend architecture: the OpenAI Responses API integration across Summary, Relevance Analysis, Synthesis and Chat, and the Sprint 1 decision to move the whole project off Streamlit onto Flask once I realised Streamlit's rendering model would cap how much control we had over layout and UX — a decision made early enough that it cost us a rebuild, not a redesign, in week one rather than week five.</w:t>
      </w:r>
    </w:p>
    <w:p>
      <w:pPr>
        <w:spacing w:after="160" w:line="360"/>
        <w:jc w:val="both"/>
      </w:pPr>
      <w:r>
        <w:rPr>
          <w:rFonts w:ascii="Times New Roman" w:cs="Times New Roman" w:eastAsia="Times New Roman" w:hAnsi="Times New Roman"/>
          <w:b w:val="false"/>
          <w:bCs w:val="false"/>
          <w:i w:val="false"/>
          <w:iCs w:val="false"/>
          <w:sz w:val="24"/>
          <w:szCs w:val="24"/>
        </w:rPr>
        <w:t xml:space="preserve">The decision I am proudest of is the one behind this thesis's whole argument: treating every AI-generated claim as something to be checked, not trusted. Reading the literature for this assessment, particularly the finding that a measurable share of LLM-generated citations in published work turn out to be fabricated, confirmed something we had already designed around in Sprint 5 without having the academic language for it yet. Writing the evidence_service.py verification logic taught me that “grounding” an AI answer is not one feature, it is a discipline: every prompt has to carry exactly the text a claim must be checked against, and every claim has to be checked against exactly that text afterwards, with no shortcuts.</w:t>
      </w:r>
    </w:p>
    <w:p>
      <w:pPr>
        <w:spacing w:after="160" w:line="360"/>
        <w:jc w:val="both"/>
      </w:pPr>
      <w:r>
        <w:rPr>
          <w:rFonts w:ascii="Times New Roman" w:cs="Times New Roman" w:eastAsia="Times New Roman" w:hAnsi="Times New Roman"/>
          <w:b w:val="false"/>
          <w:bCs w:val="false"/>
          <w:i w:val="false"/>
          <w:iCs w:val="false"/>
          <w:sz w:val="24"/>
          <w:szCs w:val="24"/>
        </w:rPr>
        <w:t xml:space="preserve">The hardest moment was the Sprint 4 decision not to build the planned OpenAI Agent. It was on the roadmap, I had sketched how it would work, and descoping it felt like admitting defeat. In hindsight it was the most professionally mature call we made: an under-tested autonomous feature in a live demo is a liability, not an achievement, and our actual test coverage (38+ tests, over 20 of them on the evidence mechanism alone) is stronger evidence of engineering judgement than a half-working Agent would have been.</w:t>
      </w:r>
    </w:p>
    <w:p>
      <w:pPr>
        <w:spacing w:after="160" w:line="360"/>
        <w:jc w:val="both"/>
      </w:pPr>
      <w:r>
        <w:rPr>
          <w:rFonts w:ascii="Times New Roman" w:cs="Times New Roman" w:eastAsia="Times New Roman" w:hAnsi="Times New Roman"/>
          <w:b w:val="false"/>
          <w:bCs w:val="false"/>
          <w:i w:val="false"/>
          <w:iCs w:val="false"/>
          <w:sz w:val="24"/>
          <w:szCs w:val="24"/>
        </w:rPr>
        <w:t xml:space="preserve">Ethically, the responsibility I take most seriously is that ResearchLens AI touches how people engage with academic literature — if our evidence-checking logic has a gap, a user could trust something that was never actually said in the source paper. That is why I pushed for the citation chip to show “not verified verbatim” rather than hide ambiguous cases: honesty about uncertainty, even inside our own interface, matters more than a clean-looking screen.</w:t>
      </w:r>
    </w:p>
    <w:p>
      <w:pPr>
        <w:spacing w:after="160" w:line="360"/>
        <w:jc w:val="both"/>
      </w:pPr>
      <w:r>
        <w:rPr>
          <w:rFonts w:ascii="Times New Roman" w:cs="Times New Roman" w:eastAsia="Times New Roman" w:hAnsi="Times New Roman"/>
          <w:b w:val="false"/>
          <w:bCs w:val="false"/>
          <w:i w:val="false"/>
          <w:iCs w:val="false"/>
          <w:sz w:val="24"/>
          <w:szCs w:val="24"/>
        </w:rPr>
        <w:t xml:space="preserve">Professionally, this project moved me from writing code that works to defending architectural decisions under real constraints — timeline, team size, and now, evidence. That is the shift I most want to carry into my next project.</w:t>
      </w:r>
    </w:p>
    <w:p>
      <w:pPr>
        <w:pStyle w:val="Heading2"/>
        <w:pageBreakBefore/>
        <w:spacing w:after="120" w:before="240"/>
      </w:pPr>
      <w:r>
        <w:rPr>
          <w:rFonts w:ascii="Times New Roman" w:cs="Times New Roman" w:eastAsia="Times New Roman" w:hAnsi="Times New Roman"/>
          <w:b/>
          <w:bCs/>
          <w:color w:val="000000"/>
          <w:sz w:val="32"/>
          <w:szCs w:val="32"/>
        </w:rPr>
        <w:t xml:space="preserve">Reflection — Nikita Thapaliya</w:t>
      </w:r>
    </w:p>
    <w:p>
      <w:pPr>
        <w:spacing w:after="160" w:line="360"/>
        <w:jc w:val="both"/>
      </w:pPr>
      <w:r>
        <w:rPr>
          <w:rFonts w:ascii="Times New Roman" w:cs="Times New Roman" w:eastAsia="Times New Roman" w:hAnsi="Times New Roman"/>
          <w:b w:val="false"/>
          <w:bCs w:val="false"/>
          <w:i w:val="false"/>
          <w:iCs w:val="false"/>
          <w:sz w:val="24"/>
          <w:szCs w:val="24"/>
        </w:rPr>
        <w:t xml:space="preserve">My contribution centred on the frontend, UX design and usability testing: the Jinja2/CSS design system, the light/dark theme (applied before paint so users never see a flash of the wrong theme), the mobile hamburger navigation added after we actually tried the app on a phone in Sprint 5, and the redesigned chat interface for Ask the Literature. I also led the design and analysis of the ten-respondent requirements survey behind Section 3 and Appendix E of this thesis.</w:t>
      </w:r>
    </w:p>
    <w:p>
      <w:pPr>
        <w:spacing w:after="160" w:line="360"/>
        <w:jc w:val="both"/>
      </w:pPr>
      <w:r>
        <w:rPr>
          <w:rFonts w:ascii="Times New Roman" w:cs="Times New Roman" w:eastAsia="Times New Roman" w:hAnsi="Times New Roman"/>
          <w:b w:val="false"/>
          <w:bCs w:val="false"/>
          <w:i w:val="false"/>
          <w:iCs w:val="false"/>
          <w:sz w:val="24"/>
          <w:szCs w:val="24"/>
        </w:rPr>
        <w:t xml:space="preserve">The piece of work I am most proud of is the survey, not because the results were flattering, but because they weren't automatically flattering and I reported that honestly. I expected “I would trust an AI answer more if it showed the supporting papers” to score strongly positive; instead most respondents were neutral. Writing that into the thesis, instead of quietly emphasising only the results that supported our design, was the harder, more defensible choice, and it taught me something about research integrity that a clean result never would have.</w:t>
      </w:r>
    </w:p>
    <w:p>
      <w:pPr>
        <w:spacing w:after="160" w:line="360"/>
        <w:jc w:val="both"/>
      </w:pPr>
      <w:r>
        <w:rPr>
          <w:rFonts w:ascii="Times New Roman" w:cs="Times New Roman" w:eastAsia="Times New Roman" w:hAnsi="Times New Roman"/>
          <w:b w:val="false"/>
          <w:bCs w:val="false"/>
          <w:i w:val="false"/>
          <w:iCs w:val="false"/>
          <w:sz w:val="24"/>
          <w:szCs w:val="24"/>
        </w:rPr>
        <w:t xml:space="preserve">The biggest challenge was accepting that our usability evidence has a real limitation: we tested the ten-task script ourselves, heavily, across Sprints 3 to 5, rather than recruiting outside testers. It was the practical choice given our timeline, and it produced genuine, organic usage data, but it is not the same as a formal outside pass, and I made sure that limitation is stated plainly in Section 7 rather than implied away.</w:t>
      </w:r>
    </w:p>
    <w:p>
      <w:pPr>
        <w:spacing w:after="160" w:line="360"/>
        <w:jc w:val="both"/>
      </w:pPr>
      <w:r>
        <w:rPr>
          <w:rFonts w:ascii="Times New Roman" w:cs="Times New Roman" w:eastAsia="Times New Roman" w:hAnsi="Times New Roman"/>
          <w:b w:val="false"/>
          <w:bCs w:val="false"/>
          <w:i w:val="false"/>
          <w:iCs w:val="false"/>
          <w:sz w:val="24"/>
          <w:szCs w:val="24"/>
        </w:rPr>
        <w:t xml:space="preserve">Working through the course's usability-evaluation material on Nielsen's heuristics and formal usability-testing phases while writing this thesis also changed how I look back at our own design decisions: the theme and navigation work was a reasonable, defensible informal review, but I can now see exactly where a formal heuristic evaluation with severity ratings would have added rigour we didn't have time for, and I would schedule it as a feature from day one next time rather than fitting it in near the end.</w:t>
      </w:r>
    </w:p>
    <w:p>
      <w:pPr>
        <w:spacing w:after="160" w:line="360"/>
        <w:jc w:val="both"/>
      </w:pPr>
      <w:r>
        <w:rPr>
          <w:rFonts w:ascii="Times New Roman" w:cs="Times New Roman" w:eastAsia="Times New Roman" w:hAnsi="Times New Roman"/>
          <w:b w:val="false"/>
          <w:bCs w:val="false"/>
          <w:i w:val="false"/>
          <w:iCs w:val="false"/>
          <w:sz w:val="24"/>
          <w:szCs w:val="24"/>
        </w:rPr>
        <w:t xml:space="preserve">This project pushed my UX work from “does it look right” to “can I show evidence it works,” which is the professional habit I most want to keep.</w:t>
      </w:r>
    </w:p>
    <w:p>
      <w:pPr>
        <w:pStyle w:val="Heading2"/>
        <w:pageBreakBefore/>
        <w:spacing w:after="120" w:before="240"/>
      </w:pPr>
      <w:r>
        <w:rPr>
          <w:rFonts w:ascii="Times New Roman" w:cs="Times New Roman" w:eastAsia="Times New Roman" w:hAnsi="Times New Roman"/>
          <w:b/>
          <w:bCs/>
          <w:color w:val="000000"/>
          <w:sz w:val="32"/>
          <w:szCs w:val="32"/>
        </w:rPr>
        <w:t xml:space="preserve">Reflection — Bibek Paudel</w:t>
      </w:r>
    </w:p>
    <w:p>
      <w:pPr>
        <w:spacing w:after="160" w:line="360"/>
        <w:jc w:val="both"/>
      </w:pPr>
      <w:r>
        <w:rPr>
          <w:rFonts w:ascii="Times New Roman" w:cs="Times New Roman" w:eastAsia="Times New Roman" w:hAnsi="Times New Roman"/>
          <w:b w:val="false"/>
          <w:bCs w:val="false"/>
          <w:i w:val="false"/>
          <w:iCs w:val="false"/>
          <w:sz w:val="24"/>
          <w:szCs w:val="24"/>
        </w:rPr>
        <w:t xml:space="preserve">My contribution was the data layer, third-party integrations and quality assurance: the SQLAlchemy models (Users, Projects, Papers, Analysis, Notes, Evidence), the Semantic Scholar and OpenAlex search integration with DOI-based de-duplication, and the automated test suite — 38+ tests across five files, including the 20+ tests covering evidence_service.py that this thesis leans on most heavily as evidence for RQ1.</w:t>
      </w:r>
    </w:p>
    <w:p>
      <w:pPr>
        <w:spacing w:after="160" w:line="360"/>
        <w:jc w:val="both"/>
      </w:pPr>
      <w:r>
        <w:rPr>
          <w:rFonts w:ascii="Times New Roman" w:cs="Times New Roman" w:eastAsia="Times New Roman" w:hAnsi="Times New Roman"/>
          <w:b w:val="false"/>
          <w:bCs w:val="false"/>
          <w:i w:val="false"/>
          <w:iCs w:val="false"/>
          <w:sz w:val="24"/>
          <w:szCs w:val="24"/>
        </w:rPr>
        <w:t xml:space="preserve">Writing those 20-plus evidence-verification tests was the most technically demanding part of my contribution, and also the most important once I understood why they mattered. Before this assessment I thought of testing mainly as checking that code doesn't crash; working through the course's material on validation testing versus defect testing while writing this thesis reframed it for me. Our evidence tests are deliberately adversarial: malformed quotes, paraphrased claims, edge cases in how the model formats its citation block. That is defect testing in the course's own sense, and it is the reason I can say with confidence, not hope, that the verification mechanism fails safely rather than silently.</w:t>
      </w:r>
    </w:p>
    <w:p>
      <w:pPr>
        <w:spacing w:after="160" w:line="360"/>
        <w:jc w:val="both"/>
      </w:pPr>
      <w:r>
        <w:rPr>
          <w:rFonts w:ascii="Times New Roman" w:cs="Times New Roman" w:eastAsia="Times New Roman" w:hAnsi="Times New Roman"/>
          <w:b w:val="false"/>
          <w:bCs w:val="false"/>
          <w:i w:val="false"/>
          <w:iCs w:val="false"/>
          <w:sz w:val="24"/>
          <w:szCs w:val="24"/>
        </w:rPr>
        <w:t xml:space="preserve">Integrating Semantic Scholar and OpenAlex also taught me a lesson about services we don't control: both are free, well-documented APIs, but neither is something our team can fix if it changes or goes down. Isolating each behind its own module, so a schema change in one API doesn't ripple into the rest of the app, was a design habit I picked up specifically because of that risk, not a default I would have reached for otherwise.</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 I feel most responsible for is retrieval. Our deterministic, project-scoped prompting approach passed every test we wrote for it, but I know it is not true semantic search, and I was the one most aware, sprint to sprint, of how much simpler it was to build and verify than the embeddings-based pipeline we originally planned. I think that was the right trade-off for an eight-week, three-person project, but I don't want to overstate it as equivalent to what we didn't build, and Section 7 says so plainly.</w:t>
      </w:r>
    </w:p>
    <w:p>
      <w:pPr>
        <w:spacing w:after="160" w:line="360"/>
        <w:jc w:val="both"/>
      </w:pPr>
      <w:r>
        <w:rPr>
          <w:rFonts w:ascii="Times New Roman" w:cs="Times New Roman" w:eastAsia="Times New Roman" w:hAnsi="Times New Roman"/>
          <w:b w:val="false"/>
          <w:bCs w:val="false"/>
          <w:i w:val="false"/>
          <w:iCs w:val="false"/>
          <w:sz w:val="24"/>
          <w:szCs w:val="24"/>
        </w:rPr>
        <w:t xml:space="preserve">This project is where testing stopped being a chore I did at the end and became the main way I could actually defend that our AI features do what we claim.</w:t>
      </w: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8C8C"/>
        <w:sz w:val="16"/>
        <w:szCs w:val="16"/>
      </w:rPr>
      <w:t xml:space="preserve">ResearchLens AI — ITEC631 Assessment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d1ce7944554a6c087b95412f2520b489f4bde4c.png"/><Relationship Id="rId10" Type="http://schemas.openxmlformats.org/officeDocument/2006/relationships/image" Target="media/61d20d4cae763b8a587d1bb3c9b9ca725e6ae90b.png"/><Relationship Id="rId11" Type="http://schemas.openxmlformats.org/officeDocument/2006/relationships/image" Target="media/99fc108aa6f9748e4017e0de8acc7e3f633768ac.png"/><Relationship Id="rId12" Type="http://schemas.openxmlformats.org/officeDocument/2006/relationships/image" Target="media/b4d5698aaaed0c11fb4e0d28f1254ad68488130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2026-10-25T05:31:27.599Z</dcterms:created>
  <dcterms:modified xsi:type="dcterms:W3CDTF">2026-10-25T05:31:27.603Z</dcterms:modified>
</cp:coreProperties>
</file>

<file path=docProps/custom.xml><?xml version="1.0" encoding="utf-8"?>
<Properties xmlns="http://schemas.openxmlformats.org/officeDocument/2006/custom-properties" xmlns:vt="http://schemas.openxmlformats.org/officeDocument/2006/docPropsVTypes"/>
</file>