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3"/>
        <w:tblpPr w:leftFromText="141" w:rightFromText="141" w:vertAnchor="page" w:horzAnchor="page" w:tblpX="1109" w:tblpY="1"/>
        <w:tblW w:w="11132" w:type="dxa"/>
        <w:tblLook w:val="04A0" w:firstRow="1" w:lastRow="0" w:firstColumn="1" w:lastColumn="0" w:noHBand="0" w:noVBand="1"/>
      </w:tblPr>
      <w:tblGrid>
        <w:gridCol w:w="2240"/>
        <w:gridCol w:w="1382"/>
        <w:gridCol w:w="1297"/>
        <w:gridCol w:w="1598"/>
        <w:gridCol w:w="1890"/>
        <w:gridCol w:w="1779"/>
        <w:gridCol w:w="1216"/>
      </w:tblGrid>
      <w:tr w:rsidR="00006E9C" w:rsidTr="00C9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06E9C" w:rsidRDefault="00006E9C" w:rsidP="00CA6DD1">
            <w:r>
              <w:t>Riesgo</w:t>
            </w:r>
          </w:p>
        </w:tc>
        <w:tc>
          <w:tcPr>
            <w:tcW w:w="1382" w:type="dxa"/>
          </w:tcPr>
          <w:p w:rsidR="00006E9C" w:rsidRDefault="00006E9C" w:rsidP="00CA6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1297" w:type="dxa"/>
          </w:tcPr>
          <w:p w:rsidR="00006E9C" w:rsidRDefault="00006E9C" w:rsidP="00CA6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Efectos</w:t>
            </w:r>
          </w:p>
        </w:tc>
        <w:tc>
          <w:tcPr>
            <w:tcW w:w="1598" w:type="dxa"/>
          </w:tcPr>
          <w:p w:rsidR="00006E9C" w:rsidRDefault="00006E9C" w:rsidP="00CA6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Clasificación</w:t>
            </w:r>
          </w:p>
        </w:tc>
        <w:tc>
          <w:tcPr>
            <w:tcW w:w="1456" w:type="dxa"/>
          </w:tcPr>
          <w:p w:rsidR="00006E9C" w:rsidRDefault="00006E9C" w:rsidP="00CA6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Estrategias de disminución</w:t>
            </w:r>
          </w:p>
        </w:tc>
        <w:tc>
          <w:tcPr>
            <w:tcW w:w="1779" w:type="dxa"/>
          </w:tcPr>
          <w:p w:rsidR="00006E9C" w:rsidRDefault="00006E9C" w:rsidP="00CA6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Estrategias de contingencia </w:t>
            </w:r>
          </w:p>
        </w:tc>
        <w:tc>
          <w:tcPr>
            <w:tcW w:w="1380" w:type="dxa"/>
          </w:tcPr>
          <w:p w:rsidR="00006E9C" w:rsidRDefault="00006E9C" w:rsidP="00CA6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Estrategias de anulación </w:t>
            </w:r>
          </w:p>
        </w:tc>
      </w:tr>
      <w:tr w:rsidR="00006E9C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06E9C" w:rsidRDefault="00C925B3" w:rsidP="00C925B3">
            <w:r>
              <w:t>Problemas de c</w:t>
            </w:r>
            <w:r w:rsidR="00006E9C">
              <w:t>omunicación entre el personal</w:t>
            </w:r>
          </w:p>
        </w:tc>
        <w:tc>
          <w:tcPr>
            <w:tcW w:w="1382" w:type="dxa"/>
          </w:tcPr>
          <w:p w:rsidR="00006E9C" w:rsidRDefault="00006E9C" w:rsidP="00CA6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006E9C" w:rsidRDefault="00006E9C" w:rsidP="00CA6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Tolerable</w:t>
            </w:r>
          </w:p>
        </w:tc>
        <w:tc>
          <w:tcPr>
            <w:tcW w:w="1598" w:type="dxa"/>
          </w:tcPr>
          <w:p w:rsidR="00006E9C" w:rsidRDefault="00006E9C" w:rsidP="00CA6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personas</w:t>
            </w:r>
          </w:p>
        </w:tc>
        <w:tc>
          <w:tcPr>
            <w:tcW w:w="1456" w:type="dxa"/>
          </w:tcPr>
          <w:p w:rsidR="00006E9C" w:rsidRDefault="00006E9C" w:rsidP="00CA6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mejor solución a esta situación es establecer un canal de comunicación abierto, entre todos los integrantes del equipo, estar atento a </w:t>
            </w:r>
            <w:r w:rsidR="00CA6DD1">
              <w:t>avisos</w:t>
            </w:r>
            <w:r>
              <w:t xml:space="preserve"> y cambios en el desarrollo del proyecto</w:t>
            </w:r>
            <w:r w:rsidR="00CA6DD1">
              <w:t xml:space="preserve"> y/o cambio de prioridades </w:t>
            </w:r>
            <w:r>
              <w:t xml:space="preserve">.  </w:t>
            </w:r>
          </w:p>
        </w:tc>
        <w:tc>
          <w:tcPr>
            <w:tcW w:w="1779" w:type="dxa"/>
          </w:tcPr>
          <w:p w:rsidR="00006E9C" w:rsidRDefault="00006E9C" w:rsidP="00CA6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006E9C" w:rsidRDefault="00006E9C" w:rsidP="00CA6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 xml:space="preserve">Falta de conocimiento 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mejor para esta situación es disminuir las flaquezas de conocimiento entre cada uno de los integrantes documentándose e investigando cuando se presente una situación cuya solución se desconozca así como apoyar y recibir apoyo entre todos los integrantes del equipo.</w:t>
            </w: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Conflictos Internos en el equipo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personas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mejor solución a esta situación es tener una coordinación equilibrada y con prioridades compartidas manteniendo el canal de </w:t>
            </w:r>
            <w:r>
              <w:lastRenderedPageBreak/>
              <w:t xml:space="preserve">comunicación abierto y respetando diferencias personales </w:t>
            </w: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lastRenderedPageBreak/>
              <w:t>Hardware no disponible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herramientas</w:t>
            </w:r>
          </w:p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Reducción en el tiempo del proyecto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estimación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Requerimientos no fueron correctamente establecidos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Catastrófica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Problemas con el cliente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personas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medida tomada ante situación es tener una coordinación con el/los clientes así como un canal de comunicación constantemente activo.</w:t>
            </w: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 xml:space="preserve">Rotación de personal 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organizacional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No Calcular los costos del software correctamente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estimación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Falta de experiencia en el área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</w:t>
            </w:r>
          </w:p>
        </w:tc>
        <w:tc>
          <w:tcPr>
            <w:tcW w:w="1456" w:type="dxa"/>
          </w:tcPr>
          <w:p w:rsidR="00C925B3" w:rsidRDefault="00C925B3" w:rsidP="0061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mejor medida ante esta situación es que todos los integrantes del equipo reciban capacitación constante de las </w:t>
            </w:r>
            <w:r w:rsidR="00617350">
              <w:t>diferentes herramientas existentes según su área específica así como un constante análisis de las herramientas más usadas en el desarrollo de software</w:t>
            </w: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Falta de Motivación en el personal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Tolerable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personas</w:t>
            </w:r>
          </w:p>
        </w:tc>
        <w:tc>
          <w:tcPr>
            <w:tcW w:w="1456" w:type="dxa"/>
          </w:tcPr>
          <w:p w:rsidR="00C925B3" w:rsidRDefault="00617350" w:rsidP="003A5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Ante esta situación lo más recomendable es reconocer los </w:t>
            </w:r>
            <w:r>
              <w:lastRenderedPageBreak/>
              <w:t>objetivos cumplidos y tareas satisfactoriamente finalizadas por el equipo así como fomentar una convivencia agradable</w:t>
            </w:r>
            <w:r w:rsidR="003A502E">
              <w:t xml:space="preserve"> entre </w:t>
            </w:r>
            <w:bookmarkStart w:id="0" w:name="_GoBack"/>
            <w:bookmarkEnd w:id="0"/>
            <w:r w:rsidR="003A502E">
              <w:t>los integrantes</w:t>
            </w: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lastRenderedPageBreak/>
              <w:t>El esfuerzo es mayor que el estimado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estimación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Cronograma mal planeado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Organizacional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Mal estructuración del proyecto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Organizacional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Roles mal definidos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Organizacional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Pobre comunicación de pendientes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Organizacional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Consultas mal diseñadas a nivel BD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Tecnología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No liberar recursos utilizados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Tecnología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Equipos de desarrollo lentos(computadoras)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Tolerable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Herramientas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Problemas con los servidores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Tecnología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Un IDE inadecuado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Tolerable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Herramientas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Gran dependencia de herramientas privadas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Herramientas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/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Cambio de fecha final del proyecto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Catastrófico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Ampliación o cambios del proyecto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Moderado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Organizacional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5B3" w:rsidTr="00C9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Muebles incomodos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Herramientas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5B3" w:rsidTr="00C9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C925B3" w:rsidRDefault="00C925B3" w:rsidP="00C925B3">
            <w:r>
              <w:t>Atraso en Tareas</w:t>
            </w:r>
          </w:p>
        </w:tc>
        <w:tc>
          <w:tcPr>
            <w:tcW w:w="1382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97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  <w:tc>
          <w:tcPr>
            <w:tcW w:w="1598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Organizacional</w:t>
            </w:r>
          </w:p>
        </w:tc>
        <w:tc>
          <w:tcPr>
            <w:tcW w:w="1456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9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:rsidR="00C925B3" w:rsidRDefault="00C925B3" w:rsidP="00C92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5C1D" w:rsidRDefault="00C85C1D" w:rsidP="00C85C1D">
      <w:pPr>
        <w:pStyle w:val="Ttulo1"/>
        <w:jc w:val="center"/>
        <w:rPr>
          <w:sz w:val="72"/>
          <w:szCs w:val="72"/>
        </w:rPr>
      </w:pPr>
      <w:r w:rsidRPr="0028106F">
        <w:rPr>
          <w:sz w:val="72"/>
          <w:szCs w:val="72"/>
        </w:rPr>
        <w:t>Análisis de riesgos</w:t>
      </w:r>
    </w:p>
    <w:p w:rsidR="00C85C1D" w:rsidRDefault="00C85C1D" w:rsidP="00C85C1D"/>
    <w:p w:rsidR="00C85C1D" w:rsidRPr="00F235E0" w:rsidRDefault="00C85C1D" w:rsidP="00C85C1D">
      <w:r>
        <w:t>Tecnología, personas, organizacional, herramientas, requerimientos, estimación</w:t>
      </w:r>
    </w:p>
    <w:p w:rsidR="00F235E0" w:rsidRPr="00F235E0" w:rsidRDefault="00F235E0" w:rsidP="00C85C1D">
      <w:pPr>
        <w:pStyle w:val="Ttulo1"/>
        <w:jc w:val="center"/>
      </w:pPr>
    </w:p>
    <w:sectPr w:rsidR="00F235E0" w:rsidRPr="00F23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C38" w:rsidRDefault="00385C38" w:rsidP="00C85C1D">
      <w:pPr>
        <w:spacing w:after="0" w:line="240" w:lineRule="auto"/>
      </w:pPr>
      <w:r>
        <w:separator/>
      </w:r>
    </w:p>
  </w:endnote>
  <w:endnote w:type="continuationSeparator" w:id="0">
    <w:p w:rsidR="00385C38" w:rsidRDefault="00385C38" w:rsidP="00C8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C38" w:rsidRDefault="00385C38" w:rsidP="00C85C1D">
      <w:pPr>
        <w:spacing w:after="0" w:line="240" w:lineRule="auto"/>
      </w:pPr>
      <w:r>
        <w:separator/>
      </w:r>
    </w:p>
  </w:footnote>
  <w:footnote w:type="continuationSeparator" w:id="0">
    <w:p w:rsidR="00385C38" w:rsidRDefault="00385C38" w:rsidP="00C85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6F"/>
    <w:rsid w:val="00006E9C"/>
    <w:rsid w:val="00193E84"/>
    <w:rsid w:val="0028106F"/>
    <w:rsid w:val="00325A80"/>
    <w:rsid w:val="00385C38"/>
    <w:rsid w:val="003A502E"/>
    <w:rsid w:val="0044231A"/>
    <w:rsid w:val="00617350"/>
    <w:rsid w:val="008B0F7B"/>
    <w:rsid w:val="00A3284B"/>
    <w:rsid w:val="00B63526"/>
    <w:rsid w:val="00C6048C"/>
    <w:rsid w:val="00C85C1D"/>
    <w:rsid w:val="00C925B3"/>
    <w:rsid w:val="00CA6DD1"/>
    <w:rsid w:val="00CC029E"/>
    <w:rsid w:val="00DA2F81"/>
    <w:rsid w:val="00F235E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474A"/>
  <w15:chartTrackingRefBased/>
  <w15:docId w15:val="{54D13CFC-2C4C-4C05-9B28-63159113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2810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81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5C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C1D"/>
  </w:style>
  <w:style w:type="paragraph" w:styleId="Piedepgina">
    <w:name w:val="footer"/>
    <w:basedOn w:val="Normal"/>
    <w:link w:val="PiedepginaCar"/>
    <w:uiPriority w:val="99"/>
    <w:unhideWhenUsed/>
    <w:rsid w:val="00C85C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Rodriguez</dc:creator>
  <cp:keywords/>
  <dc:description/>
  <cp:lastModifiedBy>JUAN</cp:lastModifiedBy>
  <cp:revision>6</cp:revision>
  <dcterms:created xsi:type="dcterms:W3CDTF">2019-04-29T16:33:00Z</dcterms:created>
  <dcterms:modified xsi:type="dcterms:W3CDTF">2019-05-02T17:20:00Z</dcterms:modified>
</cp:coreProperties>
</file>