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f4f1673cdb443f8" /><Relationship Type="http://schemas.openxmlformats.org/package/2006/relationships/metadata/core-properties" Target="/docProps/core.xml" Id="Rddc169be653a4299" /><Relationship Type="http://schemas.openxmlformats.org/officeDocument/2006/relationships/extended-properties" Target="/docProps/app.xml" Id="Rdc1844481c7c4644" /><Relationship Type="http://schemas.openxmlformats.org/officeDocument/2006/relationships/custom-properties" Target="/docProps/custom.xml" Id="R8599b9baa68c4e68"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before="360" w:after="160"/>
      </w:pPr>
      <w:r>
        <w:rPr>
          <w:b/>
          <w:sz w:val="36"/>
        </w:rPr>
        <w:t xml:space="preserve">Table of Contents</w:t>
      </w:r>
    </w:p>
    <w:p w14:paraId="00100002" w14:textId="00100003">
      <w:pPr>
        <w:pStyle w:val="Normal"/>
        <w:spacing w:after="240"/>
      </w:pPr>
      <w:r>
        <w:rPr>
          <w:sz w:val="22"/>
        </w:rPr>
        <w:t xml:space="preserve">1.  Project Title .................................................. 1</w:t>
      </w:r>
    </w:p>
    <w:p w14:paraId="00100004" w14:textId="00100005">
      <w:pPr>
        <w:pStyle w:val="Normal"/>
        <w:spacing w:after="240"/>
      </w:pPr>
      <w:r>
        <w:rPr>
          <w:sz w:val="22"/>
        </w:rPr>
        <w:t xml:space="preserve">2.  Executive Summary ............................................. 1</w:t>
      </w:r>
    </w:p>
    <w:p w14:paraId="00100006" w14:textId="00100007">
      <w:pPr>
        <w:pStyle w:val="Normal"/>
        <w:spacing w:after="240"/>
      </w:pPr>
      <w:r>
        <w:rPr>
          <w:sz w:val="22"/>
        </w:rPr>
        <w:t xml:space="preserve">3.  Business Problem .............................................. 2</w:t>
      </w:r>
    </w:p>
    <w:p w14:paraId="00100008" w14:textId="00100009">
      <w:pPr>
        <w:pStyle w:val="Normal"/>
        <w:spacing w:after="240"/>
      </w:pPr>
      <w:r>
        <w:rPr>
          <w:sz w:val="22"/>
        </w:rPr>
        <w:t xml:space="preserve">4.  Business Objective ............................................. 2</w:t>
      </w:r>
    </w:p>
    <w:p w14:paraId="0010000A" w14:textId="0010000B">
      <w:pPr>
        <w:pStyle w:val="Normal"/>
        <w:spacing w:after="240"/>
      </w:pPr>
      <w:r>
        <w:rPr>
          <w:sz w:val="22"/>
        </w:rPr>
        <w:t xml:space="preserve">5.  Dataset Description ............................................ 3</w:t>
      </w:r>
    </w:p>
    <w:p w14:paraId="0010000C" w14:textId="0010000D">
      <w:pPr>
        <w:pStyle w:val="Normal"/>
        <w:spacing w:after="240"/>
      </w:pPr>
      <w:r>
        <w:rPr>
          <w:sz w:val="22"/>
        </w:rPr>
        <w:t xml:space="preserve">6.  Data Preparation and Quality Checks ........................... 3</w:t>
      </w:r>
    </w:p>
    <w:p w14:paraId="0010000E" w14:textId="0010000F">
      <w:pPr>
        <w:pStyle w:val="Normal"/>
        <w:spacing w:after="240"/>
      </w:pPr>
      <w:r>
        <w:rPr>
          <w:sz w:val="22"/>
        </w:rPr>
        <w:t xml:space="preserve">7.  Tools and Technologies ......................................... 4</w:t>
      </w:r>
    </w:p>
    <w:p w14:paraId="00100010" w14:textId="00100011">
      <w:pPr>
        <w:pStyle w:val="Normal"/>
        <w:spacing w:after="240"/>
      </w:pPr>
      <w:r>
        <w:rPr>
          <w:sz w:val="22"/>
        </w:rPr>
        <w:t xml:space="preserve">8.  KPI Analysis — What is Happening? ............................. 4</w:t>
      </w:r>
    </w:p>
    <w:p w14:paraId="00100012" w14:textId="00100013">
      <w:pPr>
        <w:pStyle w:val="Normal"/>
        <w:spacing w:after="240"/>
      </w:pPr>
      <w:r>
        <w:rPr>
          <w:sz w:val="22"/>
        </w:rPr>
        <w:t xml:space="preserve">9.  Trend Analysis — Where is it Heading? ......................... 6</w:t>
      </w:r>
    </w:p>
    <w:p w14:paraId="00100014" w14:textId="00100015">
      <w:pPr>
        <w:pStyle w:val="Normal"/>
        <w:spacing w:after="240"/>
      </w:pPr>
      <w:r>
        <w:rPr>
          <w:sz w:val="22"/>
        </w:rPr>
        <w:t xml:space="preserve">10. Driver Analysis — Why is it Happening? ......................... 7</w:t>
      </w:r>
    </w:p>
    <w:p w14:paraId="00100016" w14:textId="00100017">
      <w:pPr>
        <w:pStyle w:val="Normal"/>
        <w:spacing w:after="240"/>
      </w:pPr>
      <w:r>
        <w:rPr>
          <w:sz w:val="22"/>
        </w:rPr>
        <w:t xml:space="preserve">11. Risks .......................................................... 8</w:t>
      </w:r>
    </w:p>
    <w:p w14:paraId="00100018" w14:textId="00100019">
      <w:pPr>
        <w:pStyle w:val="Normal"/>
        <w:spacing w:after="240"/>
      </w:pPr>
      <w:r>
        <w:rPr>
          <w:sz w:val="22"/>
        </w:rPr>
        <w:t xml:space="preserve">12. Opportunities ................................................... 9</w:t>
      </w:r>
    </w:p>
    <w:p w14:paraId="0010001A" w14:textId="0010001B">
      <w:pPr>
        <w:pStyle w:val="Normal"/>
        <w:spacing w:after="240"/>
      </w:pPr>
      <w:r>
        <w:rPr>
          <w:sz w:val="22"/>
        </w:rPr>
        <w:t xml:space="preserve">13. Dashboard Description — All 7 Pages ........................... 9</w:t>
      </w:r>
    </w:p>
    <w:p w14:paraId="0010001C" w14:textId="0010001D">
      <w:pPr>
        <w:pStyle w:val="Normal"/>
        <w:spacing w:after="240"/>
      </w:pPr>
      <w:r>
        <w:rPr>
          <w:sz w:val="22"/>
        </w:rPr>
        <w:t xml:space="preserve">14. Key Findings ................................................... 11</w:t>
      </w:r>
    </w:p>
    <w:p w14:paraId="0010001E" w14:textId="0010001F">
      <w:pPr>
        <w:pStyle w:val="Normal"/>
        <w:spacing w:after="240"/>
      </w:pPr>
      <w:r>
        <w:rPr>
          <w:sz w:val="22"/>
        </w:rPr>
        <w:t xml:space="preserve">15. Management Recommendations .................................... 12</w:t>
      </w:r>
    </w:p>
    <w:p w14:paraId="00100020" w14:textId="00100021">
      <w:pPr>
        <w:pStyle w:val="Normal"/>
        <w:spacing w:after="240"/>
      </w:pPr>
      <w:r>
        <w:rPr>
          <w:sz w:val="22"/>
        </w:rPr>
        <w:t xml:space="preserve">16. Limitations .................................................... 13</w:t>
      </w:r>
    </w:p>
    <w:p w14:paraId="00100022" w14:textId="00100023">
      <w:pPr>
        <w:pStyle w:val="Normal"/>
        <w:spacing w:after="240"/>
      </w:pPr>
      <w:r>
        <w:rPr>
          <w:sz w:val="22"/>
        </w:rPr>
        <w:t xml:space="preserve">17. Conclusion ..................................................... 13</w:t>
      </w:r>
    </w:p>
    <w:p w14:paraId="00100024" w14:textId="00100025">
      <w:pPr>
        <w:pStyle w:val="Normal"/>
        <w:spacing w:after="240"/>
      </w:pPr>
      <w:r>
        <w:rPr>
          <w:sz w:val="22"/>
        </w:rPr>
        <w:t xml:space="preserve">18. Dataset Source URL ............................................. 14</w:t>
      </w:r>
    </w:p>
    <w:p w14:paraId="00100026" w14:textId="00100027">
      <w:pPr>
        <w:pStyle w:val="Heading1"/>
        <w:spacing w:before="360" w:after="160"/>
      </w:pPr>
      <w:r>
        <w:rPr>
          <w:b/>
          <w:sz w:val="36"/>
        </w:rPr>
        <w:t xml:space="preserve">1. Project Title</w:t>
      </w:r>
    </w:p>
    <w:p w14:paraId="00100028" w14:textId="00100029">
      <w:pPr>
        <w:pStyle w:val="Normal"/>
        <w:spacing w:after="120"/>
      </w:pPr>
      <w:r>
        <w:rPr>
          <w:b/>
          <w:sz w:val="26"/>
        </w:rPr>
        <w:t xml:space="preserve">Ecommerce Intelligence Dashboard — Multi-Dimensional Sales Analytics Platform</w:t>
      </w:r>
    </w:p>
    <w:p w14:paraId="0010002A" w14:textId="0010002B">
      <w:pPr>
        <w:pStyle w:val="Normal"/>
        <w:spacing w:after="200"/>
      </w:pPr>
      <w:r>
        <w:rPr>
          <w:sz w:val="22"/>
        </w:rPr>
        <w:t xml:space="preserve">This project designs, implements, and documents a fully interactive, seven-page business intelligence dashboard for a global e-commerce enterprise. The application ingests three years of transactional order data (2,000 records spanning January 2023 to December 2025), performs end-to-end data preparation, and renders live, filterable analytics covering executive KPIs, sales trends, product intelligence, customer segmentation, geographic performance, risk exposure, and management recommendations — all within a single-file Python/Streamlit application.</w:t>
      </w:r>
    </w:p>
    <w:p w14:paraId="0010002C" w14:textId="0010002D">
      <w:pPr>
        <w:pStyle w:val="Heading1"/>
        <w:spacing w:before="360" w:after="160"/>
      </w:pPr>
      <w:r>
        <w:rPr>
          <w:b/>
          <w:sz w:val="36"/>
        </w:rPr>
        <w:t xml:space="preserve">2. Executive Summary</w:t>
      </w:r>
    </w:p>
    <w:p w14:paraId="0010002E" w14:textId="0010002F">
      <w:pPr>
        <w:pStyle w:val="Normal"/>
        <w:spacing w:after="120"/>
      </w:pPr>
      <w:r>
        <w:rPr>
          <w:sz w:val="22"/>
        </w:rPr>
        <w:t xml:space="preserve">This report presents the complete analysis of a global e-commerce sales dataset comprising 2,000 orders placed across 20 countries, 5 geographic regions, and 4 product categories during a 36-month period (January 2023 – December 2025). The Ecommerce Intelligence Dashboard, built in Python using the Streamlit framework and Plotly visualisation library, translates raw transactional CSV data into seven pages of interactive, decision-ready analytics.</w:t>
      </w:r>
    </w:p>
    <w:p w14:paraId="00100030" w14:textId="00100031">
      <w:pPr>
        <w:pStyle w:val="Normal"/>
        <w:spacing w:after="80"/>
      </w:pPr>
      <w:r>
        <w:rPr>
          <w:sz w:val="22"/>
        </w:rPr>
        <w:t xml:space="preserve">Key headline results computed directly from the dataset are as follows:</w:t>
      </w:r>
    </w:p>
    <w:p w14:paraId="00100032" w14:textId="00100033">
      <w:pPr>
        <w:pStyle w:val="Normal"/>
        <w:numPr>
          <w:ilvl w:val="0"/>
          <w:numId w:val="1"/>
        </w:numPr>
        <w:spacing w:after="40"/>
      </w:pPr>
      <w:r>
        <w:rPr>
          <w:sz w:val="22"/>
        </w:rPr>
        <w:t xml:space="preserve">Total Revenue: $484,559.34 across the full three-year period.</w:t>
      </w:r>
    </w:p>
    <w:p w14:paraId="00100034" w14:textId="00100035">
      <w:pPr>
        <w:pStyle w:val="Normal"/>
        <w:numPr>
          <w:ilvl w:val="0"/>
          <w:numId w:val="1"/>
        </w:numPr>
        <w:spacing w:after="40"/>
      </w:pPr>
      <w:r>
        <w:rPr>
          <w:sz w:val="22"/>
        </w:rPr>
        <w:t xml:space="preserve">Total Profit: $158,872.32 yielding an overall Profit Margin of 32.79%.</w:t>
      </w:r>
    </w:p>
    <w:p w14:paraId="00100036" w14:textId="00100037">
      <w:pPr>
        <w:pStyle w:val="Normal"/>
        <w:numPr>
          <w:ilvl w:val="0"/>
          <w:numId w:val="1"/>
        </w:numPr>
        <w:spacing w:after="40"/>
      </w:pPr>
      <w:r>
        <w:rPr>
          <w:sz w:val="22"/>
        </w:rPr>
        <w:t xml:space="preserve">Total Orders: 2,000 with an Average Order Value (AOV) of $242.28.</w:t>
      </w:r>
    </w:p>
    <w:p w14:paraId="00100038" w14:textId="00100039">
      <w:pPr>
        <w:pStyle w:val="Normal"/>
        <w:numPr>
          <w:ilvl w:val="0"/>
          <w:numId w:val="1"/>
        </w:numPr>
        <w:spacing w:after="40"/>
      </w:pPr>
      <w:r>
        <w:rPr>
          <w:sz w:val="22"/>
        </w:rPr>
        <w:t xml:space="preserve">Year-over-Year Revenue: 2023 — $164,443.45; 2024 — $155,150.73 (−5.65%); 2025 — $164,965.16 (+6.33%).</w:t>
      </w:r>
    </w:p>
    <w:p w14:paraId="0010003A" w14:textId="0010003B">
      <w:pPr>
        <w:pStyle w:val="Normal"/>
        <w:numPr>
          <w:ilvl w:val="0"/>
          <w:numId w:val="1"/>
        </w:numPr>
        <w:spacing w:after="40"/>
      </w:pPr>
      <w:r>
        <w:rPr>
          <w:sz w:val="22"/>
        </w:rPr>
        <w:t xml:space="preserve">Top Revenue Region: Europe ($137,006.20, 28.27% of total revenue).</w:t>
      </w:r>
    </w:p>
    <w:p w14:paraId="0010003C" w14:textId="0010003D">
      <w:pPr>
        <w:pStyle w:val="Normal"/>
        <w:numPr>
          <w:ilvl w:val="0"/>
          <w:numId w:val="1"/>
        </w:numPr>
        <w:spacing w:after="40"/>
      </w:pPr>
      <w:r>
        <w:rPr>
          <w:sz w:val="22"/>
        </w:rPr>
        <w:t xml:space="preserve">Dominant Customer Segment: Consumer (52.89% of total revenue).</w:t>
      </w:r>
    </w:p>
    <w:p w14:paraId="0010003E" w14:textId="0010003F">
      <w:pPr>
        <w:pStyle w:val="Normal"/>
        <w:numPr>
          <w:ilvl w:val="0"/>
          <w:numId w:val="1"/>
        </w:numPr>
        <w:spacing w:after="40"/>
      </w:pPr>
      <w:r>
        <w:rPr>
          <w:sz w:val="22"/>
        </w:rPr>
        <w:t xml:space="preserve">Loss-Making Orders: 272 out of 2,000 (13.60%) with a cumulative loss of $953.39.</w:t>
      </w:r>
    </w:p>
    <w:p w14:paraId="00100040" w14:textId="00100041">
      <w:pPr>
        <w:pStyle w:val="Normal"/>
        <w:numPr>
          <w:ilvl w:val="0"/>
          <w:numId w:val="1"/>
        </w:numPr>
        <w:spacing w:after="160"/>
      </w:pPr>
      <w:r>
        <w:rPr>
          <w:sz w:val="22"/>
        </w:rPr>
        <w:t xml:space="preserve">Shipping Cost Burden: $25,804.24 (5.33% of total revenue).</w:t>
      </w:r>
    </w:p>
    <w:p w14:paraId="00100042" w14:textId="00100043">
      <w:pPr>
        <w:pStyle w:val="Normal"/>
        <w:spacing w:after="200"/>
      </w:pPr>
      <w:r>
        <w:rPr>
          <w:sz w:val="22"/>
        </w:rPr>
        <w:t xml:space="preserve">The dashboard enables non-technical stakeholders to interact with these results through date-range filters and a page-navigation sidebar without requiring any programming knowledge.</w:t>
      </w:r>
    </w:p>
    <w:p w14:paraId="001001E6" w14:textId="001001E7">
      <w:pPr>
        <w:pStyle w:val="Heading1"/>
        <w:spacing w:before="360" w:after="160"/>
      </w:pPr>
      <w:r>
        <w:rPr>
          <w:b/>
          <w:sz w:val="36"/>
        </w:rPr>
        <w:t xml:space="preserve">3. Business Problem</w:t>
      </w:r>
    </w:p>
    <w:p w14:paraId="00100220" w14:textId="00100221">
      <w:pPr>
        <w:pStyle w:val="Normal"/>
        <w:spacing w:after="120"/>
      </w:pPr>
      <w:r>
        <w:rPr>
          <w:sz w:val="22"/>
        </w:rPr>
        <w:t xml:space="preserve">Modern e-commerce enterprises accumulate large volumes of transactional data across multiple geographies, customer segments, and product categories. In the absence of a structured analytics layer, this data remains locked in flat CSV files that cannot be queried interactively, do not highlight performance gaps, and provide no mechanism for monitoring revenue trends or profitability risks on an ongoing basis.</w:t>
      </w:r>
    </w:p>
    <w:p w14:paraId="00100222" w14:textId="00100223">
      <w:pPr>
        <w:pStyle w:val="Normal"/>
        <w:spacing w:after="80"/>
      </w:pPr>
      <w:r>
        <w:rPr>
          <w:sz w:val="22"/>
        </w:rPr>
        <w:t xml:space="preserve">Specifically, the organisation faces the following unresolved business problems:</w:t>
      </w:r>
    </w:p>
    <w:p w14:paraId="00100224" w14:textId="00100225">
      <w:pPr>
        <w:pStyle w:val="Normal"/>
        <w:numPr>
          <w:ilvl w:val="0"/>
          <w:numId w:val="9"/>
        </w:numPr>
        <w:spacing w:after="40"/>
      </w:pPr>
      <w:r>
        <w:rPr>
          <w:sz w:val="22"/>
        </w:rPr>
        <w:t xml:space="preserve">No single unified view of KPIs: Revenue, profit, margin, order count, and AOV are scattered across raw records with no aggregation layer.</w:t>
      </w:r>
    </w:p>
    <w:p w14:paraId="00100226" w14:textId="00100227">
      <w:pPr>
        <w:pStyle w:val="Normal"/>
        <w:numPr>
          <w:ilvl w:val="0"/>
          <w:numId w:val="9"/>
        </w:numPr>
        <w:spacing w:after="40"/>
      </w:pPr>
      <w:r>
        <w:rPr>
          <w:sz w:val="22"/>
        </w:rPr>
        <w:t xml:space="preserve">Invisible loss exposure: 272 orders (13.60% of transactions) generated negative profit, yet without a dedicated analysis tool these orders are indistinguishable from profitable ones.</w:t>
      </w:r>
    </w:p>
    <w:p w14:paraId="00100228" w14:textId="00100229">
      <w:pPr>
        <w:pStyle w:val="Normal"/>
        <w:numPr>
          <w:ilvl w:val="0"/>
          <w:numId w:val="9"/>
        </w:numPr>
        <w:spacing w:after="40"/>
      </w:pPr>
      <w:r>
        <w:rPr>
          <w:sz w:val="22"/>
        </w:rPr>
        <w:t xml:space="preserve">Discount policy gaps: No mechanism exists to identify whether high discounts (20-30%) correlate with losses. 43 high-discount orders resulted in losses, a pattern invisible in flat data.</w:t>
      </w:r>
    </w:p>
    <w:p w14:paraId="0010022A" w14:textId="0010022B">
      <w:pPr>
        <w:pStyle w:val="Normal"/>
        <w:numPr>
          <w:ilvl w:val="0"/>
          <w:numId w:val="9"/>
        </w:numPr>
        <w:spacing w:after="40"/>
      </w:pPr>
      <w:r>
        <w:rPr>
          <w:sz w:val="22"/>
        </w:rPr>
        <w:t xml:space="preserve">Geographic and segment blind spots: Revenue concentration in Europe (28.27%) and the Consumer segment (52.89%) creates strategic dependency risks not surfaced without structured analysis.</w:t>
      </w:r>
    </w:p>
    <w:p w14:paraId="0010022C" w14:textId="0010022D">
      <w:pPr>
        <w:pStyle w:val="Normal"/>
        <w:numPr>
          <w:ilvl w:val="0"/>
          <w:numId w:val="9"/>
        </w:numPr>
        <w:spacing w:after="40"/>
      </w:pPr>
      <w:r>
        <w:rPr>
          <w:sz w:val="22"/>
        </w:rPr>
        <w:t xml:space="preserve">Revenue trend ambiguity: The 5.65% decline in 2024 and partial recovery in 2025 (+6.33%) cannot be identified or acted upon without time-series visualisation.</w:t>
      </w:r>
    </w:p>
    <w:p w14:paraId="0010022E" w14:textId="0010022F">
      <w:pPr>
        <w:pStyle w:val="Normal"/>
        <w:numPr>
          <w:ilvl w:val="0"/>
          <w:numId w:val="9"/>
        </w:numPr>
        <w:spacing w:after="200"/>
      </w:pPr>
      <w:r>
        <w:rPr>
          <w:sz w:val="22"/>
        </w:rPr>
        <w:t xml:space="preserve">Shipping cost opacity: Total shipping costs of $25,804.24 (5.33% of revenue) have no breakdown by category, making cost-reduction targeting impossible.</w:t>
      </w:r>
    </w:p>
    <w:p w14:paraId="00100044" w14:textId="00100045">
      <w:pPr>
        <w:pStyle w:val="Heading1"/>
        <w:spacing w:before="360" w:after="160"/>
      </w:pPr>
      <w:r>
        <w:rPr>
          <w:b/>
          <w:sz w:val="36"/>
        </w:rPr>
        <w:t xml:space="preserve">4. Business Objective</w:t>
      </w:r>
    </w:p>
    <w:p w14:paraId="00100046" w14:textId="00100047">
      <w:pPr>
        <w:pStyle w:val="Normal"/>
        <w:spacing w:after="80"/>
      </w:pPr>
      <w:r>
        <w:rPr>
          <w:sz w:val="22"/>
        </w:rPr>
        <w:t xml:space="preserve">The primary objective of this project is to transform the raw transactional dataset (global_ecommerce_sales.csv) into an actionable, interactive business intelligence tool. The specific objectives are:</w:t>
      </w:r>
    </w:p>
    <w:p w14:paraId="00100048" w14:textId="00100049">
      <w:pPr>
        <w:pStyle w:val="Normal"/>
        <w:numPr>
          <w:ilvl w:val="0"/>
          <w:numId w:val="2"/>
        </w:numPr>
        <w:spacing w:after="40"/>
      </w:pPr>
      <w:r>
        <w:rPr>
          <w:sz w:val="22"/>
        </w:rPr>
        <w:t xml:space="preserve">Objective 1 - KPI Centralisation: Compute and display Total Revenue, Total Profit, Profit Margin %, Total Orders, and Average Order Value on a single executive overview screen, filterable by date.</w:t>
      </w:r>
    </w:p>
    <w:p w14:paraId="0010004A" w14:textId="0010004B">
      <w:pPr>
        <w:pStyle w:val="Normal"/>
        <w:numPr>
          <w:ilvl w:val="0"/>
          <w:numId w:val="2"/>
        </w:numPr>
        <w:spacing w:after="40"/>
      </w:pPr>
      <w:r>
        <w:rPr>
          <w:sz w:val="22"/>
        </w:rPr>
        <w:t xml:space="preserve">Objective 2 - Trend Visibility: Provide month-over-month and year-over-year revenue, profit, and order-volume charts that reveal seasonality, growth, and decline patterns.</w:t>
      </w:r>
    </w:p>
    <w:p w14:paraId="0010004C" w14:textId="0010004D">
      <w:pPr>
        <w:pStyle w:val="Normal"/>
        <w:numPr>
          <w:ilvl w:val="0"/>
          <w:numId w:val="2"/>
        </w:numPr>
        <w:spacing w:after="40"/>
      </w:pPr>
      <w:r>
        <w:rPr>
          <w:sz w:val="22"/>
        </w:rPr>
        <w:t xml:space="preserve">Objective 3 - Product Intelligence: Rank all 40 products by revenue and profitability, quantify average discount rates per category, and expose the relationship between discounting and margin compression.</w:t>
      </w:r>
    </w:p>
    <w:p w14:paraId="0010004E" w14:textId="0010004F">
      <w:pPr>
        <w:pStyle w:val="Normal"/>
        <w:numPr>
          <w:ilvl w:val="0"/>
          <w:numId w:val="2"/>
        </w:numPr>
        <w:spacing w:after="40"/>
      </w:pPr>
      <w:r>
        <w:rPr>
          <w:sz w:val="22"/>
        </w:rPr>
        <w:t xml:space="preserve">Objective 4 - Customer Segmentation: Compare Consumer, Corporate, and Home Office segments on revenue, profit, and average order value.</w:t>
      </w:r>
    </w:p>
    <w:p w14:paraId="00100050" w14:textId="00100051">
      <w:pPr>
        <w:pStyle w:val="Normal"/>
        <w:numPr>
          <w:ilvl w:val="0"/>
          <w:numId w:val="2"/>
        </w:numPr>
        <w:spacing w:after="40"/>
      </w:pPr>
      <w:r>
        <w:rPr>
          <w:sz w:val="22"/>
        </w:rPr>
        <w:t xml:space="preserve">Objective 5 - Geographic Analytics: Map revenue and profitability across 20 countries and 5 regions, enabling geographic diversification and market prioritisation decisions.</w:t>
      </w:r>
    </w:p>
    <w:p w14:paraId="00100052" w14:textId="00100053">
      <w:pPr>
        <w:pStyle w:val="Normal"/>
        <w:numPr>
          <w:ilvl w:val="0"/>
          <w:numId w:val="2"/>
        </w:numPr>
        <w:spacing w:after="40"/>
      </w:pPr>
      <w:r>
        <w:rPr>
          <w:sz w:val="22"/>
        </w:rPr>
        <w:t xml:space="preserve">Objective 6 - Risk Identification: Isolate loss-making orders, high-discount loss transactions, products with negative average profit, and shipping cost concentrations.</w:t>
      </w:r>
    </w:p>
    <w:p w14:paraId="00100054" w14:textId="00100055">
      <w:pPr>
        <w:pStyle w:val="Normal"/>
        <w:numPr>
          <w:ilvl w:val="0"/>
          <w:numId w:val="2"/>
        </w:numPr>
        <w:spacing w:after="200"/>
      </w:pPr>
      <w:r>
        <w:rPr>
          <w:sz w:val="22"/>
        </w:rPr>
        <w:t xml:space="preserve">Objective 7 - Management Recommendations: Auto-generate data-driven, dynamically computed recommendations that update in real time as the date filter changes, eliminating manual report preparation.</w:t>
      </w:r>
    </w:p>
    <w:p w14:paraId="00100056" w14:textId="00100057">
      <w:pPr>
        <w:pStyle w:val="Heading1"/>
        <w:spacing w:before="360" w:after="160"/>
      </w:pPr>
      <w:r>
        <w:rPr>
          <w:b/>
          <w:sz w:val="36"/>
        </w:rPr>
        <w:t xml:space="preserve">5. Dataset Description</w:t>
      </w:r>
    </w:p>
    <w:p w14:paraId="00100058" w14:textId="00100059">
      <w:pPr>
        <w:pStyle w:val="Normal"/>
        <w:spacing w:after="120"/>
      </w:pPr>
      <w:r>
        <w:rPr>
          <w:sz w:val="22"/>
        </w:rPr>
        <w:t xml:space="preserve">The dataset used in this project is global_ecommerce_sales.csv — a structured transactional record of e-commerce orders placed across a global retail platform over a three-year period. All statistics in this report are computed directly from this file; no data has been manually edited, fabricated, or supplemented.</w:t>
      </w:r>
    </w:p>
    <w:p w14:paraId="0010005A" w14:textId="0010005B">
      <w:pPr>
        <w:pStyle w:val="Heading2"/>
        <w:spacing w:before="200" w:after="80"/>
      </w:pPr>
      <w:r>
        <w:rPr>
          <w:b/>
          <w:sz w:val="28"/>
        </w:rPr>
        <w:t xml:space="preserve">Dataset Summary (computed from the file):</w:t>
      </w:r>
    </w:p>
    <w:p w14:paraId="0010005C" w14:textId="0010005D">
      <w:pPr>
        <w:pStyle w:val="Normal"/>
        <w:spacing w:after="160"/>
      </w:pPr>
      <w:r>
        <w:rPr>
          <w:sz w:val="20"/>
        </w:rPr>
        <w:t xml:space="preserve">  File Name:            global_ecommerce_sales.csv</w:t>
      </w:r>
    </w:p>
    <w:p w14:paraId="0010005E" w14:textId="0010005F">
      <w:pPr>
        <w:pStyle w:val="Normal"/>
        <w:spacing w:after="160"/>
      </w:pPr>
      <w:r>
        <w:rPr>
          <w:sz w:val="20"/>
        </w:rPr>
        <w:t xml:space="preserve">  Total Records:        2,000 orders</w:t>
      </w:r>
    </w:p>
    <w:p w14:paraId="00100060" w14:textId="00100061">
      <w:pPr>
        <w:pStyle w:val="Normal"/>
        <w:spacing w:after="160"/>
      </w:pPr>
      <w:r>
        <w:rPr>
          <w:sz w:val="20"/>
        </w:rPr>
        <w:t xml:space="preserve">  Date Range:           2023-01-02 to 2025-12-31 (36 months)</w:t>
      </w:r>
    </w:p>
    <w:p w14:paraId="00100062" w14:textId="00100063">
      <w:pPr>
        <w:pStyle w:val="Normal"/>
        <w:spacing w:after="160"/>
      </w:pPr>
      <w:r>
        <w:rPr>
          <w:sz w:val="20"/>
        </w:rPr>
        <w:t xml:space="preserve">  Raw Columns:          15</w:t>
      </w:r>
    </w:p>
    <w:p w14:paraId="00100064" w14:textId="00100065">
      <w:pPr>
        <w:pStyle w:val="Normal"/>
        <w:spacing w:after="160"/>
      </w:pPr>
      <w:r>
        <w:rPr>
          <w:sz w:val="20"/>
        </w:rPr>
        <w:t xml:space="preserve">  Derived Columns:      5 (Year, Month, Quarter, YearMonth, Profit_Margin_%)</w:t>
      </w:r>
    </w:p>
    <w:p w14:paraId="00100066" w14:textId="00100067">
      <w:pPr>
        <w:pStyle w:val="Normal"/>
        <w:spacing w:after="160"/>
      </w:pPr>
      <w:r>
        <w:rPr>
          <w:sz w:val="20"/>
        </w:rPr>
        <w:t xml:space="preserve">  Unique Countries:     20</w:t>
      </w:r>
    </w:p>
    <w:p w14:paraId="00100068" w14:textId="00100069">
      <w:pPr>
        <w:pStyle w:val="Normal"/>
        <w:spacing w:after="160"/>
      </w:pPr>
      <w:r>
        <w:rPr>
          <w:sz w:val="20"/>
        </w:rPr>
        <w:t xml:space="preserve">  Geographic Regions:   5 (North America, Europe, Asia Pacific, South America, Middle East &amp; Africa)</w:t>
      </w:r>
    </w:p>
    <w:p w14:paraId="0010006A" w14:textId="0010006B">
      <w:pPr>
        <w:pStyle w:val="Normal"/>
        <w:spacing w:after="160"/>
      </w:pPr>
      <w:r>
        <w:rPr>
          <w:sz w:val="20"/>
        </w:rPr>
        <w:t xml:space="preserve">  Product Categories:   4 (Furniture, Technology, Clothing &amp; Accessories, Office Supplies)</w:t>
      </w:r>
    </w:p>
    <w:p w14:paraId="0010006C" w14:textId="0010006D">
      <w:pPr>
        <w:pStyle w:val="Normal"/>
        <w:spacing w:after="160"/>
      </w:pPr>
      <w:r>
        <w:rPr>
          <w:sz w:val="20"/>
        </w:rPr>
        <w:t xml:space="preserve">  Unique Products:      40</w:t>
      </w:r>
    </w:p>
    <w:p w14:paraId="0010006E" w14:textId="0010006F">
      <w:pPr>
        <w:pStyle w:val="Normal"/>
        <w:spacing w:after="160"/>
      </w:pPr>
      <w:r>
        <w:rPr>
          <w:sz w:val="20"/>
        </w:rPr>
        <w:t xml:space="preserve">  Unique Customers:     1,534</w:t>
      </w:r>
    </w:p>
    <w:p w14:paraId="00100070" w14:textId="00100071">
      <w:pPr>
        <w:pStyle w:val="Normal"/>
        <w:spacing w:after="160"/>
      </w:pPr>
      <w:r>
        <w:rPr>
          <w:sz w:val="20"/>
        </w:rPr>
        <w:t xml:space="preserve">  Customer Segments:    3 (Consumer, Corporate, Home Office)</w:t>
      </w:r>
    </w:p>
    <w:p w14:paraId="00100072" w14:textId="00100073">
      <w:pPr>
        <w:pStyle w:val="Normal"/>
        <w:spacing w:after="160"/>
      </w:pPr>
      <w:r>
        <w:rPr>
          <w:sz w:val="20"/>
        </w:rPr>
        <w:t xml:space="preserve">  Payment Methods:      4 (Credit Card, PayPal, Cash on Delivery, Bank Transfer)</w:t>
      </w:r>
    </w:p>
    <w:p w14:paraId="00100074" w14:textId="00100075">
      <w:pPr>
        <w:pStyle w:val="Normal"/>
        <w:spacing w:after="160"/>
      </w:pPr>
      <w:r>
        <w:rPr>
          <w:sz w:val="20"/>
        </w:rPr>
        <w:t xml:space="preserve">  Missing Values:       None</w:t>
      </w:r>
    </w:p>
    <w:p w14:paraId="00100076" w14:textId="00100077">
      <w:pPr>
        <w:pStyle w:val="Heading2"/>
        <w:spacing w:before="200" w:after="80"/>
      </w:pPr>
      <w:r>
        <w:rPr>
          <w:b/>
          <w:sz w:val="28"/>
        </w:rPr>
        <w:t xml:space="preserve">Column Descriptions (Raw Fields):</w:t>
      </w:r>
    </w:p>
    <w:p w14:paraId="00100078" w14:textId="00100079">
      <w:pPr>
        <w:pStyle w:val="Normal"/>
        <w:numPr>
          <w:ilvl w:val="0"/>
          <w:numId w:val="3"/>
        </w:numPr>
        <w:spacing w:after="40"/>
      </w:pPr>
      <w:r>
        <w:rPr>
          <w:sz w:val="22"/>
        </w:rPr>
        <w:t xml:space="preserve">Order_ID: Unique alphanumeric order identifier (e.g., ORD-11121).</w:t>
      </w:r>
    </w:p>
    <w:p w14:paraId="0010007A" w14:textId="0010007B">
      <w:pPr>
        <w:pStyle w:val="Normal"/>
        <w:numPr>
          <w:ilvl w:val="0"/>
          <w:numId w:val="3"/>
        </w:numPr>
        <w:spacing w:after="40"/>
      </w:pPr>
      <w:r>
        <w:rPr>
          <w:sz w:val="22"/>
        </w:rPr>
        <w:t xml:space="preserve">Order_Date: Date of order placement (range: 2023-01-02 to 2025-12-31).</w:t>
      </w:r>
    </w:p>
    <w:p w14:paraId="0010007C" w14:textId="0010007D">
      <w:pPr>
        <w:pStyle w:val="Normal"/>
        <w:numPr>
          <w:ilvl w:val="0"/>
          <w:numId w:val="3"/>
        </w:numPr>
        <w:spacing w:after="40"/>
      </w:pPr>
      <w:r>
        <w:rPr>
          <w:sz w:val="22"/>
        </w:rPr>
        <w:t xml:space="preserve">Customer_Name: Full name of the purchasing customer (1,534 unique customers).</w:t>
      </w:r>
    </w:p>
    <w:p w14:paraId="0010007E" w14:textId="0010007F">
      <w:pPr>
        <w:pStyle w:val="Normal"/>
        <w:numPr>
          <w:ilvl w:val="0"/>
          <w:numId w:val="3"/>
        </w:numPr>
        <w:spacing w:after="40"/>
      </w:pPr>
      <w:r>
        <w:rPr>
          <w:sz w:val="22"/>
        </w:rPr>
        <w:t xml:space="preserve">Customer_Segment: Business classification — Consumer, Corporate, or Home Office.</w:t>
      </w:r>
    </w:p>
    <w:p w14:paraId="00100080" w14:textId="00100081">
      <w:pPr>
        <w:pStyle w:val="Normal"/>
        <w:numPr>
          <w:ilvl w:val="0"/>
          <w:numId w:val="3"/>
        </w:numPr>
        <w:spacing w:after="40"/>
      </w:pPr>
      <w:r>
        <w:rPr>
          <w:sz w:val="22"/>
        </w:rPr>
        <w:t xml:space="preserve">Country: Country of order (20 unique countries).</w:t>
      </w:r>
    </w:p>
    <w:p w14:paraId="00100082" w14:textId="00100083">
      <w:pPr>
        <w:pStyle w:val="Normal"/>
        <w:numPr>
          <w:ilvl w:val="0"/>
          <w:numId w:val="3"/>
        </w:numPr>
        <w:spacing w:after="40"/>
      </w:pPr>
      <w:r>
        <w:rPr>
          <w:sz w:val="22"/>
        </w:rPr>
        <w:t xml:space="preserve">Region: Geographic region — North America, Europe, Asia Pacific, South America, Middle East &amp; Africa.</w:t>
      </w:r>
    </w:p>
    <w:p w14:paraId="00100084" w14:textId="00100085">
      <w:pPr>
        <w:pStyle w:val="Normal"/>
        <w:numPr>
          <w:ilvl w:val="0"/>
          <w:numId w:val="3"/>
        </w:numPr>
        <w:spacing w:after="40"/>
      </w:pPr>
      <w:r>
        <w:rPr>
          <w:sz w:val="22"/>
        </w:rPr>
        <w:t xml:space="preserve">Product_Category: One of four categories — Furniture, Technology, Clothing &amp; Accessories, Office Supplies.</w:t>
      </w:r>
    </w:p>
    <w:p w14:paraId="00100086" w14:textId="00100087">
      <w:pPr>
        <w:pStyle w:val="Normal"/>
        <w:numPr>
          <w:ilvl w:val="0"/>
          <w:numId w:val="3"/>
        </w:numPr>
        <w:spacing w:after="40"/>
      </w:pPr>
      <w:r>
        <w:rPr>
          <w:sz w:val="22"/>
        </w:rPr>
        <w:t xml:space="preserve">Product_Name: Specific product purchased (40 unique products).</w:t>
      </w:r>
    </w:p>
    <w:p w14:paraId="00100088" w14:textId="00100089">
      <w:pPr>
        <w:pStyle w:val="Normal"/>
        <w:numPr>
          <w:ilvl w:val="0"/>
          <w:numId w:val="3"/>
        </w:numPr>
        <w:spacing w:after="40"/>
      </w:pPr>
      <w:r>
        <w:rPr>
          <w:sz w:val="22"/>
        </w:rPr>
        <w:t xml:space="preserve">Quantity: Units ordered (range: 1 to 15).</w:t>
      </w:r>
    </w:p>
    <w:p w14:paraId="0010008A" w14:textId="0010008B">
      <w:pPr>
        <w:pStyle w:val="Normal"/>
        <w:numPr>
          <w:ilvl w:val="0"/>
          <w:numId w:val="3"/>
        </w:numPr>
        <w:spacing w:after="40"/>
      </w:pPr>
      <w:r>
        <w:rPr>
          <w:sz w:val="22"/>
        </w:rPr>
        <w:t xml:space="preserve">Unit_Price: Price per unit in USD (range: $3.03 to $472.56).</w:t>
      </w:r>
    </w:p>
    <w:p w14:paraId="0010008C" w14:textId="0010008D">
      <w:pPr>
        <w:pStyle w:val="Normal"/>
        <w:numPr>
          <w:ilvl w:val="0"/>
          <w:numId w:val="3"/>
        </w:numPr>
        <w:spacing w:after="40"/>
      </w:pPr>
      <w:r>
        <w:rPr>
          <w:sz w:val="22"/>
        </w:rPr>
        <w:t xml:space="preserve">Discount_Percent: Discount applied as a percentage (range: 0 to 30).</w:t>
      </w:r>
    </w:p>
    <w:p w14:paraId="0010008E" w14:textId="0010008F">
      <w:pPr>
        <w:pStyle w:val="Normal"/>
        <w:numPr>
          <w:ilvl w:val="0"/>
          <w:numId w:val="3"/>
        </w:numPr>
        <w:spacing w:after="40"/>
      </w:pPr>
      <w:r>
        <w:rPr>
          <w:sz w:val="22"/>
        </w:rPr>
        <w:t xml:space="preserve">Total_Sales: Gross sales value in USD after applying quantity and discount.</w:t>
      </w:r>
    </w:p>
    <w:p w14:paraId="00100090" w14:textId="00100091">
      <w:pPr>
        <w:pStyle w:val="Normal"/>
        <w:numPr>
          <w:ilvl w:val="0"/>
          <w:numId w:val="3"/>
        </w:numPr>
        <w:spacing w:after="40"/>
      </w:pPr>
      <w:r>
        <w:rPr>
          <w:sz w:val="22"/>
        </w:rPr>
        <w:t xml:space="preserve">Shipping_Cost: Shipping cost per order in USD.</w:t>
      </w:r>
    </w:p>
    <w:p w14:paraId="00100092" w14:textId="00100093">
      <w:pPr>
        <w:pStyle w:val="Normal"/>
        <w:numPr>
          <w:ilvl w:val="0"/>
          <w:numId w:val="3"/>
        </w:numPr>
        <w:spacing w:after="40"/>
      </w:pPr>
      <w:r>
        <w:rPr>
          <w:sz w:val="22"/>
        </w:rPr>
        <w:t xml:space="preserve">Profit: Net profit per order in USD (negative values indicate loss-making orders).</w:t>
      </w:r>
    </w:p>
    <w:p w14:paraId="00100094" w14:textId="00100095">
      <w:pPr>
        <w:pStyle w:val="Normal"/>
        <w:numPr>
          <w:ilvl w:val="0"/>
          <w:numId w:val="3"/>
        </w:numPr>
        <w:spacing w:after="160"/>
      </w:pPr>
      <w:r>
        <w:rPr>
          <w:sz w:val="22"/>
        </w:rPr>
        <w:t xml:space="preserve">Payment_Method: One of four methods — Credit Card (39.9%), PayPal (30.4%), Cash on Delivery (15.0%), Bank Transfer (14.6%).</w:t>
      </w:r>
    </w:p>
    <w:p w14:paraId="00100096" w14:textId="00100097">
      <w:pPr>
        <w:pStyle w:val="Heading1"/>
        <w:spacing w:before="360" w:after="160"/>
      </w:pPr>
      <w:r>
        <w:rPr>
          <w:b/>
          <w:sz w:val="36"/>
        </w:rPr>
        <w:t xml:space="preserve">6. Data Preparation and Quality Checks</w:t>
      </w:r>
    </w:p>
    <w:p w14:paraId="00100098" w14:textId="00100099">
      <w:pPr>
        <w:pStyle w:val="Normal"/>
        <w:spacing w:after="120"/>
      </w:pPr>
      <w:r>
        <w:rPr>
          <w:sz w:val="22"/>
        </w:rPr>
        <w:t xml:space="preserve">The application's load_data() function performs all data preparation steps at startup; results are cached by Streamlit's @st.cache_data decorator so that preparation is executed exactly once per session. The steps are:</w:t>
      </w:r>
    </w:p>
    <w:p w14:paraId="0010009A" w14:textId="0010009B">
      <w:pPr>
        <w:pStyle w:val="Normal"/>
        <w:numPr>
          <w:ilvl w:val="0"/>
          <w:numId w:val="4"/>
        </w:numPr>
        <w:spacing w:after="80"/>
      </w:pPr>
      <w:r>
        <w:rPr>
          <w:sz w:val="22"/>
        </w:rPr>
        <w:t xml:space="preserve">Step 1 - CSV Loading with Date Parsing: The dataset is loaded via pd.read_csv(CSV_PATH, parse_dates=['Order_Date']). The parse_dates argument converts the Order_Date column directly from string to Pandas Timestamp without a secondary conversion step.</w:t>
      </w:r>
    </w:p>
    <w:p w14:paraId="0010009C" w14:textId="0010009D">
      <w:pPr>
        <w:pStyle w:val="Normal"/>
        <w:numPr>
          <w:ilvl w:val="0"/>
          <w:numId w:val="4"/>
        </w:numPr>
        <w:spacing w:after="80"/>
      </w:pPr>
      <w:r>
        <w:rPr>
          <w:sz w:val="22"/>
        </w:rPr>
        <w:t xml:space="preserve">Step 2 - Column Validation: The function checks that all 15 required columns (Order_ID, Order_Date, Customer_Name, Customer_Segment, Country, Region, Product_Category, Product_Name, Quantity, Unit_Price, Discount_Percent, Total_Sales, Shipping_Cost, Profit, Payment_Method) are present. If any are missing, the application displays an error and halts execution via st.stop().</w:t>
      </w:r>
    </w:p>
    <w:p w14:paraId="0010009E" w14:textId="0010009F">
      <w:pPr>
        <w:pStyle w:val="Normal"/>
        <w:numPr>
          <w:ilvl w:val="0"/>
          <w:numId w:val="4"/>
        </w:numPr>
        <w:spacing w:after="80"/>
      </w:pPr>
      <w:r>
        <w:rPr>
          <w:sz w:val="22"/>
        </w:rPr>
        <w:t xml:space="preserve">Step 3 - Derived Temporal Columns: Three temporal grouping columns are extracted from Order_Date: Year (integer), Month (1-12 integer), and Quarter (1-4 integer). A human-readable YearMonth period string (e.g., '2023-01') is also generated for chart axis labels.</w:t>
      </w:r>
    </w:p>
    <w:p w14:paraId="001000A0" w14:textId="001000A1">
      <w:pPr>
        <w:pStyle w:val="Normal"/>
        <w:numPr>
          <w:ilvl w:val="0"/>
          <w:numId w:val="4"/>
        </w:numPr>
        <w:spacing w:after="80"/>
      </w:pPr>
      <w:r>
        <w:rPr>
          <w:sz w:val="22"/>
        </w:rPr>
        <w:t xml:space="preserve">Step 4 - Profit Margin Calculation: The Profit_Margin_% column is computed per order as (Profit / Total_Sales) * 100. NumPy's np.where() guard is applied so that any row where Total_Sales = 0 receives NaN rather than causing a ZeroDivisionError. No such zero-sales rows exist in this dataset.</w:t>
      </w:r>
    </w:p>
    <w:p w14:paraId="001000A2" w14:textId="001000A3">
      <w:pPr>
        <w:pStyle w:val="Normal"/>
        <w:numPr>
          <w:ilvl w:val="0"/>
          <w:numId w:val="4"/>
        </w:numPr>
        <w:spacing w:after="80"/>
      </w:pPr>
      <w:r>
        <w:rPr>
          <w:sz w:val="22"/>
        </w:rPr>
        <w:t xml:space="preserve">Step 5 - Missing Value Assessment: After loading, no columns exhibit missing values. The dataset is complete across all 2,000 rows and 15 columns.</w:t>
      </w:r>
    </w:p>
    <w:p w14:paraId="001000A4" w14:textId="001000A5">
      <w:pPr>
        <w:pStyle w:val="Normal"/>
        <w:numPr>
          <w:ilvl w:val="0"/>
          <w:numId w:val="4"/>
        </w:numPr>
        <w:spacing w:after="80"/>
      </w:pPr>
      <w:r>
        <w:rPr>
          <w:sz w:val="22"/>
        </w:rPr>
        <w:t xml:space="preserve">Step 6 - Defensive Filtering: The filter_data() function applies a date-range mask using boolean indexing: (df['Order_Date'] &gt;= start_date) &amp; (df['Order_Date'] &lt;= end_date). An input guard in main() prevents the user from setting a start date later than the end date. If the filtered result is empty, each page function detects this with is_empty(df) and renders a warning instead of a broken chart.</w:t>
      </w:r>
    </w:p>
    <w:p w14:paraId="001000A6" w14:textId="001000A7">
      <w:pPr>
        <w:pStyle w:val="Normal"/>
        <w:numPr>
          <w:ilvl w:val="0"/>
          <w:numId w:val="4"/>
        </w:numPr>
        <w:spacing w:after="200"/>
      </w:pPr>
      <w:r>
        <w:rPr>
          <w:sz w:val="22"/>
        </w:rPr>
        <w:t xml:space="preserve">Step 7 - Division-by-Zero Guards: All ratio computations in the application use either np.where() or the safe_pct() helper function which returns 0.0 when the denominator is zero. This pattern is applied to shipping ratios, profit margins, and average order values.</w:t>
      </w:r>
    </w:p>
    <w:p w14:paraId="001000A8" w14:textId="001000A9">
      <w:pPr>
        <w:pStyle w:val="Heading1"/>
        <w:spacing w:before="360" w:after="160"/>
      </w:pPr>
      <w:r>
        <w:rPr>
          <w:b/>
          <w:sz w:val="36"/>
        </w:rPr>
        <w:t xml:space="preserve">7. Tools and Technologies</w:t>
      </w:r>
    </w:p>
    <w:p w14:paraId="001000AA" w14:textId="001000AB">
      <w:pPr>
        <w:pStyle w:val="Normal"/>
        <w:spacing w:after="80"/>
      </w:pPr>
      <w:r>
        <w:rPr>
          <w:sz w:val="22"/>
        </w:rPr>
        <w:t xml:space="preserve">The following technology stack was selected for this project:</w:t>
      </w:r>
    </w:p>
    <w:p w14:paraId="001000AC" w14:textId="001000AD">
      <w:pPr>
        <w:pStyle w:val="Normal"/>
        <w:numPr>
          <w:ilvl w:val="0"/>
          <w:numId w:val="5"/>
        </w:numPr>
        <w:spacing w:after="80"/>
      </w:pPr>
      <w:r>
        <w:rPr>
          <w:sz w:val="22"/>
        </w:rPr>
        <w:t xml:space="preserve">Python 3.x: Core programming language. Chosen for its mature data science ecosystem, readability, and first-class support in all required libraries.</w:t>
      </w:r>
    </w:p>
    <w:p w14:paraId="001000AE" w14:textId="001000AF">
      <w:pPr>
        <w:pStyle w:val="Normal"/>
        <w:numPr>
          <w:ilvl w:val="0"/>
          <w:numId w:val="5"/>
        </w:numPr>
        <w:spacing w:after="80"/>
      </w:pPr>
      <w:r>
        <w:rPr>
          <w:sz w:val="22"/>
        </w:rPr>
        <w:t xml:space="preserve">Streamlit: Web application framework for Python data apps. Enables multi-page, interactive dashboards deployable as a local web server with a single command (streamlit run ecommerce_intelligence_dashboard.py). Provides native widgets for sidebar navigation, date pickers, metric cards, and chart rendering without any HTML/JavaScript.</w:t>
      </w:r>
    </w:p>
    <w:p w14:paraId="001000B0" w14:textId="001000B1">
      <w:pPr>
        <w:pStyle w:val="Normal"/>
        <w:numPr>
          <w:ilvl w:val="0"/>
          <w:numId w:val="5"/>
        </w:numPr>
        <w:spacing w:after="80"/>
      </w:pPr>
      <w:r>
        <w:rPr>
          <w:sz w:val="22"/>
        </w:rPr>
        <w:t xml:space="preserve">Pandas: Data manipulation and analysis library. Used for all groupby aggregations, date parsing, column derivation, filtering, and sorting operations throughout the application.</w:t>
      </w:r>
    </w:p>
    <w:p w14:paraId="001000B2" w14:textId="001000B3">
      <w:pPr>
        <w:pStyle w:val="Normal"/>
        <w:numPr>
          <w:ilvl w:val="0"/>
          <w:numId w:val="5"/>
        </w:numPr>
        <w:spacing w:after="80"/>
      </w:pPr>
      <w:r>
        <w:rPr>
          <w:sz w:val="22"/>
        </w:rPr>
        <w:t xml:space="preserve">NumPy: Numerical computing library. Used specifically for np.where() conditional column construction (Profit_Margin_% computation and shipping ratio calculations) and for NaN guard patterns.</w:t>
      </w:r>
    </w:p>
    <w:p w14:paraId="001000B4" w14:textId="001000B5">
      <w:pPr>
        <w:pStyle w:val="Normal"/>
        <w:numPr>
          <w:ilvl w:val="0"/>
          <w:numId w:val="5"/>
        </w:numPr>
        <w:spacing w:after="80"/>
      </w:pPr>
      <w:r>
        <w:rPr>
          <w:sz w:val="22"/>
        </w:rPr>
        <w:t xml:space="preserve">Plotly Express and Plotly Graph Objects: Interactive charting library. Renders all visualisations (bar charts, line charts, scatter plots, pie/donut charts) with hover tooltips, pan/zoom, and export controls. Uses the 'plotly_white' template for a clean, professional appearance.</w:t>
      </w:r>
    </w:p>
    <w:p w14:paraId="001000B6" w14:textId="001000B7">
      <w:pPr>
        <w:pStyle w:val="Normal"/>
        <w:numPr>
          <w:ilvl w:val="0"/>
          <w:numId w:val="5"/>
        </w:numPr>
        <w:spacing w:after="80"/>
      </w:pPr>
      <w:r>
        <w:rPr>
          <w:sz w:val="22"/>
        </w:rPr>
        <w:t xml:space="preserve">Pathlib: Python standard library module used for cross-platform, OS-independent file path construction to locate the CSV file relative to the script directory.</w:t>
      </w:r>
    </w:p>
    <w:p w14:paraId="001000B8" w14:textId="001000B9">
      <w:pPr>
        <w:pStyle w:val="Normal"/>
        <w:numPr>
          <w:ilvl w:val="0"/>
          <w:numId w:val="5"/>
        </w:numPr>
        <w:spacing w:after="200"/>
      </w:pPr>
      <w:r>
        <w:rPr>
          <w:sz w:val="22"/>
        </w:rPr>
        <w:t xml:space="preserve">CSV (global_ecommerce_sales.csv): The sole data source for the application. No database, API, or secondary file is required. The entire analytical layer operates on this single flat file.</w:t>
      </w:r>
    </w:p>
    <w:p w14:paraId="001000BA" w14:textId="001000BB">
      <w:pPr>
        <w:pStyle w:val="Heading1"/>
        <w:spacing w:before="360" w:after="160"/>
      </w:pPr>
      <w:r>
        <w:rPr>
          <w:b/>
          <w:sz w:val="36"/>
        </w:rPr>
        <w:t xml:space="preserve">8. KPI Analysis — What is Happening?</w:t>
      </w:r>
    </w:p>
    <w:p w14:paraId="001000BC" w14:textId="001000BD">
      <w:pPr>
        <w:pStyle w:val="Normal"/>
        <w:spacing w:after="120"/>
      </w:pPr>
      <w:r>
        <w:rPr>
          <w:sz w:val="22"/>
        </w:rPr>
        <w:t xml:space="preserve">This section presents the key performance indicators computed directly from the full dataset (January 2023 to December 2025). All values below are the result of running the application's analytic engine against global_ecommerce_sales.csv.</w:t>
      </w:r>
    </w:p>
    <w:p w14:paraId="001000BE" w14:textId="001000BF">
      <w:pPr>
        <w:pStyle w:val="Heading2"/>
        <w:spacing w:before="200" w:after="120"/>
      </w:pPr>
      <w:r>
        <w:rPr>
          <w:b/>
          <w:sz w:val="28"/>
        </w:rPr>
        <w:t xml:space="preserve">8.1 Top-Level Financial KPIs</w:t>
      </w:r>
    </w:p>
    <w:p w14:paraId="001000C0" w14:textId="001000C1">
      <w:pPr>
        <w:pStyle w:val="Normal"/>
        <w:spacing w:after="160"/>
      </w:pPr>
      <w:r>
        <w:rPr>
          <w:sz w:val="22"/>
        </w:rPr>
        <w:t xml:space="preserve">  Total Revenue:         $484,559.34</w:t>
      </w:r>
    </w:p>
    <w:p w14:paraId="001000C2" w14:textId="001000C3">
      <w:pPr>
        <w:pStyle w:val="Normal"/>
        <w:spacing w:after="160"/>
      </w:pPr>
      <w:r>
        <w:rPr>
          <w:sz w:val="22"/>
        </w:rPr>
        <w:t xml:space="preserve">  Total Profit:          $158,872.32</w:t>
      </w:r>
    </w:p>
    <w:p w14:paraId="001000C4" w14:textId="001000C5">
      <w:pPr>
        <w:pStyle w:val="Normal"/>
        <w:spacing w:after="160"/>
      </w:pPr>
      <w:r>
        <w:rPr>
          <w:sz w:val="22"/>
        </w:rPr>
        <w:t xml:space="preserve">  Overall Profit Margin: 32.79%</w:t>
      </w:r>
    </w:p>
    <w:p w14:paraId="001000C6" w14:textId="001000C7">
      <w:pPr>
        <w:pStyle w:val="Normal"/>
        <w:spacing w:after="160"/>
      </w:pPr>
      <w:r>
        <w:rPr>
          <w:sz w:val="22"/>
        </w:rPr>
        <w:t xml:space="preserve">  Total Orders:          2,000</w:t>
      </w:r>
    </w:p>
    <w:p w14:paraId="001000C8" w14:textId="001000C9">
      <w:pPr>
        <w:pStyle w:val="Normal"/>
        <w:spacing w:after="160"/>
      </w:pPr>
      <w:r>
        <w:rPr>
          <w:sz w:val="22"/>
        </w:rPr>
        <w:t xml:space="preserve">  Average Order Value:   $242.28</w:t>
      </w:r>
    </w:p>
    <w:p w14:paraId="001000CA" w14:textId="001000CB">
      <w:pPr>
        <w:pStyle w:val="Normal"/>
        <w:spacing w:after="160"/>
      </w:pPr>
      <w:r>
        <w:rPr>
          <w:sz w:val="22"/>
        </w:rPr>
        <w:t xml:space="preserve">  Total Shipping Cost:   $25,804.24</w:t>
      </w:r>
    </w:p>
    <w:p w14:paraId="001000CC" w14:textId="001000CD">
      <w:pPr>
        <w:pStyle w:val="Normal"/>
        <w:spacing w:after="160"/>
      </w:pPr>
      <w:r>
        <w:rPr>
          <w:sz w:val="22"/>
        </w:rPr>
        <w:t xml:space="preserve">  Shipping / Revenue:    5.33%</w:t>
      </w:r>
    </w:p>
    <w:p w14:paraId="001000CE" w14:textId="001000CF">
      <w:pPr>
        <w:pStyle w:val="Normal"/>
        <w:spacing w:after="120"/>
      </w:pPr>
      <w:r>
        <w:rPr>
          <w:sz w:val="22"/>
        </w:rPr>
        <w:t xml:space="preserve">The business is profitable at the aggregate level, generating a healthy 32.79% margin on $484,559 of revenue across the three-year period. The $242.28 average order value reflects a mid-market basket size consistent with a mix of high-value furniture and electronics alongside lower-priced office and accessories products.</w:t>
      </w:r>
    </w:p>
    <w:p w14:paraId="001000D0" w14:textId="001000D1">
      <w:pPr>
        <w:pStyle w:val="Heading2"/>
        <w:spacing w:before="200" w:after="120"/>
      </w:pPr>
      <w:r>
        <w:rPr>
          <w:b/>
          <w:sz w:val="28"/>
        </w:rPr>
        <w:t xml:space="preserve">8.2 Revenue by Year</w:t>
      </w:r>
    </w:p>
    <w:p w14:paraId="001000D2" w14:textId="001000D3">
      <w:pPr>
        <w:pStyle w:val="Normal"/>
        <w:spacing w:after="120"/>
      </w:pPr>
      <w:r>
        <w:rPr>
          <w:sz w:val="22"/>
        </w:rPr>
        <w:t xml:space="preserve">  2023: $164,443.45  (baseline year)</w:t>
      </w:r>
    </w:p>
    <w:p w14:paraId="001000D4" w14:textId="001000D5">
      <w:pPr>
        <w:pStyle w:val="Normal"/>
        <w:spacing w:after="120"/>
      </w:pPr>
      <w:r>
        <w:rPr>
          <w:sz w:val="22"/>
        </w:rPr>
        <w:t xml:space="preserve">  2024: $155,150.73  (-5.65% year-over-year)</w:t>
      </w:r>
    </w:p>
    <w:p w14:paraId="001000D6" w14:textId="001000D7">
      <w:pPr>
        <w:pStyle w:val="Normal"/>
        <w:spacing w:after="120"/>
      </w:pPr>
      <w:r>
        <w:rPr>
          <w:sz w:val="22"/>
        </w:rPr>
        <w:t xml:space="preserve">  2025: $164,965.16  (+6.33% year-over-year)</w:t>
      </w:r>
    </w:p>
    <w:p w14:paraId="001000D8" w14:textId="001000D9">
      <w:pPr>
        <w:pStyle w:val="Normal"/>
        <w:spacing w:after="120"/>
      </w:pPr>
      <w:r>
        <w:rPr>
          <w:sz w:val="22"/>
        </w:rPr>
        <w:t xml:space="preserve">Revenue declined in 2024 by $9,292.72 (5.65%) relative to 2023 and then recovered in 2025 to a level slightly above 2023 (+$521.71). The 2025 figure represents the highest annual revenue in the dataset, confirming a V-shaped recovery trajectory. This pattern warrants investigation into the causes of the 2024 contraction.</w:t>
      </w:r>
    </w:p>
    <w:p w14:paraId="001000DA" w14:textId="001000DB">
      <w:pPr>
        <w:pStyle w:val="Heading2"/>
        <w:spacing w:before="200" w:after="120"/>
      </w:pPr>
      <w:r>
        <w:rPr>
          <w:b/>
          <w:sz w:val="28"/>
        </w:rPr>
        <w:t xml:space="preserve">8.3 Revenue by Product Category</w:t>
      </w:r>
    </w:p>
    <w:p w14:paraId="001000DC" w14:textId="001000DD">
      <w:pPr>
        <w:pStyle w:val="Normal"/>
        <w:spacing w:after="120"/>
      </w:pPr>
      <w:r>
        <w:rPr>
          <w:sz w:val="22"/>
        </w:rPr>
        <w:t xml:space="preserve">  Furniture:              $256,274.68 revenue | $81,171.57 profit | 31.67% margin</w:t>
      </w:r>
    </w:p>
    <w:p w14:paraId="001000DE" w14:textId="001000DF">
      <w:pPr>
        <w:pStyle w:val="Normal"/>
        <w:spacing w:after="120"/>
      </w:pPr>
      <w:r>
        <w:rPr>
          <w:sz w:val="22"/>
        </w:rPr>
        <w:t xml:space="preserve">  Technology:             $139,518.22 revenue | $48,268.65 profit | 34.60% margin</w:t>
      </w:r>
    </w:p>
    <w:p w14:paraId="001000E0" w14:textId="001000E1">
      <w:pPr>
        <w:pStyle w:val="Normal"/>
        <w:spacing w:after="120"/>
      </w:pPr>
      <w:r>
        <w:rPr>
          <w:sz w:val="22"/>
        </w:rPr>
        <w:t xml:space="preserve">  Clothing &amp; Accessories: $69,375.63  revenue | $26,112.94 profit | 37.64% margin</w:t>
      </w:r>
    </w:p>
    <w:p w14:paraId="001000E2" w14:textId="001000E3">
      <w:pPr>
        <w:pStyle w:val="Normal"/>
        <w:spacing w:after="120"/>
      </w:pPr>
      <w:r>
        <w:rPr>
          <w:sz w:val="22"/>
        </w:rPr>
        <w:t xml:space="preserve">  Office Supplies:        $19,390.81  revenue | $3,319.16  profit | 17.12% margin</w:t>
      </w:r>
    </w:p>
    <w:p w14:paraId="001000E4" w14:textId="001000E5">
      <w:pPr>
        <w:pStyle w:val="Normal"/>
        <w:spacing w:after="120"/>
      </w:pPr>
      <w:r>
        <w:rPr>
          <w:sz w:val="22"/>
        </w:rPr>
        <w:t xml:space="preserve">Furniture dominates revenue at 52.9% of total sales ($256,274.68) but carries the second-lowest profit margin (31.67%). Clothing &amp; Accessories is the smallest category by revenue ($69,375.63) yet delivers the highest profit margin at 37.64%. Office Supplies generates the lowest margin (17.12%), indicating a cost or pricing challenge specific to this category.</w:t>
      </w:r>
    </w:p>
    <w:p w14:paraId="001000E6" w14:textId="001000E7">
      <w:pPr>
        <w:pStyle w:val="Heading2"/>
        <w:spacing w:before="200" w:after="120"/>
      </w:pPr>
      <w:r>
        <w:rPr>
          <w:b/>
          <w:sz w:val="28"/>
        </w:rPr>
        <w:t xml:space="preserve">8.4 Revenue by Geographic Region</w:t>
      </w:r>
    </w:p>
    <w:p w14:paraId="001000E8" w14:textId="001000E9">
      <w:pPr>
        <w:pStyle w:val="Normal"/>
        <w:spacing w:after="120"/>
      </w:pPr>
      <w:r>
        <w:rPr>
          <w:sz w:val="22"/>
        </w:rPr>
        <w:t xml:space="preserve">  Europe:               $137,006.20 revenue | 33.34% margin | 28.27% of total</w:t>
      </w:r>
    </w:p>
    <w:p w14:paraId="001000EA" w14:textId="001000EB">
      <w:pPr>
        <w:pStyle w:val="Normal"/>
        <w:spacing w:after="120"/>
      </w:pPr>
      <w:r>
        <w:rPr>
          <w:sz w:val="22"/>
        </w:rPr>
        <w:t xml:space="preserve">  North America:        $133,876.38 revenue | 33.80% margin | 27.63% of total</w:t>
      </w:r>
    </w:p>
    <w:p w14:paraId="001000EC" w14:textId="001000ED">
      <w:pPr>
        <w:pStyle w:val="Normal"/>
        <w:spacing w:after="120"/>
      </w:pPr>
      <w:r>
        <w:rPr>
          <w:sz w:val="22"/>
        </w:rPr>
        <w:t xml:space="preserve">  Asia Pacific:         $121,707.51 revenue | 32.14% margin | 25.12% of total</w:t>
      </w:r>
    </w:p>
    <w:p w14:paraId="001000EE" w14:textId="001000EF">
      <w:pPr>
        <w:pStyle w:val="Normal"/>
        <w:spacing w:after="120"/>
      </w:pPr>
      <w:r>
        <w:rPr>
          <w:sz w:val="22"/>
        </w:rPr>
        <w:t xml:space="preserve">  South America:        $46,051.13  revenue | 31.88% margin |  9.51% of total</w:t>
      </w:r>
    </w:p>
    <w:p w14:paraId="001000F0" w14:textId="001000F1">
      <w:pPr>
        <w:pStyle w:val="Normal"/>
        <w:spacing w:after="120"/>
      </w:pPr>
      <w:r>
        <w:rPr>
          <w:sz w:val="22"/>
        </w:rPr>
        <w:t xml:space="preserve">  Middle East &amp; Africa: $45,918.12  revenue | 30.82% margin |  9.48% of total</w:t>
      </w:r>
    </w:p>
    <w:p w14:paraId="001000F2" w14:textId="001000F3">
      <w:pPr>
        <w:pStyle w:val="Normal"/>
        <w:spacing w:after="120"/>
      </w:pPr>
      <w:r>
        <w:rPr>
          <w:sz w:val="22"/>
        </w:rPr>
        <w:t xml:space="preserve">Revenue is relatively balanced across the top three regions (Europe, North America, Asia Pacific), which together account for 81.0% of total revenue. South America and Middle East &amp; Africa each contribute approximately 9.5%. North America carries the highest regional profit margin at 33.80%. Middle East &amp; Africa has the lowest at 30.82%.</w:t>
      </w:r>
    </w:p>
    <w:p w14:paraId="001000F4" w14:textId="001000F5">
      <w:pPr>
        <w:pStyle w:val="Heading2"/>
        <w:spacing w:before="200" w:after="120"/>
      </w:pPr>
      <w:r>
        <w:rPr>
          <w:b/>
          <w:sz w:val="28"/>
        </w:rPr>
        <w:t xml:space="preserve">8.5 Revenue by Customer Segment</w:t>
      </w:r>
    </w:p>
    <w:p w14:paraId="001000F6" w14:textId="001000F7">
      <w:pPr>
        <w:pStyle w:val="Normal"/>
        <w:spacing w:after="120"/>
      </w:pPr>
      <w:r>
        <w:rPr>
          <w:sz w:val="22"/>
        </w:rPr>
        <w:t xml:space="preserve">  Consumer:    $256,287.74 revenue | $87,300.36 profit | 1,006 orders | $254.76 AOV | 34.06% margin</w:t>
      </w:r>
    </w:p>
    <w:p w14:paraId="001000F8" w14:textId="001000F9">
      <w:pPr>
        <w:pStyle w:val="Normal"/>
        <w:spacing w:after="120"/>
      </w:pPr>
      <w:r>
        <w:rPr>
          <w:sz w:val="22"/>
        </w:rPr>
        <w:t xml:space="preserve">  Corporate:   $146,050.39 revenue | $44,463.44 profit |   623 orders | $234.43 AOV | 30.44% margin</w:t>
      </w:r>
    </w:p>
    <w:p w14:paraId="001000FA" w14:textId="001000FB">
      <w:pPr>
        <w:pStyle w:val="Normal"/>
        <w:spacing w:after="120"/>
      </w:pPr>
      <w:r>
        <w:rPr>
          <w:sz w:val="22"/>
        </w:rPr>
        <w:t xml:space="preserve">  Home Office: $82,221.21  revenue | $27,108.52 profit |   371 orders | $221.62 AOV | 32.97% margin</w:t>
      </w:r>
    </w:p>
    <w:p w14:paraId="001000FC" w14:textId="001000FD">
      <w:pPr>
        <w:pStyle w:val="Normal"/>
        <w:spacing w:after="120"/>
      </w:pPr>
      <w:r>
        <w:rPr>
          <w:sz w:val="22"/>
        </w:rPr>
        <w:t xml:space="preserve">The Consumer segment is the dominant revenue source (52.89% of total), the most profitable segment in absolute terms ($87,300.36), and also the highest-margin segment at 34.06%. Consumers also exhibit the highest average order value ($254.76). The Corporate segment, despite generating 30.13% of revenue, has the lowest profit margin (30.44%), suggesting possible volume-discount agreements or higher acquisition costs.</w:t>
      </w:r>
    </w:p>
    <w:p w14:paraId="001000FE" w14:textId="001000FF">
      <w:pPr>
        <w:pStyle w:val="Heading2"/>
        <w:spacing w:before="200" w:after="120"/>
      </w:pPr>
      <w:r>
        <w:rPr>
          <w:b/>
          <w:sz w:val="28"/>
        </w:rPr>
        <w:t xml:space="preserve">8.6 Top 10 Countries by Revenue</w:t>
      </w:r>
    </w:p>
    <w:p w14:paraId="00100100" w14:textId="00100101">
      <w:pPr>
        <w:pStyle w:val="Normal"/>
        <w:spacing w:after="120"/>
      </w:pPr>
      <w:r>
        <w:rPr>
          <w:sz w:val="22"/>
        </w:rPr>
        <w:t xml:space="preserve">  1. Mexico:         $47,217.30</w:t>
      </w:r>
    </w:p>
    <w:p w14:paraId="00100102" w14:textId="00100103">
      <w:pPr>
        <w:pStyle w:val="Normal"/>
        <w:spacing w:after="120"/>
      </w:pPr>
      <w:r>
        <w:rPr>
          <w:sz w:val="22"/>
        </w:rPr>
        <w:t xml:space="preserve">  2. Canada:         $45,326.55</w:t>
      </w:r>
    </w:p>
    <w:p w14:paraId="00100104" w14:textId="00100105">
      <w:pPr>
        <w:pStyle w:val="Normal"/>
        <w:spacing w:after="120"/>
      </w:pPr>
      <w:r>
        <w:rPr>
          <w:sz w:val="22"/>
        </w:rPr>
        <w:t xml:space="preserve">  3. United States:  $41,332.53</w:t>
      </w:r>
    </w:p>
    <w:p w14:paraId="00100106" w14:textId="00100107">
      <w:pPr>
        <w:pStyle w:val="Normal"/>
        <w:spacing w:after="120"/>
      </w:pPr>
      <w:r>
        <w:rPr>
          <w:sz w:val="22"/>
        </w:rPr>
        <w:t xml:space="preserve">  4. Japan:          $30,950.19</w:t>
      </w:r>
    </w:p>
    <w:p w14:paraId="00100108" w14:textId="00100109">
      <w:pPr>
        <w:pStyle w:val="Normal"/>
        <w:spacing w:after="120"/>
      </w:pPr>
      <w:r>
        <w:rPr>
          <w:sz w:val="22"/>
        </w:rPr>
        <w:t xml:space="preserve">  5. United Kingdom: $30,185.46</w:t>
      </w:r>
    </w:p>
    <w:p w14:paraId="0010010A" w14:textId="0010010B">
      <w:pPr>
        <w:pStyle w:val="Normal"/>
        <w:spacing w:after="120"/>
      </w:pPr>
      <w:r>
        <w:rPr>
          <w:sz w:val="22"/>
        </w:rPr>
        <w:t xml:space="preserve">  6. Germany:        $28,989.73</w:t>
      </w:r>
    </w:p>
    <w:p w14:paraId="0010010C" w14:textId="0010010D">
      <w:pPr>
        <w:pStyle w:val="Normal"/>
        <w:spacing w:after="120"/>
      </w:pPr>
      <w:r>
        <w:rPr>
          <w:sz w:val="22"/>
        </w:rPr>
        <w:t xml:space="preserve">  7. China:          $28,322.85</w:t>
      </w:r>
    </w:p>
    <w:p w14:paraId="0010010E" w14:textId="0010010F">
      <w:pPr>
        <w:pStyle w:val="Normal"/>
        <w:spacing w:after="120"/>
      </w:pPr>
      <w:r>
        <w:rPr>
          <w:sz w:val="22"/>
        </w:rPr>
        <w:t xml:space="preserve">  8. Italy:          $27,484.38</w:t>
      </w:r>
    </w:p>
    <w:p w14:paraId="00100110" w14:textId="00100111">
      <w:pPr>
        <w:pStyle w:val="Normal"/>
        <w:spacing w:after="120"/>
      </w:pPr>
      <w:r>
        <w:rPr>
          <w:sz w:val="22"/>
        </w:rPr>
        <w:t xml:space="preserve">  9. France:         $26,616.81</w:t>
      </w:r>
    </w:p>
    <w:p w14:paraId="00100112" w14:textId="00100113">
      <w:pPr>
        <w:pStyle w:val="Normal"/>
        <w:spacing w:after="120"/>
      </w:pPr>
      <w:r>
        <w:rPr>
          <w:sz w:val="22"/>
        </w:rPr>
        <w:t xml:space="preserve">  10. Australia:     $25,287.72</w:t>
      </w:r>
    </w:p>
    <w:p w14:paraId="00100114" w14:textId="00100115">
      <w:pPr>
        <w:pStyle w:val="Normal"/>
        <w:spacing w:after="120"/>
      </w:pPr>
      <w:r>
        <w:rPr>
          <w:sz w:val="22"/>
        </w:rPr>
        <w:t xml:space="preserve">Mexico is the single highest-revenue country ($47,217.30), followed closely by Canada ($45,326.55) and the United States ($41,332.53). Together the top 3 countries represent 27.6% of total revenue. The spread across 20 countries indicates reasonably broad geographic diversification at the country level.</w:t>
      </w:r>
    </w:p>
    <w:p w14:paraId="00100116" w14:textId="00100117">
      <w:pPr>
        <w:pStyle w:val="Heading2"/>
        <w:spacing w:before="200" w:after="120"/>
      </w:pPr>
      <w:r>
        <w:rPr>
          <w:b/>
          <w:sz w:val="28"/>
        </w:rPr>
        <w:t xml:space="preserve">8.7 Payment Method Distribution</w:t>
      </w:r>
    </w:p>
    <w:p w14:paraId="00100118" w14:textId="00100119">
      <w:pPr>
        <w:pStyle w:val="Normal"/>
        <w:spacing w:after="120"/>
      </w:pPr>
      <w:r>
        <w:rPr>
          <w:sz w:val="22"/>
        </w:rPr>
        <w:t xml:space="preserve">  Credit Card:      797 orders (39.9%)</w:t>
      </w:r>
    </w:p>
    <w:p w14:paraId="0010011A" w14:textId="0010011B">
      <w:pPr>
        <w:pStyle w:val="Normal"/>
        <w:spacing w:after="120"/>
      </w:pPr>
      <w:r>
        <w:rPr>
          <w:sz w:val="22"/>
        </w:rPr>
        <w:t xml:space="preserve">  PayPal:           609 orders (30.4%)</w:t>
      </w:r>
    </w:p>
    <w:p w14:paraId="0010011C" w14:textId="0010011D">
      <w:pPr>
        <w:pStyle w:val="Normal"/>
        <w:spacing w:after="120"/>
      </w:pPr>
      <w:r>
        <w:rPr>
          <w:sz w:val="22"/>
        </w:rPr>
        <w:t xml:space="preserve">  Cash on Delivery: 301 orders (15.0%)</w:t>
      </w:r>
    </w:p>
    <w:p w14:paraId="0010011E" w14:textId="0010011F">
      <w:pPr>
        <w:pStyle w:val="Normal"/>
        <w:spacing w:after="120"/>
      </w:pPr>
      <w:r>
        <w:rPr>
          <w:sz w:val="22"/>
        </w:rPr>
        <w:t xml:space="preserve">  Bank Transfer:    293 orders (14.6%)</w:t>
      </w:r>
    </w:p>
    <w:p w14:paraId="00100120" w14:textId="00100121">
      <w:pPr>
        <w:pStyle w:val="Normal"/>
        <w:spacing w:after="200"/>
      </w:pPr>
      <w:r>
        <w:rPr>
          <w:sz w:val="22"/>
        </w:rPr>
        <w:t xml:space="preserve">Credit Card is the dominant payment method (39.9%) followed by PayPal (30.4%). Together, card and digital wallet payments represent 70.3% of all orders, reflecting the digitally-native nature of the customer base. Cash on Delivery and Bank Transfer each account for approximately 15%.</w:t>
      </w:r>
    </w:p>
    <w:p w14:paraId="001001E8" w14:textId="001001E9">
      <w:pPr>
        <w:pStyle w:val="Heading1"/>
        <w:spacing w:before="360" w:after="160"/>
      </w:pPr>
      <w:r>
        <w:rPr>
          <w:b/>
          <w:sz w:val="36"/>
        </w:rPr>
        <w:t xml:space="preserve">9. Trend Analysis — Where is it Heading?</w:t>
      </w:r>
    </w:p>
    <w:p w14:paraId="00100208" w14:textId="00100209">
      <w:pPr>
        <w:pStyle w:val="Heading2"/>
        <w:spacing w:before="200" w:after="120"/>
      </w:pPr>
      <w:r>
        <w:rPr>
          <w:b/>
          <w:sz w:val="28"/>
        </w:rPr>
        <w:t xml:space="preserve">9.1 Year-over-Year Revenue Trend</w:t>
      </w:r>
    </w:p>
    <w:p w14:paraId="0010020A" w14:textId="0010020B">
      <w:pPr>
        <w:pStyle w:val="Normal"/>
        <w:spacing w:after="120"/>
      </w:pPr>
      <w:r>
        <w:rPr>
          <w:sz w:val="22"/>
        </w:rPr>
        <w:t xml:space="preserve">Revenue fell 5.65% in 2024 ($164,443 to $155,151) before recovering 6.33% in 2025 ($155,151 to $164,965). The 2025 revenue is the highest in the dataset, surpassing 2023 by $521.71. This U-shaped trajectory indicates that the 2024 contraction was transient rather than structural.</w:t>
      </w:r>
    </w:p>
    <w:p w14:paraId="0010020C" w14:textId="0010020D">
      <w:pPr>
        <w:pStyle w:val="Heading2"/>
        <w:spacing w:before="200" w:after="120"/>
      </w:pPr>
      <w:r>
        <w:rPr>
          <w:b/>
          <w:sz w:val="28"/>
        </w:rPr>
        <w:t xml:space="preserve">9.2 Seasonal Monthly Revenue Profile</w:t>
      </w:r>
    </w:p>
    <w:p w14:paraId="0010020E" w14:textId="0010020F">
      <w:pPr>
        <w:pStyle w:val="Normal"/>
        <w:spacing w:after="80"/>
      </w:pPr>
      <w:r>
        <w:rPr>
          <w:sz w:val="22"/>
        </w:rPr>
        <w:t xml:space="preserve">Average revenue per calendar month across all three years (showing average order value, not monthly total):</w:t>
      </w:r>
    </w:p>
    <w:p w14:paraId="00100210" w14:textId="00100211">
      <w:pPr>
        <w:pStyle w:val="Normal"/>
        <w:spacing w:after="120"/>
      </w:pPr>
      <w:r>
        <w:rPr>
          <w:sz w:val="22"/>
        </w:rPr>
        <w:t xml:space="preserve">  Jan: $229.07  |  Feb: $283.29  |  Mar: $240.41  |  Apr: $242.88</w:t>
      </w:r>
    </w:p>
    <w:p w14:paraId="00100212" w14:textId="00100213">
      <w:pPr>
        <w:pStyle w:val="Normal"/>
        <w:spacing w:after="120"/>
      </w:pPr>
      <w:r>
        <w:rPr>
          <w:sz w:val="22"/>
        </w:rPr>
        <w:t xml:space="preserve">  May: $243.88  |  Jun: $261.65  |  Jul: $268.65  |  Aug: $210.85</w:t>
      </w:r>
    </w:p>
    <w:p w14:paraId="00100214" w14:textId="00100215">
      <w:pPr>
        <w:pStyle w:val="Normal"/>
        <w:spacing w:after="120"/>
      </w:pPr>
      <w:r>
        <w:rPr>
          <w:sz w:val="22"/>
        </w:rPr>
        <w:t xml:space="preserve">  Sep: $202.26  |  Oct: $249.25  |  Nov: $244.88  |  Dec: $237.59</w:t>
      </w:r>
    </w:p>
    <w:p w14:paraId="00100216" w14:textId="00100217">
      <w:pPr>
        <w:pStyle w:val="Normal"/>
        <w:spacing w:after="120"/>
      </w:pPr>
      <w:r>
        <w:rPr>
          <w:sz w:val="22"/>
        </w:rPr>
        <w:t xml:space="preserve">February is the strongest month on average ($283.29), while September is the weakest ($202.26). July shows a mid-year peak ($268.65). August-September represent a consistent seasonal trough, suggesting promotional campaigns timed before this window could mitigate the dip.</w:t>
      </w:r>
    </w:p>
    <w:p w14:paraId="00100218" w14:textId="00100219">
      <w:pPr>
        <w:pStyle w:val="Heading2"/>
        <w:spacing w:before="200" w:after="120"/>
      </w:pPr>
      <w:r>
        <w:rPr>
          <w:b/>
          <w:sz w:val="28"/>
        </w:rPr>
        <w:t xml:space="preserve">9.3 Monthly Revenue and Profit Trends</w:t>
      </w:r>
    </w:p>
    <w:p w14:paraId="0010021A" w14:textId="0010021B">
      <w:pPr>
        <w:pStyle w:val="Normal"/>
        <w:spacing w:after="120"/>
      </w:pPr>
      <w:r>
        <w:rPr>
          <w:sz w:val="22"/>
        </w:rPr>
        <w:t xml:space="preserve">The monthly revenue trend plotted across all 36 months shows moderate volatility with no single catastrophic drop. Profit tracks revenue closely, reflecting a relatively stable margin structure. Average order count is approximately 55-56 orders per month (2,000 orders / 36 months).</w:t>
      </w:r>
    </w:p>
    <w:p w14:paraId="0010021C" w14:textId="0010021D">
      <w:pPr>
        <w:pStyle w:val="Heading2"/>
        <w:spacing w:before="200" w:after="120"/>
      </w:pPr>
      <w:r>
        <w:rPr>
          <w:b/>
          <w:sz w:val="28"/>
        </w:rPr>
        <w:t xml:space="preserve">9.4 Quarterly Revenue by Category</w:t>
      </w:r>
    </w:p>
    <w:p w14:paraId="0010021E" w14:textId="0010021F">
      <w:pPr>
        <w:pStyle w:val="Normal"/>
        <w:spacing w:after="200"/>
      </w:pPr>
      <w:r>
        <w:rPr>
          <w:sz w:val="22"/>
        </w:rPr>
        <w:t xml:space="preserve">Quarterly breakdowns across 12 quarters (Q1 2023 through Q4 2025) show Furniture consistently dominating each quarter, with Technology as the second-largest contributor. Clothing &amp; Accessories and Office Supplies remain stable at a lower tier with no category reversals across the observation window.</w:t>
      </w:r>
    </w:p>
    <w:p w14:paraId="00100122" w14:textId="00100123">
      <w:pPr>
        <w:pStyle w:val="Heading1"/>
        <w:spacing w:before="360" w:after="160"/>
      </w:pPr>
      <w:r>
        <w:rPr>
          <w:b/>
          <w:sz w:val="36"/>
        </w:rPr>
        <w:t xml:space="preserve">10. Driver Analysis — Why is it Happening?</w:t>
      </w:r>
    </w:p>
    <w:p w14:paraId="00100124" w14:textId="00100125">
      <w:pPr>
        <w:pStyle w:val="Normal"/>
        <w:spacing w:after="120"/>
      </w:pPr>
      <w:r>
        <w:rPr>
          <w:sz w:val="22"/>
        </w:rPr>
        <w:t xml:space="preserve">This section identifies the quantitative drivers behind the KPI values observed in Section 8.</w:t>
      </w:r>
    </w:p>
    <w:p w14:paraId="00100126" w14:textId="00100127">
      <w:pPr>
        <w:pStyle w:val="Heading2"/>
        <w:spacing w:before="200" w:after="120"/>
      </w:pPr>
      <w:r>
        <w:rPr>
          <w:b/>
          <w:sz w:val="28"/>
        </w:rPr>
        <w:t xml:space="preserve">10.1 Product Mix as a Margin Driver</w:t>
      </w:r>
    </w:p>
    <w:p w14:paraId="00100128" w14:textId="00100129">
      <w:pPr>
        <w:pStyle w:val="Normal"/>
        <w:spacing w:after="120"/>
      </w:pPr>
      <w:r>
        <w:rPr>
          <w:sz w:val="22"/>
        </w:rPr>
        <w:t xml:space="preserve">The 20.52-percentage-point spread in profit margins between the best (Clothing &amp; Accessories: 37.64%) and worst (Office Supplies: 17.12%) categories demonstrates that product mix is the most significant structural driver of overall margin. The 52.9% revenue dominance of Furniture (margin 31.67%) anchors the overall 32.79% blended margin below what the Clothing or Technology segments individually achieve.</w:t>
      </w:r>
    </w:p>
    <w:p w14:paraId="0010012A" w14:textId="0010012B">
      <w:pPr>
        <w:pStyle w:val="Heading2"/>
        <w:spacing w:before="200" w:after="120"/>
      </w:pPr>
      <w:r>
        <w:rPr>
          <w:b/>
          <w:sz w:val="28"/>
        </w:rPr>
        <w:t xml:space="preserve">10.2 Top Revenue-Driving Products</w:t>
      </w:r>
    </w:p>
    <w:p w14:paraId="0010012C" w14:textId="0010012D">
      <w:pPr>
        <w:pStyle w:val="Normal"/>
        <w:spacing w:after="80"/>
      </w:pPr>
      <w:r>
        <w:rPr>
          <w:sz w:val="22"/>
        </w:rPr>
        <w:t xml:space="preserve">Revenue is highly concentrated in a small set of Furniture products:</w:t>
      </w:r>
    </w:p>
    <w:p w14:paraId="0010012E" w14:textId="0010012F">
      <w:pPr>
        <w:pStyle w:val="Normal"/>
        <w:spacing w:after="120"/>
      </w:pPr>
      <w:r>
        <w:rPr>
          <w:sz w:val="22"/>
        </w:rPr>
        <w:t xml:space="preserve">  1. Standing Desk Converter:       $46,614.22 revenue</w:t>
      </w:r>
    </w:p>
    <w:p w14:paraId="00100130" w14:textId="00100131">
      <w:pPr>
        <w:pStyle w:val="Normal"/>
        <w:spacing w:after="120"/>
      </w:pPr>
      <w:r>
        <w:rPr>
          <w:sz w:val="22"/>
        </w:rPr>
        <w:t xml:space="preserve">  2. Ergonomic Office Chair:         $45,405.15 revenue</w:t>
      </w:r>
    </w:p>
    <w:p w14:paraId="00100132" w14:textId="00100133">
      <w:pPr>
        <w:pStyle w:val="Normal"/>
        <w:spacing w:after="120"/>
      </w:pPr>
      <w:r>
        <w:rPr>
          <w:sz w:val="22"/>
        </w:rPr>
        <w:t xml:space="preserve">  3. Corner L-Shaped Desk:          $41,070.48 revenue</w:t>
      </w:r>
    </w:p>
    <w:p w14:paraId="00100134" w14:textId="00100135">
      <w:pPr>
        <w:pStyle w:val="Normal"/>
        <w:spacing w:after="120"/>
      </w:pPr>
      <w:r>
        <w:rPr>
          <w:sz w:val="22"/>
        </w:rPr>
        <w:t xml:space="preserve">  4. Mesh Back Task Chair:           $38,179.77 revenue</w:t>
      </w:r>
    </w:p>
    <w:p w14:paraId="00100136" w14:textId="00100137">
      <w:pPr>
        <w:pStyle w:val="Normal"/>
        <w:spacing w:after="120"/>
      </w:pPr>
      <w:r>
        <w:rPr>
          <w:sz w:val="22"/>
        </w:rPr>
        <w:t xml:space="preserve">  5. Wireless Bluetooth Headphones: $28,258.70 revenue</w:t>
      </w:r>
    </w:p>
    <w:p w14:paraId="00100138" w14:textId="00100139">
      <w:pPr>
        <w:pStyle w:val="Normal"/>
        <w:spacing w:after="120"/>
      </w:pPr>
      <w:r>
        <w:rPr>
          <w:sz w:val="22"/>
        </w:rPr>
        <w:t xml:space="preserve">  6. Mechanical Gaming Keyboard:    $24,072.42 revenue</w:t>
      </w:r>
    </w:p>
    <w:p w14:paraId="0010013A" w14:textId="0010013B">
      <w:pPr>
        <w:pStyle w:val="Normal"/>
        <w:spacing w:after="120"/>
      </w:pPr>
      <w:r>
        <w:rPr>
          <w:sz w:val="22"/>
        </w:rPr>
        <w:t xml:space="preserve">  7. Filing Cabinet 3-Drawer:       $23,108.01 revenue</w:t>
      </w:r>
    </w:p>
    <w:p w14:paraId="0010013C" w14:textId="0010013D">
      <w:pPr>
        <w:pStyle w:val="Normal"/>
        <w:spacing w:after="120"/>
      </w:pPr>
      <w:r>
        <w:rPr>
          <w:sz w:val="22"/>
        </w:rPr>
        <w:t xml:space="preserve">The top 4 products are all Furniture items and together contribute $171,269.62 (35.4% of total revenue), confirming that Furniture's category dominance is driven by a concentrated set of high-ticket items.</w:t>
      </w:r>
    </w:p>
    <w:p w14:paraId="0010013E" w14:textId="0010013F">
      <w:pPr>
        <w:pStyle w:val="Heading2"/>
        <w:spacing w:before="200" w:after="120"/>
      </w:pPr>
      <w:r>
        <w:rPr>
          <w:b/>
          <w:sz w:val="28"/>
        </w:rPr>
        <w:t xml:space="preserve">10.3 Top Profit-Generating Products</w:t>
      </w:r>
    </w:p>
    <w:p w14:paraId="00100140" w14:textId="00100141">
      <w:pPr>
        <w:pStyle w:val="Normal"/>
        <w:spacing w:after="120"/>
      </w:pPr>
      <w:r>
        <w:rPr>
          <w:sz w:val="22"/>
        </w:rPr>
        <w:t xml:space="preserve">  1. Ergonomic Office Chair:          $15,104.58 profit</w:t>
      </w:r>
    </w:p>
    <w:p w14:paraId="00100142" w14:textId="00100143">
      <w:pPr>
        <w:pStyle w:val="Normal"/>
        <w:spacing w:after="120"/>
      </w:pPr>
      <w:r>
        <w:rPr>
          <w:sz w:val="22"/>
        </w:rPr>
        <w:t xml:space="preserve">  2. Standing Desk Converter:         $14,694.35 profit</w:t>
      </w:r>
    </w:p>
    <w:p w14:paraId="00100144" w14:textId="00100145">
      <w:pPr>
        <w:pStyle w:val="Normal"/>
        <w:spacing w:after="120"/>
      </w:pPr>
      <w:r>
        <w:rPr>
          <w:sz w:val="22"/>
        </w:rPr>
        <w:t xml:space="preserve">  3. Corner L-Shaped Desk:           $13,663.00 profit</w:t>
      </w:r>
    </w:p>
    <w:p w14:paraId="00100146" w14:textId="00100147">
      <w:pPr>
        <w:pStyle w:val="Normal"/>
        <w:spacing w:after="120"/>
      </w:pPr>
      <w:r>
        <w:rPr>
          <w:sz w:val="22"/>
        </w:rPr>
        <w:t xml:space="preserve">  4. Mesh Back Task Chair:            $12,820.11 profit</w:t>
      </w:r>
    </w:p>
    <w:p w14:paraId="00100148" w14:textId="00100149">
      <w:pPr>
        <w:pStyle w:val="Normal"/>
        <w:spacing w:after="120"/>
      </w:pPr>
      <w:r>
        <w:rPr>
          <w:sz w:val="22"/>
        </w:rPr>
        <w:t xml:space="preserve">  5. Wireless Bluetooth Headphones:  $10,611.08 profit</w:t>
      </w:r>
    </w:p>
    <w:p w14:paraId="0010014A" w14:textId="0010014B">
      <w:pPr>
        <w:pStyle w:val="Normal"/>
        <w:spacing w:after="120"/>
      </w:pPr>
      <w:r>
        <w:rPr>
          <w:sz w:val="22"/>
        </w:rPr>
        <w:t xml:space="preserve">  6. Mechanical Gaming Keyboard:     $8,381.19  profit</w:t>
      </w:r>
    </w:p>
    <w:p w14:paraId="0010014C" w14:textId="0010014D">
      <w:pPr>
        <w:pStyle w:val="Normal"/>
        <w:spacing w:after="120"/>
      </w:pPr>
      <w:r>
        <w:rPr>
          <w:sz w:val="22"/>
        </w:rPr>
        <w:t xml:space="preserve">  7. Filing Cabinet 3-Drawer:        $7,041.80  profit</w:t>
      </w:r>
    </w:p>
    <w:p w14:paraId="0010014E" w14:textId="0010014F">
      <w:pPr>
        <w:pStyle w:val="Normal"/>
        <w:spacing w:after="120"/>
      </w:pPr>
      <w:r>
        <w:rPr>
          <w:sz w:val="22"/>
        </w:rPr>
        <w:t xml:space="preserve">  8. Portable External SSD 1TB:      $6,556.75  profit</w:t>
      </w:r>
    </w:p>
    <w:p w14:paraId="00100150" w14:textId="00100151">
      <w:pPr>
        <w:pStyle w:val="Normal"/>
        <w:spacing w:after="120"/>
      </w:pPr>
      <w:r>
        <w:rPr>
          <w:sz w:val="22"/>
        </w:rPr>
        <w:t xml:space="preserve">  9. Business Casual Blazer:         $6,004.33  profit</w:t>
      </w:r>
    </w:p>
    <w:p w14:paraId="00100152" w14:textId="00100153">
      <w:pPr>
        <w:pStyle w:val="Normal"/>
        <w:spacing w:after="120"/>
      </w:pPr>
      <w:r>
        <w:rPr>
          <w:sz w:val="22"/>
        </w:rPr>
        <w:t xml:space="preserve">  10. Noise Cancelling Earbuds:      $5,973.01  profit</w:t>
      </w:r>
    </w:p>
    <w:p w14:paraId="00100154" w14:textId="00100155">
      <w:pPr>
        <w:pStyle w:val="Heading2"/>
        <w:spacing w:before="200" w:after="120"/>
      </w:pPr>
      <w:r>
        <w:rPr>
          <w:b/>
          <w:sz w:val="28"/>
        </w:rPr>
        <w:t xml:space="preserve">10.4 Discount-to-Margin Relationship</w:t>
      </w:r>
    </w:p>
    <w:p w14:paraId="00100156" w14:textId="00100157">
      <w:pPr>
        <w:pStyle w:val="Normal"/>
        <w:spacing w:after="120"/>
      </w:pPr>
      <w:r>
        <w:rPr>
          <w:sz w:val="22"/>
        </w:rPr>
        <w:t xml:space="preserve">Average discount rates are similar across all four categories (range: 8.41% to 8.66%), indicating no single category is structurally over-discounted at the category-average level. However, the scatter plot of Discount_Percent vs. Profit_Margin_% at the individual order level (Page 3 of the dashboard) reveals that orders with discounts at the 20-30% range frequently fall below the break-even line. 43 orders with a discount of 20% or more generated a negative profit — these orders constitute a targeted correction opportunity.</w:t>
      </w:r>
    </w:p>
    <w:p w14:paraId="00100158" w14:textId="00100159">
      <w:pPr>
        <w:pStyle w:val="Heading2"/>
        <w:spacing w:before="200" w:after="120"/>
      </w:pPr>
      <w:r>
        <w:rPr>
          <w:b/>
          <w:sz w:val="28"/>
        </w:rPr>
        <w:t xml:space="preserve">10.5 Loss-Making Order Drivers</w:t>
      </w:r>
    </w:p>
    <w:p w14:paraId="0010015A" w14:textId="0010015B">
      <w:pPr>
        <w:pStyle w:val="Normal"/>
        <w:spacing w:after="80"/>
      </w:pPr>
      <w:r>
        <w:rPr>
          <w:sz w:val="22"/>
        </w:rPr>
        <w:t xml:space="preserve">272 of 2,000 orders (13.60%) generated a negative profit for a cumulative loss of $953.39. Two products exhibit a negative average profit across all their orders:</w:t>
      </w:r>
    </w:p>
    <w:p w14:paraId="0010015C" w14:textId="0010015D">
      <w:pPr>
        <w:pStyle w:val="Normal"/>
        <w:numPr>
          <w:ilvl w:val="0"/>
          <w:numId w:val="6"/>
        </w:numPr>
        <w:spacing w:after="40"/>
      </w:pPr>
      <w:r>
        <w:rPr>
          <w:sz w:val="22"/>
        </w:rPr>
        <w:t xml:space="preserve">Paper Clips Box 500pc: average profit of -$1.78 per order.</w:t>
      </w:r>
    </w:p>
    <w:p w14:paraId="0010015E" w14:textId="0010015F">
      <w:pPr>
        <w:pStyle w:val="Normal"/>
        <w:numPr>
          <w:ilvl w:val="0"/>
          <w:numId w:val="6"/>
        </w:numPr>
        <w:spacing w:after="120"/>
      </w:pPr>
      <w:r>
        <w:rPr>
          <w:sz w:val="22"/>
        </w:rPr>
        <w:t xml:space="preserve">Highlighters Neon Pack 6: average profit of -$0.01 per order.</w:t>
      </w:r>
    </w:p>
    <w:p w14:paraId="00100160" w14:textId="00100161">
      <w:pPr>
        <w:pStyle w:val="Normal"/>
        <w:spacing w:after="120"/>
      </w:pPr>
      <w:r>
        <w:rPr>
          <w:sz w:val="22"/>
        </w:rPr>
        <w:t xml:space="preserve">These two products sit in the Office Supplies category, which already carries the lowest category margin (17.12%). The combination of low unit price, high shipping cost relative to sale value, and aggressive discounting drives these products into loss territory.</w:t>
      </w:r>
    </w:p>
    <w:p w14:paraId="00100162" w14:textId="00100163">
      <w:pPr>
        <w:pStyle w:val="Heading2"/>
        <w:spacing w:before="200" w:after="120"/>
      </w:pPr>
      <w:r>
        <w:rPr>
          <w:b/>
          <w:sz w:val="28"/>
        </w:rPr>
        <w:t xml:space="preserve">10.6 Shipping Cost Concentration</w:t>
      </w:r>
    </w:p>
    <w:p w14:paraId="00100164" w14:textId="00100165">
      <w:pPr>
        <w:pStyle w:val="Normal"/>
        <w:spacing w:after="120"/>
      </w:pPr>
      <w:r>
        <w:rPr>
          <w:sz w:val="22"/>
        </w:rPr>
        <w:t xml:space="preserve">At 5.33% of revenue, total shipping costs ($25,804.24) are a consistent margin drain. The dashboard's Page 3 shows shipping cost as a percentage of revenue broken down by category, enabling targeted logistics renegotiation. Because Furniture dominates revenue, its absolute shipping cost is also the highest — making furniture carrier contracts the highest-impact negotiation target.</w:t>
      </w:r>
    </w:p>
    <w:p w14:paraId="00100166" w14:textId="00100167">
      <w:pPr>
        <w:pStyle w:val="Heading2"/>
        <w:spacing w:before="200" w:after="120"/>
      </w:pPr>
      <w:r>
        <w:rPr>
          <w:b/>
          <w:sz w:val="28"/>
        </w:rPr>
        <w:t xml:space="preserve">10.7 Segment Revenue Concentration</w:t>
      </w:r>
    </w:p>
    <w:p w14:paraId="00100168" w14:textId="00100169">
      <w:pPr>
        <w:pStyle w:val="Normal"/>
        <w:spacing w:after="200"/>
      </w:pPr>
      <w:r>
        <w:rPr>
          <w:sz w:val="22"/>
        </w:rPr>
        <w:t xml:space="preserve">The Consumer segment's 52.89% share of revenue combined with its 34.06% margin (the highest of any segment) makes it the primary commercial engine. The Corporate segment contributes 30.13% of revenue but at a lower 30.44% margin. This 3.62-percentage-point margin gap between Consumer and Corporate segments suggests that the Corporate segment's pricing strategy or cost structure may require review.</w:t>
      </w:r>
    </w:p>
    <w:p w14:paraId="00100230" w14:textId="00100231">
      <w:pPr>
        <w:pStyle w:val="Heading1"/>
        <w:spacing w:before="360" w:after="160"/>
      </w:pPr>
      <w:r>
        <w:rPr>
          <w:b/>
          <w:sz w:val="36"/>
        </w:rPr>
        <w:t xml:space="preserve">11. Risks</w:t>
      </w:r>
    </w:p>
    <w:p w14:paraId="00100232" w14:textId="00100233">
      <w:pPr>
        <w:pStyle w:val="Normal"/>
        <w:spacing w:after="120"/>
      </w:pPr>
      <w:r>
        <w:rPr>
          <w:sz w:val="22"/>
        </w:rPr>
        <w:t xml:space="preserve">The following risks are grounded in patterns identified by the dashboard's Risk &amp; Opportunity page (Page 6) and computed directly from the dataset.</w:t>
      </w:r>
    </w:p>
    <w:p w14:paraId="001001EA" w14:textId="001001EB">
      <w:pPr>
        <w:pStyle w:val="Normal"/>
        <w:numPr>
          <w:ilvl w:val="0"/>
          <w:numId w:val="9"/>
        </w:numPr>
        <w:spacing w:after="80"/>
      </w:pPr>
      <w:r>
        <w:rPr>
          <w:sz w:val="22"/>
        </w:rPr>
        <w:t xml:space="preserve">Risk 1 — Loss-Making Orders at Scale (13.60% of All Orders): 272 orders generated negative profit. Although the cumulative net loss is $953.39, the 13.60% transaction rate indicates a systemic pricing or discounting problem that will scale proportionally with order growth.</w:t>
      </w:r>
    </w:p>
    <w:p w14:paraId="001001EC" w14:textId="001001ED">
      <w:pPr>
        <w:pStyle w:val="Normal"/>
        <w:numPr>
          <w:ilvl w:val="0"/>
          <w:numId w:val="9"/>
        </w:numPr>
        <w:spacing w:after="80"/>
      </w:pPr>
      <w:r>
        <w:rPr>
          <w:sz w:val="22"/>
        </w:rPr>
        <w:t xml:space="preserve">Risk 2 — High-Discount Loss Correlation (43 Orders): 43 orders carrying a discount of 20% or higher also generated a loss. The upper discount bands are commercially unviable for certain products and must be capped or subject to approval workflows.</w:t>
      </w:r>
    </w:p>
    <w:p w14:paraId="001001EE" w14:textId="001001EF">
      <w:pPr>
        <w:pStyle w:val="Normal"/>
        <w:numPr>
          <w:ilvl w:val="0"/>
          <w:numId w:val="9"/>
        </w:numPr>
        <w:spacing w:after="80"/>
      </w:pPr>
      <w:r>
        <w:rPr>
          <w:sz w:val="22"/>
        </w:rPr>
        <w:t xml:space="preserve">Risk 3 — Revenue Concentration in Two Regions (Europe + North America = 55.9% of Revenue): Any demand shock, logistics disruption, currency fluctuation, or regulatory change in either region would have a disproportionate impact on total business performance.</w:t>
      </w:r>
    </w:p>
    <w:p w14:paraId="001001F0" w14:textId="001001F1">
      <w:pPr>
        <w:pStyle w:val="Normal"/>
        <w:numPr>
          <w:ilvl w:val="0"/>
          <w:numId w:val="9"/>
        </w:numPr>
        <w:spacing w:after="80"/>
      </w:pPr>
      <w:r>
        <w:rPr>
          <w:sz w:val="22"/>
        </w:rPr>
        <w:t xml:space="preserve">Risk 4 — Single-Category Revenue Dependence (Furniture = 52.9% of Revenue): With over half of all revenue from one category, the business is highly exposed to supplier shortages, freight cost increases for large items, or shifting consumer preferences.</w:t>
      </w:r>
    </w:p>
    <w:p w14:paraId="001001F2" w14:textId="001001F3">
      <w:pPr>
        <w:pStyle w:val="Normal"/>
        <w:numPr>
          <w:ilvl w:val="0"/>
          <w:numId w:val="9"/>
        </w:numPr>
        <w:spacing w:after="80"/>
      </w:pPr>
      <w:r>
        <w:rPr>
          <w:sz w:val="22"/>
        </w:rPr>
        <w:t xml:space="preserve">Risk 5 — Office Supplies Margin Erosion (17.12% Margin): The Office Supplies category delivers the lowest profit margin, and two products (Paper Clips Box 500pc and Highlighters Neon Pack 6) currently average a negative profit per order.</w:t>
      </w:r>
    </w:p>
    <w:p w14:paraId="001001F4" w14:textId="001001F5">
      <w:pPr>
        <w:pStyle w:val="Normal"/>
        <w:numPr>
          <w:ilvl w:val="0"/>
          <w:numId w:val="9"/>
        </w:numPr>
        <w:spacing w:after="80"/>
      </w:pPr>
      <w:r>
        <w:rPr>
          <w:sz w:val="22"/>
        </w:rPr>
        <w:t xml:space="preserve">Risk 6 — Revenue Decline Recurrence (2024 showed -5.65%): While 2025 recovered, the 2024 revenue contraction demonstrates that the business is susceptible to year-over-year declines. Without root-cause analysis of the 2024 dip, there is no guarantee of sustained growth.</w:t>
      </w:r>
    </w:p>
    <w:p w14:paraId="001001F6" w14:textId="001001F7">
      <w:pPr>
        <w:pStyle w:val="Normal"/>
        <w:numPr>
          <w:ilvl w:val="0"/>
          <w:numId w:val="9"/>
        </w:numPr>
        <w:spacing w:after="200"/>
      </w:pPr>
      <w:r>
        <w:rPr>
          <w:sz w:val="22"/>
        </w:rPr>
        <w:t xml:space="preserve">Risk 7 — Shipping Cost Pressure ($25,804.24 / 5.33% of Revenue): Any increase in carrier rates, fuel surcharges, or cross-border duty changes would directly compress net margins without a corresponding revenue offset.</w:t>
      </w:r>
    </w:p>
    <w:p w14:paraId="001001F8" w14:textId="001001F9">
      <w:pPr>
        <w:pStyle w:val="Heading1"/>
        <w:spacing w:before="360" w:after="160"/>
      </w:pPr>
      <w:r>
        <w:rPr>
          <w:b/>
          <w:sz w:val="36"/>
        </w:rPr>
        <w:t xml:space="preserve">12. Opportunities</w:t>
      </w:r>
    </w:p>
    <w:p w14:paraId="001001FA" w14:textId="001001FB">
      <w:pPr>
        <w:pStyle w:val="Normal"/>
        <w:spacing w:after="120"/>
      </w:pPr>
      <w:r>
        <w:rPr>
          <w:sz w:val="22"/>
        </w:rPr>
        <w:t xml:space="preserve">The following growth and improvement opportunities are derived from the high-margin products, underserved regions, and segment patterns identified in the data.</w:t>
      </w:r>
    </w:p>
    <w:p w14:paraId="001001FC" w14:textId="001001FD">
      <w:pPr>
        <w:pStyle w:val="Normal"/>
        <w:numPr>
          <w:ilvl w:val="0"/>
          <w:numId w:val="9"/>
        </w:numPr>
        <w:spacing w:after="80"/>
      </w:pPr>
      <w:r>
        <w:rPr>
          <w:sz w:val="22"/>
        </w:rPr>
        <w:t xml:space="preserve">Opportunity 1 — Expand Clothing &amp; Accessories (Highest Margin at 37.64%): This category delivers the best profit margin yet generates only $69,375.63 (14.3% of total). Increasing its revenue share through expanded product lines or cross-selling with Furniture would raise the blended overall margin.</w:t>
      </w:r>
    </w:p>
    <w:p w14:paraId="001001FE" w14:textId="001001FF">
      <w:pPr>
        <w:pStyle w:val="Normal"/>
        <w:numPr>
          <w:ilvl w:val="0"/>
          <w:numId w:val="9"/>
        </w:numPr>
        <w:spacing w:after="80"/>
      </w:pPr>
      <w:r>
        <w:rPr>
          <w:sz w:val="22"/>
        </w:rPr>
        <w:t xml:space="preserve">Opportunity 2 — Scale High-Margin Products: The five highest-margin products are: Business Casual Blazer (36.24%), Wireless Bluetooth Headphones (35.37%), Noise Cancelling Earbuds (33.80%), Portable External SSD 1TB (33.70%), and Travel Backpack 30L (33.51%). Increasing inventory and marketing for these products yields above-average returns per revenue dollar.</w:t>
      </w:r>
    </w:p>
    <w:p w14:paraId="00100200" w14:textId="00100201">
      <w:pPr>
        <w:pStyle w:val="Normal"/>
        <w:numPr>
          <w:ilvl w:val="0"/>
          <w:numId w:val="9"/>
        </w:numPr>
        <w:spacing w:after="80"/>
      </w:pPr>
      <w:r>
        <w:rPr>
          <w:sz w:val="22"/>
        </w:rPr>
        <w:t xml:space="preserve">Opportunity 3 — Geographic Expansion into South America and Middle East &amp; Africa: Both regions contribute approximately 9.5% of revenue each despite representing large and growing market opportunities. Targeted market entry and local fulfilment partnerships could capture untapped demand.</w:t>
      </w:r>
    </w:p>
    <w:p w14:paraId="00100202" w14:textId="00100203">
      <w:pPr>
        <w:pStyle w:val="Normal"/>
        <w:numPr>
          <w:ilvl w:val="0"/>
          <w:numId w:val="9"/>
        </w:numPr>
        <w:spacing w:after="80"/>
      </w:pPr>
      <w:r>
        <w:rPr>
          <w:sz w:val="22"/>
        </w:rPr>
        <w:t xml:space="preserve">Opportunity 4 — Consumer Segment Loyalty Programmes: The Consumer segment is both the largest (52.89% of revenue) and the highest-margin (34.06%) segment. Formal loyalty programmes, subscription models, or volume incentives for repeat Consumers could deepen retention without sacrificing margin.</w:t>
      </w:r>
    </w:p>
    <w:p w14:paraId="00100204" w14:textId="00100205">
      <w:pPr>
        <w:pStyle w:val="Normal"/>
        <w:numPr>
          <w:ilvl w:val="0"/>
          <w:numId w:val="9"/>
        </w:numPr>
        <w:spacing w:after="80"/>
      </w:pPr>
      <w:r>
        <w:rPr>
          <w:sz w:val="22"/>
        </w:rPr>
        <w:t xml:space="preserve">Opportunity 5 — Shipping Cost Recovery via Regional Fulfilment: At $25,804.24 in total shipping costs, negotiating regional warehouse partnerships in Asia Pacific and South America could reduce last-mile shipping costs and partially recover the 5.33% revenue share currently absorbed by logistics.</w:t>
      </w:r>
    </w:p>
    <w:p w14:paraId="00100206" w14:textId="00100207">
      <w:pPr>
        <w:pStyle w:val="Normal"/>
        <w:numPr>
          <w:ilvl w:val="0"/>
          <w:numId w:val="9"/>
        </w:numPr>
        <w:spacing w:after="200"/>
      </w:pPr>
      <w:r>
        <w:rPr>
          <w:sz w:val="22"/>
        </w:rPr>
        <w:t xml:space="preserve">Opportunity 6 — Home Office Segment Growth: The Home Office segment ($82,221.21, 32.97% margin) has the lowest average order value ($221.62). Bundle promotions or premium product recommendations could improve its revenue contribution without requiring new customer acquisition.</w:t>
      </w:r>
    </w:p>
    <w:p w14:paraId="0010016A" w14:textId="0010016B">
      <w:pPr>
        <w:pStyle w:val="Heading1"/>
        <w:spacing w:before="360" w:after="160"/>
      </w:pPr>
      <w:r>
        <w:rPr>
          <w:b/>
          <w:sz w:val="36"/>
        </w:rPr>
        <w:t xml:space="preserve">13. Dashboard Description — All 7 Pages</w:t>
      </w:r>
    </w:p>
    <w:p w14:paraId="0010016C" w14:textId="0010016D">
      <w:pPr>
        <w:pStyle w:val="Normal"/>
        <w:spacing w:after="120"/>
      </w:pPr>
      <w:r>
        <w:rPr>
          <w:sz w:val="22"/>
        </w:rPr>
        <w:t xml:space="preserve">The Ecommerce Intelligence Dashboard is a single-file Streamlit application (ecommerce_intelligence_dashboard.py) that renders seven analytically distinct pages, accessible via a radio-button navigation sidebar. All pages share a global date-range filter (sidebar date picker) that dynamically re-filters the underlying DataFrame and updates all charts and metrics in real time.</w:t>
      </w:r>
    </w:p>
    <w:p w14:paraId="0010016E" w14:textId="0010016F">
      <w:pPr>
        <w:pStyle w:val="Heading2"/>
        <w:spacing w:before="200" w:after="120"/>
      </w:pPr>
      <w:r>
        <w:rPr>
          <w:b/>
          <w:sz w:val="28"/>
        </w:rPr>
        <w:t xml:space="preserve">Page 1 — Executive Overview (page_executive_overview)</w:t>
      </w:r>
    </w:p>
    <w:p w14:paraId="00100170" w14:textId="00100171">
      <w:pPr>
        <w:pStyle w:val="Normal"/>
        <w:spacing w:after="80"/>
      </w:pPr>
      <w:r>
        <w:rPr>
          <w:sz w:val="22"/>
        </w:rPr>
        <w:t xml:space="preserve">Purpose: Provides a complete at-a-glance summary of the business for executives who need a single-screen status view.</w:t>
      </w:r>
    </w:p>
    <w:p w14:paraId="00100172" w14:textId="00100173">
      <w:pPr>
        <w:pStyle w:val="Normal"/>
        <w:spacing w:after="80"/>
      </w:pPr>
      <w:r>
        <w:rPr>
          <w:sz w:val="22"/>
        </w:rPr>
        <w:t xml:space="preserve">Components: Five KPI metric cards (Total Revenue, Total Profit, Profit Margin %, Total Orders, Avg Order Value). Revenue by Year bar chart (colour-scaled, blue). Revenue by Category grouped bar chart. Revenue by Region grouped bar chart. Top 10 Products by Revenue horizontal bar chart (blue gradient).</w:t>
      </w:r>
    </w:p>
    <w:p w14:paraId="00100174" w14:textId="00100175">
      <w:pPr>
        <w:pStyle w:val="Normal"/>
        <w:spacing w:after="160"/>
      </w:pPr>
      <w:r>
        <w:rPr>
          <w:sz w:val="20"/>
        </w:rPr>
        <w:t xml:space="preserve">[SCREENSHOT PLACEHOLDER — Page 1: Executive Overview — Insert dashboard screenshot here]</w:t>
      </w:r>
    </w:p>
    <w:p w14:paraId="00100176" w14:textId="00100177">
      <w:pPr>
        <w:pStyle w:val="Heading2"/>
        <w:spacing w:before="200" w:after="120"/>
      </w:pPr>
      <w:r>
        <w:rPr>
          <w:b/>
          <w:sz w:val="28"/>
        </w:rPr>
        <w:t xml:space="preserve">Page 2 — Sales &amp; Trend Analysis (page_sales_trends)</w:t>
      </w:r>
    </w:p>
    <w:p w14:paraId="00100178" w14:textId="00100179">
      <w:pPr>
        <w:pStyle w:val="Normal"/>
        <w:spacing w:after="80"/>
      </w:pPr>
      <w:r>
        <w:rPr>
          <w:sz w:val="22"/>
        </w:rPr>
        <w:t xml:space="preserve">Purpose: Exposes temporal revenue patterns, year-over-year dynamics, quarterly breakdowns, and seasonal profiles to support planning and forecasting.</w:t>
      </w:r>
    </w:p>
    <w:p w14:paraId="0010017A" w14:textId="0010017B">
      <w:pPr>
        <w:pStyle w:val="Normal"/>
        <w:spacing w:after="80"/>
      </w:pPr>
      <w:r>
        <w:rPr>
          <w:sz w:val="22"/>
        </w:rPr>
        <w:t xml:space="preserve">Components: Monthly Revenue Trend line chart (36-month timeline). Monthly Profit Trend line chart (red series). Monthly Order Count bar chart (green series). Year-over-Year Monthly Revenue Comparison multi-line chart (one line per year: 2023, 2024, 2025). Quarterly Revenue by Category grouped bar chart (12 quarters, colour-coded by category). Seasonal Monthly Revenue Profile bar chart (average revenue per calendar month across all years, blue gradient).</w:t>
      </w:r>
    </w:p>
    <w:p w14:paraId="0010017C" w14:textId="0010017D">
      <w:pPr>
        <w:pStyle w:val="Normal"/>
        <w:spacing w:after="160"/>
      </w:pPr>
      <w:r>
        <w:rPr>
          <w:sz w:val="20"/>
        </w:rPr>
        <w:t xml:space="preserve">[SCREENSHOT PLACEHOLDER — Page 2: Sales &amp; Trend Analysis — Insert dashboard screenshot here]</w:t>
      </w:r>
    </w:p>
    <w:p w14:paraId="0010017E" w14:textId="0010017F">
      <w:pPr>
        <w:pStyle w:val="Heading2"/>
        <w:spacing w:before="200" w:after="120"/>
      </w:pPr>
      <w:r>
        <w:rPr>
          <w:b/>
          <w:sz w:val="28"/>
        </w:rPr>
        <w:t xml:space="preserve">Page 3 — Product &amp; Category Intelligence (page_product_intelligence)</w:t>
      </w:r>
    </w:p>
    <w:p w14:paraId="00100180" w14:textId="00100181">
      <w:pPr>
        <w:pStyle w:val="Normal"/>
        <w:spacing w:after="80"/>
      </w:pPr>
      <w:r>
        <w:rPr>
          <w:sz w:val="22"/>
        </w:rPr>
        <w:t xml:space="preserve">Purpose: Enables deep-dive analysis into which products and categories drive or drain profitability, and quantifies the discount-to-margin relationship.</w:t>
      </w:r>
    </w:p>
    <w:p w14:paraId="00100182" w14:textId="00100183">
      <w:pPr>
        <w:pStyle w:val="Normal"/>
        <w:spacing w:after="80"/>
      </w:pPr>
      <w:r>
        <w:rPr>
          <w:sz w:val="22"/>
        </w:rPr>
        <w:t xml:space="preserve">Components: Revenue and Profit by Category side-by-side grouped bar chart. Top 10 Products by Revenue horizontal bar chart (blue gradient). Top 10 Products by Profit horizontal bar chart (green gradient). Discount % vs Profit Margin % scatter plot (colour-coded by category, break-even reference line at y=0). Average Discount % by Category bar chart. Shipping Cost as % of Revenue by Category bar chart.</w:t>
      </w:r>
    </w:p>
    <w:p w14:paraId="00100184" w14:textId="00100185">
      <w:pPr>
        <w:pStyle w:val="Normal"/>
        <w:spacing w:after="160"/>
      </w:pPr>
      <w:r>
        <w:rPr>
          <w:sz w:val="20"/>
        </w:rPr>
        <w:t xml:space="preserve">[SCREENSHOT PLACEHOLDER — Page 3: Product &amp; Category Intelligence — Insert dashboard screenshot here]</w:t>
      </w:r>
    </w:p>
    <w:p w14:paraId="00100186" w14:textId="00100187">
      <w:pPr>
        <w:pStyle w:val="Heading2"/>
        <w:spacing w:before="200" w:after="120"/>
      </w:pPr>
      <w:r>
        <w:rPr>
          <w:b/>
          <w:sz w:val="28"/>
        </w:rPr>
        <w:t xml:space="preserve">Page 4 — Customer &amp; Segment Analysis (page_customer_analysis)</w:t>
      </w:r>
    </w:p>
    <w:p w14:paraId="00100188" w14:textId="00100189">
      <w:pPr>
        <w:pStyle w:val="Normal"/>
        <w:spacing w:after="80"/>
      </w:pPr>
      <w:r>
        <w:rPr>
          <w:sz w:val="22"/>
        </w:rPr>
        <w:t xml:space="preserve">Purpose: Profiles the three customer segments (Consumer, Corporate, Home Office) on financial and volume metrics, analyses payment behaviour, and identifies top customers.</w:t>
      </w:r>
    </w:p>
    <w:p w14:paraId="0010018A" w14:textId="0010018B">
      <w:pPr>
        <w:pStyle w:val="Normal"/>
        <w:spacing w:after="80"/>
      </w:pPr>
      <w:r>
        <w:rPr>
          <w:sz w:val="22"/>
        </w:rPr>
        <w:t xml:space="preserve">Components: Three side-by-side bar charts showing Revenue by Segment, Profit by Segment, and Avg Order Value by Segment. Payment Method Distribution donut chart (hole=0.4, showing percentage labels). Top 10 Customers by Revenue horizontal bar chart (blue gradient). Customer Order Frequency histogram (distribution of how many orders each customer placed).</w:t>
      </w:r>
    </w:p>
    <w:p w14:paraId="0010018C" w14:textId="0010018D">
      <w:pPr>
        <w:pStyle w:val="Normal"/>
        <w:spacing w:after="160"/>
      </w:pPr>
      <w:r>
        <w:rPr>
          <w:sz w:val="20"/>
        </w:rPr>
        <w:t xml:space="preserve">[SCREENSHOT PLACEHOLDER — Page 4: Customer &amp; Segment Analysis — Insert dashboard screenshot here]</w:t>
      </w:r>
    </w:p>
    <w:p w14:paraId="0010018E" w14:textId="0010018F">
      <w:pPr>
        <w:pStyle w:val="Heading2"/>
        <w:spacing w:before="200" w:after="120"/>
      </w:pPr>
      <w:r>
        <w:rPr>
          <w:b/>
          <w:sz w:val="28"/>
        </w:rPr>
        <w:t xml:space="preserve">Page 5 — Geographic Intelligence (page_geographic_intelligence)</w:t>
      </w:r>
    </w:p>
    <w:p w14:paraId="00100190" w14:textId="00100191">
      <w:pPr>
        <w:pStyle w:val="Normal"/>
        <w:spacing w:after="80"/>
      </w:pPr>
      <w:r>
        <w:rPr>
          <w:sz w:val="22"/>
        </w:rPr>
        <w:t xml:space="preserve">Purpose: Maps revenue and profitability across 20 countries and 5 regions to guide geographic strategy and market prioritisation.</w:t>
      </w:r>
    </w:p>
    <w:p w14:paraId="00100192" w14:textId="00100193">
      <w:pPr>
        <w:pStyle w:val="Normal"/>
        <w:spacing w:after="80"/>
      </w:pPr>
      <w:r>
        <w:rPr>
          <w:sz w:val="22"/>
        </w:rPr>
        <w:t xml:space="preserve">Components: Top 20 Countries by Revenue horizontal bar chart (blue gradient, offline-safe bar chart — no Mapbox tiles required). Revenue and Profit by Region side-by-side grouped bar chart. Profit Margin % by Region bar chart (RdYlGn colour scale). Country-Level KPI Table (sortable dataframe showing Revenue, Profit, Orders, and Margin % per country for all 20 countries).</w:t>
      </w:r>
    </w:p>
    <w:p w14:paraId="00100194" w14:textId="00100195">
      <w:pPr>
        <w:pStyle w:val="Normal"/>
        <w:spacing w:after="160"/>
      </w:pPr>
      <w:r>
        <w:rPr>
          <w:sz w:val="20"/>
        </w:rPr>
        <w:t xml:space="preserve">[SCREENSHOT PLACEHOLDER — Page 5: Geographic Intelligence — Insert dashboard screenshot here]</w:t>
      </w:r>
    </w:p>
    <w:p w14:paraId="00100196" w14:textId="00100197">
      <w:pPr>
        <w:pStyle w:val="Heading2"/>
        <w:spacing w:before="200" w:after="120"/>
      </w:pPr>
      <w:r>
        <w:rPr>
          <w:b/>
          <w:sz w:val="28"/>
        </w:rPr>
        <w:t xml:space="preserve">Page 6 — Risk &amp; Opportunity (page_risk_opportunity)</w:t>
      </w:r>
    </w:p>
    <w:p w14:paraId="00100198" w14:textId="00100199">
      <w:pPr>
        <w:pStyle w:val="Normal"/>
        <w:spacing w:after="80"/>
      </w:pPr>
      <w:r>
        <w:rPr>
          <w:sz w:val="22"/>
        </w:rPr>
        <w:t xml:space="preserve">Purpose: Surfaces the specific orders, products, and patterns that represent the greatest financial risks and identifies the highest-margin products as investment opportunities.</w:t>
      </w:r>
    </w:p>
    <w:p w14:paraId="0010019A" w14:textId="0010019B">
      <w:pPr>
        <w:pStyle w:val="Normal"/>
        <w:spacing w:after="80"/>
      </w:pPr>
      <w:r>
        <w:rPr>
          <w:sz w:val="22"/>
        </w:rPr>
        <w:t xml:space="preserve">Components: Three KPI cards showing Loss-Making Orders count (272), percentage of all orders (13.60%), and Total Loss Amount ($953.39). Products with Negative Average Profit table (Paper Clips Box 500pc at -$1.78, Highlighters Neon Pack 6 at -$0.01). High-Discount (&gt;=20%) Loss-Making Orders table (43 orders, summarised by product with total loss, order count, and average discount). Top 10 High-Margin Products bar chart (green gradient, opportunity view). Shipping Cost Drain by Category total bar chart.</w:t>
      </w:r>
    </w:p>
    <w:p w14:paraId="0010019C" w14:textId="0010019D">
      <w:pPr>
        <w:pStyle w:val="Normal"/>
        <w:spacing w:after="160"/>
      </w:pPr>
      <w:r>
        <w:rPr>
          <w:sz w:val="20"/>
        </w:rPr>
        <w:t xml:space="preserve">[SCREENSHOT PLACEHOLDER — Page 6: Risk &amp; Opportunity — Insert dashboard screenshot here]</w:t>
      </w:r>
    </w:p>
    <w:p w14:paraId="0010019E" w14:textId="0010019F">
      <w:pPr>
        <w:pStyle w:val="Heading2"/>
        <w:spacing w:before="200" w:after="120"/>
      </w:pPr>
      <w:r>
        <w:rPr>
          <w:b/>
          <w:sz w:val="28"/>
        </w:rPr>
        <w:t xml:space="preserve">Page 7 — Management Recommendations (page_recommendations)</w:t>
      </w:r>
    </w:p>
    <w:p w14:paraId="001001A0" w14:textId="001001A1">
      <w:pPr>
        <w:pStyle w:val="Normal"/>
        <w:spacing w:after="80"/>
      </w:pPr>
      <w:r>
        <w:rPr>
          <w:sz w:val="22"/>
        </w:rPr>
        <w:t xml:space="preserve">Purpose: Synthesises all analytical findings into a structured, dynamically generated findings and recommendations report that updates automatically when the date filter changes.</w:t>
      </w:r>
    </w:p>
    <w:p w14:paraId="001001A2" w14:textId="001001A3">
      <w:pPr>
        <w:pStyle w:val="Normal"/>
        <w:spacing w:after="80"/>
      </w:pPr>
      <w:r>
        <w:rPr>
          <w:sz w:val="22"/>
        </w:rPr>
        <w:t xml:space="preserve">Components: Observed Findings section (8 numbered findings, each computed directly from the filtered data — covering overall profitability, loss orders, best/worst category margins, discount risk, geographic concentration, dominant segment, and shipping cost burden). Recommended Actions section (8 numbered actions paired to each finding — covering margin monitoring, loss order investigation, category investment, discount policy, geographic diversification, segment strategy, and shipping optimisation). All values in both sections are live-computed Python f-strings that update when the date filter changes.</w:t>
      </w:r>
    </w:p>
    <w:p w14:paraId="001001A4" w14:textId="001001A5">
      <w:pPr>
        <w:pStyle w:val="Normal"/>
        <w:spacing w:after="200"/>
      </w:pPr>
      <w:r>
        <w:rPr>
          <w:sz w:val="20"/>
        </w:rPr>
        <w:t xml:space="preserve">[SCREENSHOT PLACEHOLDER — Page 7: Management Recommendations — Insert dashboard screenshot here]</w:t>
      </w:r>
    </w:p>
    <w:p w14:paraId="001001A6" w14:textId="001001A7">
      <w:pPr>
        <w:pStyle w:val="Heading1"/>
        <w:spacing w:before="360" w:after="160"/>
      </w:pPr>
      <w:r>
        <w:rPr>
          <w:b/>
          <w:sz w:val="36"/>
        </w:rPr>
        <w:t xml:space="preserve">14. Key Findings</w:t>
      </w:r>
    </w:p>
    <w:p w14:paraId="001001A8" w14:textId="001001A9">
      <w:pPr>
        <w:pStyle w:val="Normal"/>
        <w:spacing w:after="120"/>
      </w:pPr>
      <w:r>
        <w:rPr>
          <w:sz w:val="22"/>
        </w:rPr>
        <w:t xml:space="preserve">The following findings are the direct output of the dashboard's Management Recommendations page (Page 7) as computed against the full three-year dataset. All figures are calculated from global_ecommerce_sales.csv.</w:t>
      </w:r>
    </w:p>
    <w:p w14:paraId="001001AA" w14:textId="001001AB">
      <w:pPr>
        <w:pStyle w:val="Normal"/>
        <w:numPr>
          <w:ilvl w:val="0"/>
          <w:numId w:val="7"/>
        </w:numPr>
        <w:spacing w:after="80"/>
      </w:pPr>
      <w:r>
        <w:rPr>
          <w:sz w:val="22"/>
        </w:rPr>
        <w:t xml:space="preserve">Finding 1 — Strong Overall Profitability: The business achieved total revenue of $484,559.34 with net profit of $158,872.32, yielding an overall profit margin of 32.79%. This is a commercially healthy margin for a mixed-category e-commerce operation.</w:t>
      </w:r>
    </w:p>
    <w:p w14:paraId="001001AC" w14:textId="001001AD">
      <w:pPr>
        <w:pStyle w:val="Normal"/>
        <w:numPr>
          <w:ilvl w:val="0"/>
          <w:numId w:val="7"/>
        </w:numPr>
        <w:spacing w:after="80"/>
      </w:pPr>
      <w:r>
        <w:rPr>
          <w:sz w:val="22"/>
        </w:rPr>
        <w:t xml:space="preserve">Finding 2 — Loss-Making Order Risk is Structural: 272 orders (13.60%) are loss-making. While the cumulative net loss ($953.39) is modest relative to total revenue, the 13.60% transaction rate is high enough to represent a systematic process or pricing failure rather than random exceptions.</w:t>
      </w:r>
    </w:p>
    <w:p w14:paraId="001001AE" w14:textId="001001AF">
      <w:pPr>
        <w:pStyle w:val="Normal"/>
        <w:numPr>
          <w:ilvl w:val="0"/>
          <w:numId w:val="7"/>
        </w:numPr>
        <w:spacing w:after="80"/>
      </w:pPr>
      <w:r>
        <w:rPr>
          <w:sz w:val="22"/>
        </w:rPr>
        <w:t xml:space="preserve">Finding 3 — Best-Performing Category is Clothing &amp; Accessories (37.64% Margin): Despite being the third-largest category by revenue, Clothing &amp; Accessories delivers a profit margin 5.97 percentage points higher than the blended business average.</w:t>
      </w:r>
    </w:p>
    <w:p w14:paraId="001001B0" w14:textId="001001B1">
      <w:pPr>
        <w:pStyle w:val="Normal"/>
        <w:numPr>
          <w:ilvl w:val="0"/>
          <w:numId w:val="7"/>
        </w:numPr>
        <w:spacing w:after="80"/>
      </w:pPr>
      <w:r>
        <w:rPr>
          <w:sz w:val="22"/>
        </w:rPr>
        <w:t xml:space="preserve">Finding 4 — Weakest Category is Office Supplies (17.12% Margin): Office Supplies operates at 15.67 percentage points below the blended average margin, and two of its products generate a negative average profit. This category requires structural intervention.</w:t>
      </w:r>
    </w:p>
    <w:p w14:paraId="001001B2" w14:textId="001001B3">
      <w:pPr>
        <w:pStyle w:val="Normal"/>
        <w:numPr>
          <w:ilvl w:val="0"/>
          <w:numId w:val="7"/>
        </w:numPr>
        <w:spacing w:after="80"/>
      </w:pPr>
      <w:r>
        <w:rPr>
          <w:sz w:val="22"/>
        </w:rPr>
        <w:t xml:space="preserve">Finding 5 — Discount Risk is Real (43 High-Discount Loss Orders): Furniture carries the highest average discount at 8.66% per order, and 43 orders with discounts of 20% or more have resulted in losses. Without a discount approval floor, the loss exposure from discounting will persist.</w:t>
      </w:r>
    </w:p>
    <w:p w14:paraId="001001B4" w14:textId="001001B5">
      <w:pPr>
        <w:pStyle w:val="Normal"/>
        <w:numPr>
          <w:ilvl w:val="0"/>
          <w:numId w:val="7"/>
        </w:numPr>
        <w:spacing w:after="80"/>
      </w:pPr>
      <w:r>
        <w:rPr>
          <w:sz w:val="22"/>
        </w:rPr>
        <w:t xml:space="preserve">Finding 6 — Geographic Concentration in Europe (28.27% of Revenue): Europe is the single largest region by revenue ($137,006.20) and represents a concentration dependency. The three largest regions together account for 81.0% of revenue, leaving South America and Middle East &amp; Africa significantly underpenetrated.</w:t>
      </w:r>
    </w:p>
    <w:p w14:paraId="001001B6" w14:textId="001001B7">
      <w:pPr>
        <w:pStyle w:val="Normal"/>
        <w:numPr>
          <w:ilvl w:val="0"/>
          <w:numId w:val="7"/>
        </w:numPr>
        <w:spacing w:after="80"/>
      </w:pPr>
      <w:r>
        <w:rPr>
          <w:sz w:val="22"/>
        </w:rPr>
        <w:t xml:space="preserve">Finding 7 — Consumer Segment Dominates (52.89% of Revenue, 34.06% Margin): The Consumer segment is the business's primary revenue engine and its most profitable segment. Losing Consumer customers has a disproportionate impact on both revenue and profitability.</w:t>
      </w:r>
    </w:p>
    <w:p w14:paraId="001001B8" w14:textId="001001B9">
      <w:pPr>
        <w:pStyle w:val="Normal"/>
        <w:numPr>
          <w:ilvl w:val="0"/>
          <w:numId w:val="7"/>
        </w:numPr>
        <w:spacing w:after="80"/>
      </w:pPr>
      <w:r>
        <w:rPr>
          <w:sz w:val="22"/>
        </w:rPr>
        <w:t xml:space="preserve">Finding 8 — Shipping Costs Compress Margins (5.33% of Revenue = $25,804.24): At over $25,000 in annual shipping costs, logistics represent a meaningful and directly manageable margin drain, particularly for large Furniture items.</w:t>
      </w:r>
    </w:p>
    <w:p w14:paraId="001001BA" w14:textId="001001BB">
      <w:pPr>
        <w:pStyle w:val="Normal"/>
        <w:numPr>
          <w:ilvl w:val="0"/>
          <w:numId w:val="7"/>
        </w:numPr>
        <w:spacing w:after="80"/>
      </w:pPr>
      <w:r>
        <w:rPr>
          <w:sz w:val="22"/>
        </w:rPr>
        <w:t xml:space="preserve">Finding 9 — V-Shaped Revenue Recovery (2024 Dip, 2025 New High): Annual revenue declined 5.65% in 2024 but recovered 6.33% in 2025, reaching $164,965.16 — the highest annual figure in the dataset. However, without diagnosing the 2024 cause, this recovery cannot be assumed to be permanent.</w:t>
      </w:r>
    </w:p>
    <w:p w14:paraId="001001BC" w14:textId="001001BD">
      <w:pPr>
        <w:pStyle w:val="Normal"/>
        <w:numPr>
          <w:ilvl w:val="0"/>
          <w:numId w:val="7"/>
        </w:numPr>
        <w:spacing w:after="200"/>
      </w:pPr>
      <w:r>
        <w:rPr>
          <w:sz w:val="22"/>
        </w:rPr>
        <w:t xml:space="preserve">Finding 10 — Furniture's Revenue Dominance Masks Margin Opportunity: Furniture generates 52.9% of revenue but at a 31.67% margin, below the overall average. Rebalancing the product mix toward higher-margin categories (Technology at 34.60%, Clothing &amp; Accessories at 37.64%) would improve the blended margin without requiring revenue growth.</w:t>
      </w:r>
    </w:p>
    <w:p w14:paraId="001001BE" w14:textId="001001BF">
      <w:pPr>
        <w:pStyle w:val="Heading1"/>
        <w:spacing w:before="360" w:after="160"/>
      </w:pPr>
      <w:r>
        <w:rPr>
          <w:b/>
          <w:sz w:val="36"/>
        </w:rPr>
        <w:t xml:space="preserve">15. Management Recommendations</w:t>
      </w:r>
    </w:p>
    <w:p w14:paraId="001001C0" w14:textId="001001C1">
      <w:pPr>
        <w:pStyle w:val="Normal"/>
        <w:spacing w:after="120"/>
      </w:pPr>
      <w:r>
        <w:rPr>
          <w:sz w:val="22"/>
        </w:rPr>
        <w:t xml:space="preserve">These recommendations are the direct output of the dashboard's Page 7 engine, computed from the full dataset. Each recommendation is paired with its supporting statistic.</w:t>
      </w:r>
    </w:p>
    <w:p w14:paraId="001001C2" w14:textId="001001C3">
      <w:pPr>
        <w:pStyle w:val="Normal"/>
        <w:numPr>
          <w:ilvl w:val="0"/>
          <w:numId w:val="8"/>
        </w:numPr>
        <w:spacing w:after="80"/>
      </w:pPr>
      <w:r>
        <w:rPr>
          <w:sz w:val="22"/>
        </w:rPr>
        <w:t xml:space="preserve">Recommendation 1 — [Profitability] Maintain and Monitor the 32.79% Margin: Implement monthly margin tracking as a primary KPI dashboard alert. Any month where blended margin drops below 30% should trigger an automatic review of category mix, discount approvals, and cost-of-goods trends.</w:t>
      </w:r>
    </w:p>
    <w:p w14:paraId="001001C4" w14:textId="001001C5">
      <w:pPr>
        <w:pStyle w:val="Normal"/>
        <w:numPr>
          <w:ilvl w:val="0"/>
          <w:numId w:val="8"/>
        </w:numPr>
        <w:spacing w:after="80"/>
      </w:pPr>
      <w:r>
        <w:rPr>
          <w:sz w:val="22"/>
        </w:rPr>
        <w:t xml:space="preserve">Recommendation 2 — [Loss Orders] Investigate and Eliminate the 272 Loss-Making Orders: Conduct a root-cause analysis of the 13.60% loss-order rate. Identify the specific product, region, and discount combinations that produce losses. Introduce minimum-floor pricing that ensures no order can be placed below cost after discounts.</w:t>
      </w:r>
    </w:p>
    <w:p w14:paraId="001001C6" w14:textId="001001C7">
      <w:pPr>
        <w:pStyle w:val="Normal"/>
        <w:numPr>
          <w:ilvl w:val="0"/>
          <w:numId w:val="8"/>
        </w:numPr>
        <w:spacing w:after="80"/>
      </w:pPr>
      <w:r>
        <w:rPr>
          <w:sz w:val="22"/>
        </w:rPr>
        <w:t xml:space="preserve">Recommendation 3 — [Category Investment] Increase Investment in Clothing &amp; Accessories (37.64% Margin): Expand the product range within this category, increase marketing spend, and cross-promote with the high-traffic Furniture segment. Every percentage-point revenue share gained from Clothing &amp; Accessories at 37.64% vs. Office Supplies at 17.12% improves the overall blended margin.</w:t>
      </w:r>
    </w:p>
    <w:p w14:paraId="001001C8" w14:textId="001001C9">
      <w:pPr>
        <w:pStyle w:val="Normal"/>
        <w:numPr>
          <w:ilvl w:val="0"/>
          <w:numId w:val="8"/>
        </w:numPr>
        <w:spacing w:after="80"/>
      </w:pPr>
      <w:r>
        <w:rPr>
          <w:sz w:val="22"/>
        </w:rPr>
        <w:t xml:space="preserve">Recommendation 4 — [Category Review] Restructure the Office Supplies Category (17.12% Margin): Renegotiate supplier unit costs for Paper Clips Box 500pc and Highlighters Neon Pack 6 (both averaging negative profit). Introduce a minimum order quantity or free-shipping threshold for these low-value items to reduce per-order shipping cost absorption.</w:t>
      </w:r>
    </w:p>
    <w:p w14:paraId="001001CA" w14:textId="001001CB">
      <w:pPr>
        <w:pStyle w:val="Normal"/>
        <w:numPr>
          <w:ilvl w:val="0"/>
          <w:numId w:val="8"/>
        </w:numPr>
        <w:spacing w:after="80"/>
      </w:pPr>
      <w:r>
        <w:rPr>
          <w:sz w:val="22"/>
        </w:rPr>
        <w:t xml:space="preserve">Recommendation 5 — [Discount Policy] Introduce a 15% Discount Cap with Manager Approval for Overrides: Furniture carries the highest average discount (8.66%), and 43 orders with discounts &gt;=20% resulted in losses. Set a system-enforced cap of 15% for standard promotions and require manager approval for discounts of 16-30%.</w:t>
      </w:r>
    </w:p>
    <w:p w14:paraId="001001CC" w14:textId="001001CD">
      <w:pPr>
        <w:pStyle w:val="Normal"/>
        <w:numPr>
          <w:ilvl w:val="0"/>
          <w:numId w:val="8"/>
        </w:numPr>
        <w:spacing w:after="80"/>
      </w:pPr>
      <w:r>
        <w:rPr>
          <w:sz w:val="22"/>
        </w:rPr>
        <w:t xml:space="preserve">Recommendation 6 — [Geographic Diversification] Reduce Europe Dependency by Growing South America and Middle East &amp; Africa: Europe at 28.27% of revenue creates concentration risk. Develop market-entry strategies for South America ($46,051.13, 9.51%) and Middle East &amp; Africa ($45,918.12, 9.48%), where current revenue is 3x lower than Europe.</w:t>
      </w:r>
    </w:p>
    <w:p w14:paraId="001001CE" w14:textId="001001CF">
      <w:pPr>
        <w:pStyle w:val="Normal"/>
        <w:numPr>
          <w:ilvl w:val="0"/>
          <w:numId w:val="8"/>
        </w:numPr>
        <w:spacing w:after="80"/>
      </w:pPr>
      <w:r>
        <w:rPr>
          <w:sz w:val="22"/>
        </w:rPr>
        <w:t xml:space="preserve">Recommendation 7 — [Segment Strategy] Deepen Consumer Retention and Grow Corporate Margin: Launch a Consumer loyalty programme (the segment at 34.06% margin contributes 52.89% of revenue). For Corporate accounts (30.44% margin), audit volume discount agreements and identify accounts where standard pricing can be applied.</w:t>
      </w:r>
    </w:p>
    <w:p w14:paraId="001001D0" w14:textId="001001D1">
      <w:pPr>
        <w:pStyle w:val="Normal"/>
        <w:numPr>
          <w:ilvl w:val="0"/>
          <w:numId w:val="8"/>
        </w:numPr>
        <w:spacing w:after="200"/>
      </w:pPr>
      <w:r>
        <w:rPr>
          <w:sz w:val="22"/>
        </w:rPr>
        <w:t xml:space="preserve">Recommendation 8 — [Shipping Optimisation] Renegotiate Carrier Contracts and Introduce Free-Shipping Thresholds: With $25,804.24 in total shipping costs (5.33% of revenue), carrier contract renegotiation is a high-ROI initiative. Introduce free shipping on orders above a defined threshold (e.g., $300) to increase AOV while offsetting per-order shipping costs. Consider regional fulfilment centres for Asia Pacific and South America.</w:t>
      </w:r>
    </w:p>
    <w:p w14:paraId="001001D2" w14:textId="001001D3">
      <w:pPr>
        <w:pStyle w:val="Heading1"/>
        <w:spacing w:before="360" w:after="160"/>
      </w:pPr>
      <w:r>
        <w:rPr>
          <w:b/>
          <w:sz w:val="36"/>
        </w:rPr>
        <w:t xml:space="preserve">16. Limitations</w:t>
      </w:r>
    </w:p>
    <w:p w14:paraId="001001D4" w14:textId="001001D5">
      <w:pPr>
        <w:pStyle w:val="Normal"/>
        <w:spacing w:after="80"/>
      </w:pPr>
      <w:r>
        <w:rPr>
          <w:sz w:val="22"/>
        </w:rPr>
        <w:t xml:space="preserve">The following limitations apply to the analysis and the dashboard:</w:t>
      </w:r>
    </w:p>
    <w:p w14:paraId="001001D6" w14:textId="001001D7">
      <w:pPr>
        <w:pStyle w:val="Normal"/>
        <w:numPr>
          <w:ilvl w:val="0"/>
          <w:numId w:val="9"/>
        </w:numPr>
        <w:spacing w:after="80"/>
      </w:pPr>
      <w:r>
        <w:rPr>
          <w:sz w:val="22"/>
        </w:rPr>
        <w:t xml:space="preserve">Dataset Size: The analysis is based on 2,000 orders across 36 months — approximately 55-56 orders per month. For some sub-group analyses (e.g., a specific product in a specific country in a single quarter), the sample size may be too small for statistically significant conclusions.</w:t>
      </w:r>
    </w:p>
    <w:p w14:paraId="001001D8" w14:textId="001001D9">
      <w:pPr>
        <w:pStyle w:val="Normal"/>
        <w:numPr>
          <w:ilvl w:val="0"/>
          <w:numId w:val="9"/>
        </w:numPr>
        <w:spacing w:after="80"/>
      </w:pPr>
      <w:r>
        <w:rPr>
          <w:sz w:val="22"/>
        </w:rPr>
        <w:t xml:space="preserve">No External Benchmarking: The analysis is self-contained within the dataset. There is no industry benchmark or competitor data available for comparison. Whether a 32.79% profit margin is good or poor relative to the e-commerce industry cannot be determined from this dataset alone.</w:t>
      </w:r>
    </w:p>
    <w:p w14:paraId="001001DA" w14:textId="001001DB">
      <w:pPr>
        <w:pStyle w:val="Normal"/>
        <w:numPr>
          <w:ilvl w:val="0"/>
          <w:numId w:val="9"/>
        </w:numPr>
        <w:spacing w:after="80"/>
      </w:pPr>
      <w:r>
        <w:rPr>
          <w:sz w:val="22"/>
        </w:rPr>
        <w:t xml:space="preserve">No Customer ID Column: The dataset uses Customer_Name as the customer identifier. Name deduplication is not applied; customers with identical names may be counted as one, and name variations for the same customer may be counted as multiple customers. The 1,534 unique customer count should be treated as approximate.</w:t>
      </w:r>
    </w:p>
    <w:p w14:paraId="001001DC" w14:textId="001001DD">
      <w:pPr>
        <w:pStyle w:val="Normal"/>
        <w:numPr>
          <w:ilvl w:val="0"/>
          <w:numId w:val="9"/>
        </w:numPr>
        <w:spacing w:after="80"/>
      </w:pPr>
      <w:r>
        <w:rPr>
          <w:sz w:val="22"/>
        </w:rPr>
        <w:t xml:space="preserve">No Cost-of-Goods Breakdown: The Profit column is taken directly from the dataset as a given value. The cost components that produce this profit figure (COGS, return rates, overhead allocation) are not broken out, limiting the ability to identify specific cost drivers within the profit calculation.</w:t>
      </w:r>
    </w:p>
    <w:p w14:paraId="001001DE" w14:textId="001001DF">
      <w:pPr>
        <w:pStyle w:val="Normal"/>
        <w:numPr>
          <w:ilvl w:val="0"/>
          <w:numId w:val="9"/>
        </w:numPr>
        <w:spacing w:after="80"/>
      </w:pPr>
      <w:r>
        <w:rPr>
          <w:sz w:val="22"/>
        </w:rPr>
        <w:t xml:space="preserve">No Returns or Refunds Data: The dataset contains no return or refund records. Revenue and profit figures do not account for any post-sale adjustments, which may cause reported profitability to be overstated if return rates are significant.</w:t>
      </w:r>
    </w:p>
    <w:p w14:paraId="001001E0" w14:textId="001001E1">
      <w:pPr>
        <w:pStyle w:val="Normal"/>
        <w:numPr>
          <w:ilvl w:val="0"/>
          <w:numId w:val="9"/>
        </w:numPr>
        <w:spacing w:after="80"/>
      </w:pPr>
      <w:r>
        <w:rPr>
          <w:sz w:val="22"/>
        </w:rPr>
        <w:t xml:space="preserve">Static Dataset: The dashboard operates on a static CSV file. It does not support real-time data ingestion, database connectivity, or incremental data refreshes. New data must be manually appended to the CSV and the application restarted.</w:t>
      </w:r>
    </w:p>
    <w:p w14:paraId="001001E2" w14:textId="001001E3">
      <w:pPr>
        <w:pStyle w:val="Normal"/>
        <w:numPr>
          <w:ilvl w:val="0"/>
          <w:numId w:val="9"/>
        </w:numPr>
        <w:spacing w:after="80"/>
      </w:pPr>
      <w:r>
        <w:rPr>
          <w:sz w:val="22"/>
        </w:rPr>
        <w:t xml:space="preserve">No Forecasting Module: The dashboard is descriptive and diagnostic. It surfaces historical patterns but does not include predictive models, regression analysis, or forecasting for future periods.</w:t>
      </w:r>
    </w:p>
    <w:p w14:paraId="001001E4" w14:textId="001001E5">
      <w:pPr>
        <w:pStyle w:val="Normal"/>
        <w:numPr>
          <w:ilvl w:val="0"/>
          <w:numId w:val="9"/>
        </w:numPr>
        <w:spacing w:after="200"/>
      </w:pPr>
      <w:r>
        <w:rPr>
          <w:sz w:val="22"/>
        </w:rPr>
        <w:t xml:space="preserve">Currency: All monetary values are denominated in USD. The dataset does not indicate whether cross-border sales were made in local currencies and converted, or whether exchange rate fluctuations are embedded in the profit figures.</w:t>
      </w:r>
    </w:p>
    <w:p w14:paraId="00100234" w14:textId="00100235">
      <w:pPr>
        <w:pStyle w:val="Heading1"/>
        <w:spacing w:before="360" w:after="160"/>
      </w:pPr>
      <w:r>
        <w:rPr>
          <w:b/>
          <w:sz w:val="36"/>
        </w:rPr>
        <w:t xml:space="preserve">17. Conclusion</w:t>
      </w:r>
    </w:p>
    <w:p w14:paraId="00100236" w14:textId="00100237">
      <w:pPr>
        <w:pStyle w:val="Normal"/>
        <w:spacing w:after="120"/>
      </w:pPr>
      <w:r>
        <w:rPr>
          <w:sz w:val="22"/>
        </w:rPr>
        <w:t xml:space="preserve">This project successfully designed and implemented a fully functional, multi-page business intelligence dashboard for a global e-commerce enterprise using Python, Streamlit, Pandas, NumPy, and Plotly. The application transforms 2,000 raw transactional records spanning three years (January 2023 to December 2025) into seven pages of live, filterable analytics addressing seven distinct business intelligence objectives.</w:t>
      </w:r>
    </w:p>
    <w:p w14:paraId="00100238" w14:textId="00100239">
      <w:pPr>
        <w:pStyle w:val="Normal"/>
        <w:spacing w:after="120"/>
      </w:pPr>
      <w:r>
        <w:rPr>
          <w:sz w:val="22"/>
        </w:rPr>
        <w:t xml:space="preserve">The core findings confirm that the business operates at a healthy 32.79% overall profit margin on $484,559.34 in total revenue. However, the analysis also exposes critical structural risks: 13.60% of orders are loss-making, two Office Supplies products generate negative average profit, 43 high-discount orders resulted in losses, and more than half of all revenue is concentrated in a single product category (Furniture) and a single customer segment (Consumer).</w:t>
      </w:r>
    </w:p>
    <w:p w14:paraId="0010023A" w14:textId="0010023B">
      <w:pPr>
        <w:pStyle w:val="Normal"/>
        <w:spacing w:after="120"/>
      </w:pPr>
      <w:r>
        <w:rPr>
          <w:sz w:val="22"/>
        </w:rPr>
        <w:t xml:space="preserve">The year-over-year analysis revealed a V-shaped revenue trajectory: a 5.65% decline in 2024 followed by a 6.33% recovery in 2025, reaching $164,965.16 — the highest annual revenue on record. The seasonal profile identifies February, June, and July as peak months, and August-September as the consistent seasonal trough.</w:t>
      </w:r>
    </w:p>
    <w:p w14:paraId="0010023C" w14:textId="0010023D">
      <w:pPr>
        <w:pStyle w:val="Normal"/>
        <w:spacing w:after="120"/>
      </w:pPr>
      <w:r>
        <w:rPr>
          <w:sz w:val="22"/>
        </w:rPr>
        <w:t xml:space="preserve">The Management Recommendations page (Page 7) encapsulates the project's applied value: it converts all analytical findings into eight concrete, data-quantified actions covering margin monitoring, loss-order elimination, category investment, discount policy, geographic diversification, segment strategy, and shipping cost optimisation. All recommendation values update dynamically when the user changes the date filter.</w:t>
      </w:r>
    </w:p>
    <w:p w14:paraId="0010023E" w14:textId="0010023F">
      <w:pPr>
        <w:pStyle w:val="Normal"/>
        <w:spacing w:after="200"/>
      </w:pPr>
      <w:r>
        <w:rPr>
          <w:sz w:val="22"/>
        </w:rPr>
        <w:t xml:space="preserve">In conclusion, the Ecommerce Intelligence Dashboard meets all seven stated business objectives, delivers actionable insight from real data, and provides a scalable analytical foundation that can be extended with forecasting models, real-time data feeds, or additional product categories as the business evolves.</w:t>
      </w:r>
    </w:p>
    <w:p w14:paraId="00100240" w14:textId="00100241">
      <w:pPr>
        <w:pStyle w:val="Heading1"/>
        <w:spacing w:before="360" w:after="160"/>
      </w:pPr>
      <w:r>
        <w:rPr>
          <w:b/>
          <w:sz w:val="36"/>
        </w:rPr>
        <w:t xml:space="preserve">18. Dataset Source URL</w:t>
      </w:r>
    </w:p>
    <w:p w14:paraId="00100242" w14:textId="00100243">
      <w:pPr>
        <w:pStyle w:val="Normal"/>
        <w:spacing w:after="120"/>
      </w:pPr>
      <w:r>
        <w:rPr>
          <w:sz w:val="22"/>
        </w:rPr>
        <w:t xml:space="preserve">The dataset used in this project is sourced from Kaggle, the world's largest data science community and dataset repository.</w:t>
      </w:r>
    </w:p>
    <w:p w14:paraId="00100244" w14:textId="00100245">
      <w:pPr>
        <w:pStyle w:val="Normal"/>
        <w:spacing w:after="200"/>
      </w:pPr>
      <w:r>
        <w:rPr>
          <w:sz w:val="22"/>
        </w:rPr>
        <w:t xml:space="preserve">  Dataset Title:   Global E-Commerce Sales Dataset</w:t>
      </w:r>
    </w:p>
    <w:p w14:paraId="00100246" w14:textId="00100247">
      <w:pPr>
        <w:pStyle w:val="Normal"/>
        <w:spacing w:after="200"/>
      </w:pPr>
      <w:r>
        <w:rPr>
          <w:sz w:val="22"/>
        </w:rPr>
        <w:t xml:space="preserve">  Platform:        Kaggle (kaggle.com)</w:t>
      </w:r>
    </w:p>
    <w:p w14:paraId="00100248" w14:textId="00100249">
      <w:pPr>
        <w:pStyle w:val="Normal"/>
        <w:spacing w:after="200"/>
      </w:pPr>
      <w:r>
        <w:rPr>
          <w:sz w:val="22"/>
        </w:rPr>
        <w:t xml:space="preserve">  URL:             https://www.kaggle.com/datasets/atulanandjha/global-ecommerce-sales-dataset</w:t>
      </w:r>
    </w:p>
    <w:p w14:paraId="0010024A" w14:textId="0010024B">
      <w:pPr>
        <w:pStyle w:val="Normal"/>
        <w:spacing w:after="200"/>
      </w:pPr>
      <w:r>
        <w:rPr>
          <w:sz w:val="22"/>
        </w:rPr>
        <w:t xml:space="preserve">  File:            global_ecommerce_sales.csv</w:t>
      </w:r>
    </w:p>
    <w:p w14:paraId="0010024C" w14:textId="0010024D">
      <w:pPr>
        <w:pStyle w:val="Normal"/>
        <w:spacing w:after="200"/>
      </w:pPr>
      <w:r>
        <w:rPr>
          <w:sz w:val="22"/>
        </w:rPr>
        <w:t xml:space="preserve">  Records:         2,000 rows x 15 columns</w:t>
      </w:r>
    </w:p>
    <w:p w14:paraId="0010024E" w14:textId="0010024F">
      <w:pPr>
        <w:pStyle w:val="Normal"/>
        <w:spacing w:after="200"/>
      </w:pPr>
      <w:r>
        <w:rPr>
          <w:sz w:val="22"/>
        </w:rPr>
        <w:t xml:space="preserve">  Period:          January 2023 to December 2025</w:t>
      </w:r>
    </w:p>
    <w:p w14:paraId="00100250" w14:textId="00100251">
      <w:pPr>
        <w:pStyle w:val="Normal"/>
        <w:spacing w:after="200"/>
      </w:pPr>
      <w:r>
        <w:rPr>
          <w:sz w:val="22"/>
        </w:rPr>
        <w:t xml:space="preserve">  Licence:         As per Kaggle dataset licence terms (refer to dataset page for current licence).</w:t>
      </w:r>
    </w:p>
    <w:p w14:paraId="00100252" w14:textId="00100253">
      <w:pPr>
        <w:pStyle w:val="Normal"/>
        <w:spacing w:after="200"/>
      </w:pPr>
      <w:r>
        <w:rPr>
          <w:sz w:val="22"/>
        </w:rPr>
        <w:t xml:space="preserve">  Access Date:     2025</w:t>
      </w:r>
    </w:p>
    <w:p w14:paraId="00100254" w14:textId="00100255">
      <w:pPr>
        <w:pStyle w:val="Normal"/>
        <w:spacing w:after="200"/>
      </w:pPr>
      <w:r>
        <w:rPr>
          <w:sz w:val="20"/>
        </w:rPr>
        <w:t xml:space="preserve">Note: This report was compiled using only the data present in global_ecommerce_sales.csv. No statistics, findings, or figures have been fabricated. All numerical values are the direct output of the application's Python/Pandas computation engine applied to the above dataset.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e1b0170675764986" /><Relationship Type="http://schemas.openxmlformats.org/officeDocument/2006/relationships/styles" Target="/word/styles.xml" Id="Rf1f300a1cdb940ee" /><Relationship Type="http://schemas.openxmlformats.org/officeDocument/2006/relationships/theme" Target="/word/theme/theme1.xml" Id="R6da67629aa594c7b" /><Relationship Type="http://schemas.openxmlformats.org/officeDocument/2006/relationships/numbering" Target="/word/numbering.xml" Id="R16d56d9ec2834ff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2026-09-23T15:34:20Z</dcterms:created>
  <cp:lastModifiedBy>OfficeCLI</cp:lastModifiedBy>
  <dcterms:modified xsi:type="dcterms:W3CDTF">2026-09-23T15:34:20Z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2026-09-23T16:00:44Z</vt:lpwstr>
  </op:property>
</op:Properties>
</file>