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4BF3" w14:textId="45BD6D6C" w:rsidR="00CB3818" w:rsidRPr="001F6B3C" w:rsidRDefault="001F6B3C">
      <w:pPr>
        <w:jc w:val="center"/>
        <w:rPr>
          <w:b/>
        </w:rPr>
      </w:pPr>
      <w:r w:rsidRPr="001F6B3C">
        <w:rPr>
          <w:b/>
        </w:rPr>
        <w:t>PRE-ANÁLISIS DESCRIPTIVO DE LOS DATOS CRUDOS</w:t>
      </w:r>
    </w:p>
    <w:p w14:paraId="04DA72C9" w14:textId="77777777" w:rsidR="00CB3818" w:rsidRPr="001F6B3C" w:rsidRDefault="00CB3818">
      <w:pPr>
        <w:jc w:val="center"/>
        <w:rPr>
          <w:b/>
        </w:rPr>
      </w:pPr>
    </w:p>
    <w:p w14:paraId="4B7243C3" w14:textId="77777777" w:rsidR="00CB3818" w:rsidRPr="001F6B3C" w:rsidRDefault="00000000">
      <w:pPr>
        <w:jc w:val="center"/>
        <w:rPr>
          <w:rFonts w:ascii="Arial" w:eastAsia="Arial" w:hAnsi="Arial" w:cs="Arial"/>
          <w:b/>
        </w:rPr>
      </w:pPr>
      <w:r w:rsidRPr="001F6B3C">
        <w:rPr>
          <w:b/>
        </w:rPr>
        <w:t xml:space="preserve">PROYECTO: </w:t>
      </w:r>
      <w:r w:rsidRPr="001F6B3C">
        <w:rPr>
          <w:rFonts w:ascii="Arial" w:eastAsia="Arial" w:hAnsi="Arial" w:cs="Arial"/>
          <w:b/>
        </w:rPr>
        <w:t>Optimización de la captura y visualización de datos del funcionamiento que usa el esquema del tren de evaporación en una empresa del sector azucarero.</w:t>
      </w:r>
    </w:p>
    <w:p w14:paraId="799E7943" w14:textId="77777777" w:rsidR="00CB3818" w:rsidRPr="001F6B3C" w:rsidRDefault="00CB3818">
      <w:pPr>
        <w:jc w:val="both"/>
        <w:rPr>
          <w:b/>
        </w:rPr>
      </w:pPr>
    </w:p>
    <w:p w14:paraId="4F9EEEFB" w14:textId="77777777" w:rsidR="00CB3818" w:rsidRPr="001F6B3C" w:rsidRDefault="00000000">
      <w:pPr>
        <w:jc w:val="both"/>
        <w:rPr>
          <w:b/>
        </w:rPr>
      </w:pPr>
      <w:r w:rsidRPr="001F6B3C">
        <w:rPr>
          <w:b/>
        </w:rPr>
        <w:t>Evaluación inicial de los datos</w:t>
      </w:r>
    </w:p>
    <w:p w14:paraId="1F4305E7" w14:textId="77777777" w:rsidR="00CB3818" w:rsidRPr="001F6B3C" w:rsidRDefault="00CB38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</w:p>
    <w:p w14:paraId="694625EA" w14:textId="77777777" w:rsidR="00CB3818" w:rsidRPr="001F6B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F6B3C">
        <w:rPr>
          <w:b/>
          <w:color w:val="000000"/>
        </w:rPr>
        <w:t xml:space="preserve">Cargue y visualización: </w:t>
      </w:r>
    </w:p>
    <w:p w14:paraId="43296849" w14:textId="4070EE99" w:rsidR="00CB3818" w:rsidRPr="001F6B3C" w:rsidRDefault="00000000">
      <w:pPr>
        <w:ind w:firstLine="720"/>
        <w:jc w:val="both"/>
      </w:pPr>
      <w:r w:rsidRPr="001F6B3C">
        <w:t>Se realiza con el uso de la biblioteca Pandas en Python y SQL</w:t>
      </w:r>
      <w:r w:rsidR="001F6B3C">
        <w:t>.</w:t>
      </w:r>
    </w:p>
    <w:p w14:paraId="2692900A" w14:textId="77777777" w:rsidR="00CB3818" w:rsidRPr="001F6B3C" w:rsidRDefault="00000000">
      <w:pPr>
        <w:ind w:left="720"/>
        <w:jc w:val="both"/>
      </w:pPr>
      <w:r w:rsidRPr="001F6B3C">
        <w:t xml:space="preserve">Tomando los archivos entregados desde las dos fuentes PCS7 y </w:t>
      </w:r>
      <w:proofErr w:type="spellStart"/>
      <w:r w:rsidRPr="001F6B3C">
        <w:t>Sigind</w:t>
      </w:r>
      <w:proofErr w:type="spellEnd"/>
      <w:r w:rsidRPr="001F6B3C">
        <w:t xml:space="preserve">, en el </w:t>
      </w:r>
      <w:proofErr w:type="spellStart"/>
      <w:r w:rsidRPr="001F6B3C">
        <w:t>batch</w:t>
      </w:r>
      <w:proofErr w:type="spellEnd"/>
      <w:r w:rsidRPr="001F6B3C">
        <w:t xml:space="preserve"> inicial los datos se conforman como se mostrará a continuación, con el fin de calcular y obtener el indicador 1 (Eficiencia vapor) e indicador 2 (Eficiencia evaporación):</w:t>
      </w:r>
    </w:p>
    <w:p w14:paraId="5FAC891A" w14:textId="77777777" w:rsidR="00CB3818" w:rsidRPr="001F6B3C" w:rsidRDefault="00CB3818" w:rsidP="001F6B3C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color w:val="000000"/>
        </w:rPr>
      </w:pPr>
    </w:p>
    <w:tbl>
      <w:tblPr>
        <w:tblStyle w:val="a"/>
        <w:tblW w:w="62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28"/>
        <w:gridCol w:w="1535"/>
        <w:gridCol w:w="556"/>
        <w:gridCol w:w="1221"/>
      </w:tblGrid>
      <w:tr w:rsidR="00CB3818" w:rsidRPr="001F6B3C" w14:paraId="24F8411D" w14:textId="77777777">
        <w:trPr>
          <w:trHeight w:val="288"/>
          <w:jc w:val="center"/>
        </w:trPr>
        <w:tc>
          <w:tcPr>
            <w:tcW w:w="6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4907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1F6B3C">
              <w:rPr>
                <w:rFonts w:ascii="Arial" w:eastAsia="Arial" w:hAnsi="Arial" w:cs="Arial"/>
                <w:b/>
                <w:color w:val="000000"/>
              </w:rPr>
              <w:t>Variables PCS7</w:t>
            </w:r>
          </w:p>
        </w:tc>
      </w:tr>
      <w:tr w:rsidR="00CB3818" w:rsidRPr="001F6B3C" w14:paraId="751373EB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E6BB7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b/>
                <w:color w:val="000000"/>
              </w:rPr>
              <w:t>Item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B1C9F3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1F6B3C">
              <w:rPr>
                <w:rFonts w:ascii="Arial" w:eastAsia="Arial" w:hAnsi="Arial" w:cs="Arial"/>
                <w:b/>
                <w:color w:val="000000"/>
              </w:rPr>
              <w:t>Tipo de dato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D3855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1F6B3C">
              <w:rPr>
                <w:rFonts w:ascii="Arial" w:eastAsia="Arial" w:hAnsi="Arial" w:cs="Arial"/>
                <w:b/>
                <w:color w:val="000000"/>
              </w:rPr>
              <w:t>Uso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86F28B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1F6B3C">
              <w:rPr>
                <w:rFonts w:ascii="Arial" w:eastAsia="Arial" w:hAnsi="Arial" w:cs="Arial"/>
                <w:b/>
                <w:color w:val="000000"/>
              </w:rPr>
              <w:t>Indicador</w:t>
            </w:r>
          </w:p>
        </w:tc>
      </w:tr>
      <w:tr w:rsidR="00CB3818" w:rsidRPr="001F6B3C" w14:paraId="12B02018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52EBC5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Flujo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cond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Klb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B9F89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422BC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05699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CB3818" w:rsidRPr="001F6B3C" w14:paraId="7CDE4EFE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BFD95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 xml:space="preserve">Flujo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cond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Klb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>/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hr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BEDD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FE0C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E97B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CB3818" w:rsidRPr="001F6B3C" w14:paraId="64700180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9637A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Flujo cana Ton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BA2D3D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668FC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64DB6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CB3818" w:rsidRPr="001F6B3C" w14:paraId="51F52E1B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F68928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 xml:space="preserve">Flujo cana Ton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88E77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7E10EB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BEF39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CB3818" w:rsidRPr="001F6B3C" w14:paraId="7CFE4366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F697D4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Jcla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C1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B6793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3137C9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5FB80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051D386F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6CA175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Jcla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C1 m3/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hr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7AD3A7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1698D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F15A2C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31E8F29E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0AA3C2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Jcla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C2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39347A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EEE7C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2FCD6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5508E211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B06253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Jcla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C2 m3/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hr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B8FC92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E2E86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BC170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5804E4DA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59418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Jcla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C3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F4878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BDEB6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8BD205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5BA6460A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CC73A2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Jcla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C3 m3/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hr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7CF209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5DF12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838C2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51B2BE61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9C620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Jcla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C4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280F6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6A0DD8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2055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50E771CB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3E73CB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Jcla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C4 m3/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hr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D037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9F7F2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9B5FD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369EBB93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54C24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r w:rsidRPr="00F54077">
              <w:rPr>
                <w:rFonts w:ascii="Arial" w:eastAsia="Arial" w:hAnsi="Arial" w:cs="Arial"/>
                <w:color w:val="000000"/>
                <w:lang w:val="en-US"/>
              </w:rPr>
              <w:t>Cond C1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6E14A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D900C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C1718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371B0525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ED7AA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r w:rsidRPr="00F54077">
              <w:rPr>
                <w:rFonts w:ascii="Arial" w:eastAsia="Arial" w:hAnsi="Arial" w:cs="Arial"/>
                <w:color w:val="000000"/>
                <w:lang w:val="en-US"/>
              </w:rPr>
              <w:t>Cond C1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43F6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0C6BC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4D7E3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16AC0CE4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12E0A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r w:rsidRPr="00F54077">
              <w:rPr>
                <w:rFonts w:ascii="Arial" w:eastAsia="Arial" w:hAnsi="Arial" w:cs="Arial"/>
                <w:color w:val="000000"/>
                <w:lang w:val="en-US"/>
              </w:rPr>
              <w:t>Cond C2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70080E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F1D36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4914B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79B6B989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7755F3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r w:rsidRPr="00F54077">
              <w:rPr>
                <w:rFonts w:ascii="Arial" w:eastAsia="Arial" w:hAnsi="Arial" w:cs="Arial"/>
                <w:color w:val="000000"/>
                <w:lang w:val="en-US"/>
              </w:rPr>
              <w:t>Cond C2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9444A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D8BC5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57E9F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4B35723A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F8A7B1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r w:rsidRPr="00F54077">
              <w:rPr>
                <w:rFonts w:ascii="Arial" w:eastAsia="Arial" w:hAnsi="Arial" w:cs="Arial"/>
                <w:color w:val="000000"/>
                <w:lang w:val="en-US"/>
              </w:rPr>
              <w:t>Cond C3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612EE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1285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6C4B8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2E4A3106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6BFB6D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r w:rsidRPr="00F54077">
              <w:rPr>
                <w:rFonts w:ascii="Arial" w:eastAsia="Arial" w:hAnsi="Arial" w:cs="Arial"/>
                <w:color w:val="000000"/>
                <w:lang w:val="en-US"/>
              </w:rPr>
              <w:t>Cond C3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9751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2CD94D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994DCA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2DB4BFCF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478992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r w:rsidRPr="00F54077">
              <w:rPr>
                <w:rFonts w:ascii="Arial" w:eastAsia="Arial" w:hAnsi="Arial" w:cs="Arial"/>
                <w:color w:val="000000"/>
                <w:lang w:val="en-US"/>
              </w:rPr>
              <w:t>Cond C4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759070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2EFD5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277B5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7E416A3F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F28F1" w14:textId="77777777" w:rsidR="00CB3818" w:rsidRPr="00F54077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  <w:r w:rsidRPr="00F54077">
              <w:rPr>
                <w:rFonts w:ascii="Arial" w:eastAsia="Arial" w:hAnsi="Arial" w:cs="Arial"/>
                <w:color w:val="000000"/>
                <w:lang w:val="en-US"/>
              </w:rPr>
              <w:t>Cond C4 m3/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hr</w:t>
            </w:r>
            <w:proofErr w:type="spellEnd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54077">
              <w:rPr>
                <w:rFonts w:ascii="Arial" w:eastAsia="Arial" w:hAnsi="Arial" w:cs="Arial"/>
                <w:color w:val="000000"/>
                <w:lang w:val="en-US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256A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02375A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1261D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6501407F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95E29B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 xml:space="preserve">Brix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mel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23278E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B144DC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AB705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7BEEAFE4" w14:textId="77777777">
        <w:trPr>
          <w:trHeight w:val="288"/>
          <w:jc w:val="center"/>
        </w:trPr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43D3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 xml:space="preserve">Brix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mel</w:t>
            </w:r>
            <w:proofErr w:type="spellEnd"/>
            <w:r w:rsidRPr="001F6B3C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ValueY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E966B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5D5C8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2FF07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</w:tbl>
    <w:p w14:paraId="0EDEC3CE" w14:textId="17638BAC" w:rsidR="00CB3818" w:rsidRPr="001F6B3C" w:rsidRDefault="001F6B3C" w:rsidP="001F6B3C">
      <w:pPr>
        <w:pBdr>
          <w:top w:val="nil"/>
          <w:left w:val="nil"/>
          <w:bottom w:val="nil"/>
          <w:right w:val="nil"/>
          <w:between w:val="nil"/>
        </w:pBdr>
        <w:ind w:left="1440"/>
        <w:rPr>
          <w:bCs/>
          <w:i/>
          <w:iCs/>
          <w:color w:val="000000"/>
          <w:sz w:val="20"/>
          <w:szCs w:val="20"/>
        </w:rPr>
      </w:pPr>
      <w:r>
        <w:rPr>
          <w:bCs/>
          <w:i/>
          <w:iCs/>
          <w:color w:val="000000"/>
          <w:sz w:val="20"/>
          <w:szCs w:val="20"/>
        </w:rPr>
        <w:t xml:space="preserve">                                  </w:t>
      </w:r>
      <w:r w:rsidRPr="001F6B3C">
        <w:rPr>
          <w:bCs/>
          <w:i/>
          <w:iCs/>
          <w:color w:val="000000"/>
          <w:sz w:val="20"/>
          <w:szCs w:val="20"/>
        </w:rPr>
        <w:t>Tabla No.1 Variables de archivo de fuente PCS7</w:t>
      </w:r>
    </w:p>
    <w:tbl>
      <w:tblPr>
        <w:tblStyle w:val="a0"/>
        <w:tblW w:w="508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720"/>
        <w:gridCol w:w="1567"/>
        <w:gridCol w:w="556"/>
        <w:gridCol w:w="1246"/>
      </w:tblGrid>
      <w:tr w:rsidR="00CB3818" w:rsidRPr="001F6B3C" w14:paraId="102982BD" w14:textId="77777777">
        <w:trPr>
          <w:trHeight w:val="288"/>
          <w:jc w:val="center"/>
        </w:trPr>
        <w:tc>
          <w:tcPr>
            <w:tcW w:w="50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A60A0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1F6B3C"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Variables </w:t>
            </w:r>
            <w:proofErr w:type="spellStart"/>
            <w:r w:rsidRPr="001F6B3C">
              <w:rPr>
                <w:rFonts w:ascii="Arial" w:eastAsia="Arial" w:hAnsi="Arial" w:cs="Arial"/>
                <w:b/>
                <w:color w:val="000000"/>
              </w:rPr>
              <w:t>Sigind</w:t>
            </w:r>
            <w:proofErr w:type="spellEnd"/>
          </w:p>
        </w:tc>
      </w:tr>
      <w:tr w:rsidR="00CB3818" w:rsidRPr="001F6B3C" w14:paraId="2E913F24" w14:textId="77777777">
        <w:trPr>
          <w:trHeight w:val="288"/>
          <w:jc w:val="center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89515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b/>
                <w:color w:val="000000"/>
              </w:rPr>
              <w:t>Item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0372A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1F6B3C">
              <w:rPr>
                <w:rFonts w:ascii="Arial" w:eastAsia="Arial" w:hAnsi="Arial" w:cs="Arial"/>
                <w:b/>
                <w:color w:val="000000"/>
              </w:rPr>
              <w:t>Tipo de dato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1E235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1F6B3C">
              <w:rPr>
                <w:rFonts w:ascii="Arial" w:eastAsia="Arial" w:hAnsi="Arial" w:cs="Arial"/>
                <w:b/>
                <w:color w:val="000000"/>
              </w:rPr>
              <w:t>Uso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5FE2EC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1F6B3C">
              <w:rPr>
                <w:rFonts w:ascii="Arial" w:eastAsia="Arial" w:hAnsi="Arial" w:cs="Arial"/>
                <w:b/>
                <w:color w:val="000000"/>
              </w:rPr>
              <w:t>Indicador</w:t>
            </w:r>
          </w:p>
        </w:tc>
      </w:tr>
      <w:tr w:rsidR="00CB3818" w:rsidRPr="001F6B3C" w14:paraId="6477E2D9" w14:textId="77777777">
        <w:trPr>
          <w:trHeight w:val="288"/>
          <w:jc w:val="center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3025E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FECHA/HORA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A5F30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929997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B1817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2A4A702E" w14:textId="77777777">
        <w:trPr>
          <w:trHeight w:val="288"/>
          <w:jc w:val="center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469D63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JCLARBX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10C7CA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D6EA5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1A76B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4CAE558B" w14:textId="77777777">
        <w:trPr>
          <w:trHeight w:val="288"/>
          <w:jc w:val="center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E52AE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MSCBXTA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769902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89342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9600ED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CB3818" w:rsidRPr="001F6B3C" w14:paraId="0427E6AD" w14:textId="77777777">
        <w:trPr>
          <w:trHeight w:val="288"/>
          <w:jc w:val="center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14A058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JALCPH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582A8E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57A9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C564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035BB197" w14:textId="77777777">
        <w:trPr>
          <w:trHeight w:val="288"/>
          <w:jc w:val="center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92363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JCLPHCL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5F4AB6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C1CF0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2F3D9E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1A9807B0" w14:textId="77777777">
        <w:trPr>
          <w:trHeight w:val="288"/>
          <w:jc w:val="center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8A380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MSCPHTA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567CE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4BF88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9C004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116C69E5" w14:textId="77777777">
        <w:trPr>
          <w:trHeight w:val="288"/>
          <w:jc w:val="center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6BA12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JCLARPZ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37566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8B7E0F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6FBB2D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  <w:tr w:rsidR="00CB3818" w:rsidRPr="001F6B3C" w14:paraId="308C4307" w14:textId="77777777">
        <w:trPr>
          <w:trHeight w:val="288"/>
          <w:jc w:val="center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720AE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MSCPZTA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1D6651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Float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AE042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1F6B3C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A0B9C" w14:textId="77777777" w:rsidR="00CB3818" w:rsidRPr="001F6B3C" w:rsidRDefault="00000000" w:rsidP="001F6B3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1F6B3C">
              <w:rPr>
                <w:rFonts w:ascii="Arial" w:eastAsia="Arial" w:hAnsi="Arial" w:cs="Arial"/>
                <w:color w:val="000000"/>
              </w:rPr>
              <w:t>NaN</w:t>
            </w:r>
            <w:proofErr w:type="spellEnd"/>
          </w:p>
        </w:tc>
      </w:tr>
    </w:tbl>
    <w:p w14:paraId="49C0A605" w14:textId="772C1CA8" w:rsidR="001F6B3C" w:rsidRPr="001F6B3C" w:rsidRDefault="001F6B3C" w:rsidP="001F6B3C">
      <w:pPr>
        <w:pBdr>
          <w:top w:val="nil"/>
          <w:left w:val="nil"/>
          <w:bottom w:val="nil"/>
          <w:right w:val="nil"/>
          <w:between w:val="nil"/>
        </w:pBdr>
        <w:ind w:left="1440"/>
        <w:rPr>
          <w:bCs/>
          <w:i/>
          <w:iCs/>
          <w:color w:val="000000"/>
          <w:sz w:val="20"/>
          <w:szCs w:val="20"/>
        </w:rPr>
      </w:pPr>
      <w:r>
        <w:rPr>
          <w:bCs/>
          <w:i/>
          <w:iCs/>
          <w:color w:val="000000"/>
          <w:sz w:val="20"/>
          <w:szCs w:val="20"/>
        </w:rPr>
        <w:t xml:space="preserve">                         </w:t>
      </w:r>
      <w:r w:rsidRPr="001F6B3C">
        <w:rPr>
          <w:bCs/>
          <w:i/>
          <w:iCs/>
          <w:color w:val="000000"/>
          <w:sz w:val="20"/>
          <w:szCs w:val="20"/>
        </w:rPr>
        <w:t>Tabla No.</w:t>
      </w:r>
      <w:r>
        <w:rPr>
          <w:bCs/>
          <w:i/>
          <w:iCs/>
          <w:color w:val="000000"/>
          <w:sz w:val="20"/>
          <w:szCs w:val="20"/>
        </w:rPr>
        <w:t>2</w:t>
      </w:r>
      <w:r w:rsidRPr="001F6B3C">
        <w:rPr>
          <w:bCs/>
          <w:i/>
          <w:iCs/>
          <w:color w:val="000000"/>
          <w:sz w:val="20"/>
          <w:szCs w:val="20"/>
        </w:rPr>
        <w:t xml:space="preserve"> Variables de archivo de fuente </w:t>
      </w:r>
      <w:proofErr w:type="spellStart"/>
      <w:r>
        <w:rPr>
          <w:bCs/>
          <w:i/>
          <w:iCs/>
          <w:color w:val="000000"/>
          <w:sz w:val="20"/>
          <w:szCs w:val="20"/>
        </w:rPr>
        <w:t>Sigind</w:t>
      </w:r>
      <w:proofErr w:type="spellEnd"/>
    </w:p>
    <w:p w14:paraId="0FF437D7" w14:textId="77777777" w:rsidR="00CB3818" w:rsidRPr="001F6B3C" w:rsidRDefault="00CB381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</w:p>
    <w:p w14:paraId="270EF3D8" w14:textId="77777777" w:rsidR="00CB3818" w:rsidRPr="001F6B3C" w:rsidRDefault="00CB381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3AD7CEA" w14:textId="77777777" w:rsidR="00CB3818" w:rsidRPr="001F6B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F6B3C">
        <w:rPr>
          <w:b/>
          <w:color w:val="000000"/>
        </w:rPr>
        <w:t>Identificación de valores nulos:</w:t>
      </w:r>
    </w:p>
    <w:p w14:paraId="319DCF83" w14:textId="23FFFFB0" w:rsidR="00CB3818" w:rsidRDefault="00000000" w:rsidP="005F076D">
      <w:pPr>
        <w:ind w:left="720"/>
        <w:jc w:val="both"/>
      </w:pPr>
      <w:r w:rsidRPr="001F6B3C">
        <w:t>En el proceso de carga y transformación</w:t>
      </w:r>
      <w:r w:rsidR="005F076D">
        <w:t>;</w:t>
      </w:r>
      <w:r w:rsidRPr="001F6B3C">
        <w:t xml:space="preserve"> los datos</w:t>
      </w:r>
      <w:r w:rsidR="005F076D">
        <w:t xml:space="preserve"> provenientes de las fuentes PCS7 y </w:t>
      </w:r>
      <w:proofErr w:type="spellStart"/>
      <w:r w:rsidR="005F076D">
        <w:t>Sigind</w:t>
      </w:r>
      <w:proofErr w:type="spellEnd"/>
      <w:r w:rsidR="005F076D">
        <w:t>,</w:t>
      </w:r>
      <w:r w:rsidRPr="001F6B3C">
        <w:t xml:space="preserve"> </w:t>
      </w:r>
      <w:r w:rsidR="005F076D">
        <w:t>las variables fueron convertidas por el tipo de</w:t>
      </w:r>
      <w:r w:rsidRPr="001F6B3C">
        <w:t xml:space="preserve"> formato “</w:t>
      </w:r>
      <w:proofErr w:type="spellStart"/>
      <w:r w:rsidRPr="001F6B3C">
        <w:t>object</w:t>
      </w:r>
      <w:proofErr w:type="spellEnd"/>
      <w:r w:rsidRPr="001F6B3C">
        <w:t xml:space="preserve">”, debido a los datos nulos que presentan </w:t>
      </w:r>
      <w:r w:rsidR="005F076D">
        <w:t>algunos registros</w:t>
      </w:r>
      <w:r w:rsidRPr="001F6B3C">
        <w:t xml:space="preserve">. En este proceso se identificó un </w:t>
      </w:r>
      <w:r w:rsidR="005F076D">
        <w:t xml:space="preserve">estimado de 14.400 datos nulos para la mayoría de las variables, a excepción de las variables Brix </w:t>
      </w:r>
      <w:proofErr w:type="spellStart"/>
      <w:r w:rsidR="005F076D">
        <w:t>mel</w:t>
      </w:r>
      <w:proofErr w:type="spellEnd"/>
      <w:r w:rsidR="005F076D">
        <w:t xml:space="preserve"> Time y Brix </w:t>
      </w:r>
      <w:proofErr w:type="spellStart"/>
      <w:r w:rsidR="005F076D">
        <w:t>mel</w:t>
      </w:r>
      <w:proofErr w:type="spellEnd"/>
      <w:r w:rsidR="005F076D">
        <w:t xml:space="preserve"> </w:t>
      </w:r>
      <w:proofErr w:type="spellStart"/>
      <w:r w:rsidR="005F076D">
        <w:t>ValueY</w:t>
      </w:r>
      <w:proofErr w:type="spellEnd"/>
      <w:r w:rsidR="005F076D">
        <w:t xml:space="preserve"> que presentaron 23.040 datos nulos aproximadamente.</w:t>
      </w:r>
    </w:p>
    <w:p w14:paraId="4AAA8370" w14:textId="77777777" w:rsidR="005F076D" w:rsidRDefault="005F076D" w:rsidP="005F076D">
      <w:pPr>
        <w:ind w:left="720"/>
        <w:jc w:val="both"/>
      </w:pPr>
    </w:p>
    <w:p w14:paraId="3D700C79" w14:textId="75A41FE3" w:rsidR="001F6B3C" w:rsidRDefault="001F6B3C" w:rsidP="001F6B3C">
      <w:pPr>
        <w:ind w:left="720"/>
        <w:jc w:val="center"/>
      </w:pPr>
      <w:r>
        <w:rPr>
          <w:noProof/>
        </w:rPr>
        <w:drawing>
          <wp:inline distT="0" distB="0" distL="0" distR="0" wp14:anchorId="34683409" wp14:editId="7A6B44F1">
            <wp:extent cx="4057650" cy="3634740"/>
            <wp:effectExtent l="19050" t="19050" r="19050" b="22860"/>
            <wp:docPr id="65228539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85394" name="Imagen 1" descr="Tabla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3898"/>
                    <a:stretch/>
                  </pic:blipFill>
                  <pic:spPr bwMode="auto">
                    <a:xfrm>
                      <a:off x="0" y="0"/>
                      <a:ext cx="4057650" cy="36347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F53BA" w14:textId="17B76EA9" w:rsidR="001F6B3C" w:rsidRPr="001F6B3C" w:rsidRDefault="001F6B3C" w:rsidP="001F6B3C">
      <w:pPr>
        <w:ind w:left="720"/>
        <w:jc w:val="center"/>
        <w:rPr>
          <w:i/>
          <w:iCs/>
          <w:sz w:val="20"/>
          <w:szCs w:val="20"/>
        </w:rPr>
      </w:pPr>
      <w:r w:rsidRPr="001F6B3C">
        <w:rPr>
          <w:i/>
          <w:iCs/>
          <w:sz w:val="20"/>
          <w:szCs w:val="20"/>
        </w:rPr>
        <w:t xml:space="preserve">Figura No.1 </w:t>
      </w:r>
      <w:r>
        <w:rPr>
          <w:i/>
          <w:iCs/>
          <w:sz w:val="20"/>
          <w:szCs w:val="20"/>
        </w:rPr>
        <w:t>Visualización de cantidad de nulos</w:t>
      </w:r>
    </w:p>
    <w:p w14:paraId="0E2E9867" w14:textId="77777777" w:rsidR="00CB38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 w:rsidRPr="001F6B3C">
        <w:rPr>
          <w:b/>
          <w:color w:val="000000"/>
        </w:rPr>
        <w:lastRenderedPageBreak/>
        <w:t>Comprensión del origen de los datos nulos:</w:t>
      </w:r>
    </w:p>
    <w:p w14:paraId="190D52CA" w14:textId="77777777" w:rsidR="005F076D" w:rsidRDefault="005F076D" w:rsidP="005F07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</w:p>
    <w:p w14:paraId="2C9969A8" w14:textId="57507807" w:rsidR="00CB3818" w:rsidRPr="001F6B3C" w:rsidRDefault="005F076D" w:rsidP="00CA67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>
        <w:rPr>
          <w:bCs/>
          <w:color w:val="000000"/>
        </w:rPr>
        <w:t xml:space="preserve">Es importante </w:t>
      </w:r>
      <w:r w:rsidRPr="005F076D">
        <w:rPr>
          <w:bCs/>
          <w:color w:val="000000"/>
        </w:rPr>
        <w:t xml:space="preserve">tener en </w:t>
      </w:r>
      <w:r>
        <w:rPr>
          <w:bCs/>
          <w:color w:val="000000"/>
        </w:rPr>
        <w:t>cuenta</w:t>
      </w:r>
      <w:r w:rsidRPr="005F076D">
        <w:rPr>
          <w:bCs/>
          <w:color w:val="000000"/>
        </w:rPr>
        <w:t xml:space="preserve"> que</w:t>
      </w:r>
      <w:r>
        <w:rPr>
          <w:bCs/>
          <w:color w:val="000000"/>
        </w:rPr>
        <w:t xml:space="preserve"> la generación de datos nulos se da </w:t>
      </w:r>
      <w:r w:rsidRPr="005F076D">
        <w:rPr>
          <w:bCs/>
          <w:color w:val="000000"/>
        </w:rPr>
        <w:t xml:space="preserve">porque </w:t>
      </w:r>
      <w:r w:rsidR="00CA6746">
        <w:rPr>
          <w:bCs/>
          <w:color w:val="000000"/>
        </w:rPr>
        <w:t xml:space="preserve">cuando se cargan los datos en </w:t>
      </w:r>
      <w:r w:rsidRPr="005F076D">
        <w:rPr>
          <w:bCs/>
          <w:color w:val="000000"/>
        </w:rPr>
        <w:t xml:space="preserve">el </w:t>
      </w:r>
      <w:proofErr w:type="spellStart"/>
      <w:r>
        <w:rPr>
          <w:bCs/>
          <w:color w:val="000000"/>
        </w:rPr>
        <w:t>DataFrame</w:t>
      </w:r>
      <w:proofErr w:type="spellEnd"/>
      <w:r w:rsidR="00CA6746">
        <w:rPr>
          <w:bCs/>
          <w:color w:val="000000"/>
        </w:rPr>
        <w:t xml:space="preserve">, </w:t>
      </w:r>
      <w:r w:rsidR="00F54077">
        <w:rPr>
          <w:bCs/>
          <w:color w:val="000000"/>
        </w:rPr>
        <w:t>esta toma</w:t>
      </w:r>
      <w:r w:rsidRPr="005F076D">
        <w:rPr>
          <w:bCs/>
          <w:color w:val="000000"/>
        </w:rPr>
        <w:t xml:space="preserve"> la </w:t>
      </w:r>
      <w:r w:rsidR="00CA6746">
        <w:rPr>
          <w:bCs/>
          <w:color w:val="000000"/>
        </w:rPr>
        <w:t>mayor cantidad de registros por columna</w:t>
      </w:r>
      <w:r w:rsidRPr="005F076D">
        <w:rPr>
          <w:bCs/>
          <w:color w:val="000000"/>
        </w:rPr>
        <w:t xml:space="preserve"> para </w:t>
      </w:r>
      <w:r>
        <w:rPr>
          <w:bCs/>
          <w:color w:val="000000"/>
        </w:rPr>
        <w:t>construir</w:t>
      </w:r>
      <w:r w:rsidRPr="005F076D">
        <w:rPr>
          <w:bCs/>
          <w:color w:val="000000"/>
        </w:rPr>
        <w:t xml:space="preserve"> el número de filas</w:t>
      </w:r>
      <w:r>
        <w:rPr>
          <w:bCs/>
          <w:color w:val="000000"/>
        </w:rPr>
        <w:t xml:space="preserve">, para </w:t>
      </w:r>
      <w:r w:rsidRPr="005F076D">
        <w:rPr>
          <w:bCs/>
          <w:color w:val="000000"/>
        </w:rPr>
        <w:t>la</w:t>
      </w:r>
      <w:r>
        <w:rPr>
          <w:bCs/>
          <w:color w:val="000000"/>
        </w:rPr>
        <w:t>s</w:t>
      </w:r>
      <w:r w:rsidRPr="005F076D">
        <w:rPr>
          <w:bCs/>
          <w:color w:val="000000"/>
        </w:rPr>
        <w:t xml:space="preserve"> columnas con menos </w:t>
      </w:r>
      <w:r>
        <w:rPr>
          <w:bCs/>
          <w:color w:val="000000"/>
        </w:rPr>
        <w:t>registros</w:t>
      </w:r>
      <w:r w:rsidRPr="005F076D">
        <w:rPr>
          <w:bCs/>
          <w:color w:val="000000"/>
        </w:rPr>
        <w:t xml:space="preserve"> </w:t>
      </w:r>
      <w:r>
        <w:rPr>
          <w:bCs/>
          <w:color w:val="000000"/>
        </w:rPr>
        <w:t>las</w:t>
      </w:r>
      <w:r w:rsidRPr="005F076D">
        <w:rPr>
          <w:bCs/>
          <w:color w:val="000000"/>
        </w:rPr>
        <w:t xml:space="preserve"> llena con nulos</w:t>
      </w:r>
      <w:r>
        <w:rPr>
          <w:bCs/>
          <w:color w:val="000000"/>
        </w:rPr>
        <w:t xml:space="preserve">, </w:t>
      </w:r>
      <w:r w:rsidRPr="005F076D">
        <w:rPr>
          <w:bCs/>
          <w:color w:val="000000"/>
        </w:rPr>
        <w:t xml:space="preserve">por </w:t>
      </w:r>
      <w:r>
        <w:rPr>
          <w:bCs/>
          <w:color w:val="000000"/>
        </w:rPr>
        <w:t>esto</w:t>
      </w:r>
      <w:r w:rsidRPr="005F076D">
        <w:rPr>
          <w:bCs/>
          <w:color w:val="000000"/>
        </w:rPr>
        <w:t xml:space="preserve"> toma la totalidad de los datos de flujo </w:t>
      </w:r>
      <w:r>
        <w:rPr>
          <w:bCs/>
          <w:color w:val="000000"/>
        </w:rPr>
        <w:t>caña,</w:t>
      </w:r>
      <w:r w:rsidRPr="005F076D">
        <w:rPr>
          <w:bCs/>
          <w:color w:val="000000"/>
        </w:rPr>
        <w:t xml:space="preserve"> como el tamaño de las filas</w:t>
      </w:r>
      <w:r>
        <w:rPr>
          <w:bCs/>
          <w:color w:val="000000"/>
        </w:rPr>
        <w:t xml:space="preserve">, es decir, </w:t>
      </w:r>
      <w:r w:rsidRPr="005F076D">
        <w:rPr>
          <w:bCs/>
          <w:color w:val="000000"/>
        </w:rPr>
        <w:t>28</w:t>
      </w:r>
      <w:r>
        <w:rPr>
          <w:bCs/>
          <w:color w:val="000000"/>
        </w:rPr>
        <w:t>.</w:t>
      </w:r>
      <w:r w:rsidRPr="005F076D">
        <w:rPr>
          <w:bCs/>
          <w:color w:val="000000"/>
        </w:rPr>
        <w:t>800</w:t>
      </w:r>
      <w:r>
        <w:rPr>
          <w:bCs/>
          <w:color w:val="000000"/>
        </w:rPr>
        <w:t xml:space="preserve">. Para </w:t>
      </w:r>
      <w:r w:rsidRPr="005F076D">
        <w:rPr>
          <w:bCs/>
          <w:color w:val="000000"/>
        </w:rPr>
        <w:t xml:space="preserve">el resto de las variables se </w:t>
      </w:r>
      <w:r>
        <w:rPr>
          <w:bCs/>
          <w:color w:val="000000"/>
        </w:rPr>
        <w:t>expande</w:t>
      </w:r>
      <w:r w:rsidRPr="005F076D">
        <w:rPr>
          <w:bCs/>
          <w:color w:val="000000"/>
        </w:rPr>
        <w:t xml:space="preserve"> a </w:t>
      </w:r>
      <w:r>
        <w:rPr>
          <w:bCs/>
          <w:color w:val="000000"/>
        </w:rPr>
        <w:t>esa cantidad,</w:t>
      </w:r>
      <w:r w:rsidRPr="005F076D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y teniendo en cuenta que algunas columnas </w:t>
      </w:r>
      <w:r w:rsidRPr="005F076D">
        <w:rPr>
          <w:bCs/>
          <w:color w:val="000000"/>
        </w:rPr>
        <w:t>solo tienen 14</w:t>
      </w:r>
      <w:r>
        <w:rPr>
          <w:bCs/>
          <w:color w:val="000000"/>
        </w:rPr>
        <w:t>.</w:t>
      </w:r>
      <w:r w:rsidRPr="005F076D">
        <w:rPr>
          <w:bCs/>
          <w:color w:val="000000"/>
        </w:rPr>
        <w:t>400</w:t>
      </w:r>
      <w:r>
        <w:rPr>
          <w:bCs/>
          <w:color w:val="000000"/>
        </w:rPr>
        <w:t xml:space="preserve"> registros, en la formación del </w:t>
      </w:r>
      <w:proofErr w:type="spellStart"/>
      <w:r>
        <w:rPr>
          <w:bCs/>
          <w:color w:val="000000"/>
        </w:rPr>
        <w:t>DataFrame</w:t>
      </w:r>
      <w:proofErr w:type="spellEnd"/>
      <w:r w:rsidR="00CA6746">
        <w:rPr>
          <w:bCs/>
          <w:color w:val="000000"/>
        </w:rPr>
        <w:t xml:space="preserve"> llena los campos adicionales y faltantes con dato nulo para así completar las 28.800 filas.</w:t>
      </w:r>
      <w:r w:rsidRPr="005F076D">
        <w:rPr>
          <w:bCs/>
          <w:color w:val="000000"/>
        </w:rPr>
        <w:t xml:space="preserve"> </w:t>
      </w:r>
    </w:p>
    <w:p w14:paraId="14771B64" w14:textId="77777777" w:rsidR="00CB3818" w:rsidRDefault="00CB381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sectPr w:rsidR="00CB381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A0F0AB0-60F4-4C1C-8C03-4F26F815A98B}"/>
    <w:embedBold r:id="rId2" w:fontKey="{808EB0D8-6EC8-4F0D-8D17-5949306DEF6A}"/>
    <w:embedItalic r:id="rId3" w:fontKey="{C16688DE-81B1-4B03-AD4D-A0C22A3DCAC0}"/>
    <w:embedBoldItalic r:id="rId4" w:fontKey="{99108F1D-FBD0-4ADE-98E8-56E2F4BD713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2DC104DB-EADF-4C76-B83B-1A8EBE4A1BA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3647B"/>
    <w:multiLevelType w:val="multilevel"/>
    <w:tmpl w:val="144A9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096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18"/>
    <w:rsid w:val="00150B89"/>
    <w:rsid w:val="001F6B3C"/>
    <w:rsid w:val="005F076D"/>
    <w:rsid w:val="00C25FBC"/>
    <w:rsid w:val="00CA6746"/>
    <w:rsid w:val="00CB3818"/>
    <w:rsid w:val="00F5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C393"/>
  <w15:docId w15:val="{6EAF6B0B-0A05-4B74-98FA-AA3E0067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AA6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D1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D1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A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A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A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A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A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AA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5D1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A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A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A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A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AA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5D1AA6"/>
    <w:pPr>
      <w:spacing w:after="0" w:line="240" w:lineRule="auto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HH2ec5nhFlByJ3vtX2OQrbStA==">CgMxLjA4AHIhMUZBZldnd3pweWtlYWRKejlvWlhnWUdFUlAyQTFORUt1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LIZETH PINTO GIRON</dc:creator>
  <cp:lastModifiedBy>DIANA LIZETH PINTO GIRON</cp:lastModifiedBy>
  <cp:revision>3</cp:revision>
  <dcterms:created xsi:type="dcterms:W3CDTF">2025-03-18T21:03:00Z</dcterms:created>
  <dcterms:modified xsi:type="dcterms:W3CDTF">2025-03-19T18:54:00Z</dcterms:modified>
</cp:coreProperties>
</file>