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GUÍA DE TRABAJO — AVANCE 2</w:t>
      </w:r>
    </w:p>
    <w:p>
      <w:pPr>
        <w:spacing w:after="400"/>
        <w:jc w:val="center"/>
      </w:pPr>
      <w:r>
        <w:rPr>
          <w:b/>
          <w:bCs/>
          <w:color w:val="17375E"/>
          <w:sz w:val="26"/>
          <w:szCs w:val="26"/>
        </w:rPr>
        <w:t xml:space="preserve">Grupo 3: EduConecta</w:t>
      </w:r>
    </w:p>
    <w:p>
      <w:pPr>
        <w:pStyle w:val="Heading1"/>
        <w:pBdr>
          <w:bottom w:val="single" w:color="1F4E78" w:sz="6"/>
        </w:pBdr>
        <w:spacing w:after="140" w:before="320"/>
      </w:pPr>
      <w:r>
        <w:rPr>
          <w:b/>
          <w:bCs/>
          <w:color w:val="1F4E78"/>
          <w:sz w:val="26"/>
          <w:szCs w:val="26"/>
        </w:rPr>
        <w:t xml:space="preserve">1. Contexto Empresarial</w:t>
      </w:r>
    </w:p>
    <w:p>
      <w:pPr>
        <w:spacing w:after="160"/>
      </w:pPr>
      <w:r>
        <w:rPr>
          <w:color w:val="262626"/>
          <w:sz w:val="21"/>
          <w:szCs w:val="21"/>
        </w:rPr>
        <w:t xml:space="preserve">EduConecta ya cuenta, desde el Avance 1, con su núcleo transaccional (estudiantes y matrículas) funcionando en Oracle. Ahora necesita automatizar la gestión de matrículas: matricular a un estudiante, darlo de baja, calcular su avance, e impedir que un curso reciba más matrículas de las que su cupo máximo permite.</w:t>
      </w:r>
    </w:p>
    <w:p>
      <w:pPr>
        <w:pStyle w:val="Heading1"/>
        <w:pBdr>
          <w:bottom w:val="single" w:color="1F4E78" w:sz="6"/>
        </w:pBdr>
        <w:spacing w:after="140" w:before="320"/>
      </w:pPr>
      <w:r>
        <w:rPr>
          <w:b/>
          <w:bCs/>
          <w:color w:val="1F4E78"/>
          <w:sz w:val="26"/>
          <w:szCs w:val="26"/>
        </w:rPr>
        <w:t xml:space="preserve">2. Problema y Pregunta Rectora</w:t>
      </w:r>
    </w:p>
    <w:p>
      <w:pPr>
        <w:spacing w:after="160"/>
      </w:pPr>
      <w:r>
        <w:rPr>
          <w:color w:val="262626"/>
          <w:sz w:val="21"/>
          <w:szCs w:val="21"/>
        </w:rPr>
        <w:t xml:space="preserve">¿Cómo puede EduConecta impedir que un curso se llene por encima de su cupo máximo, sin depender de que alguien cuente manualmente las matrículas antes de aceptar una nueva?</w:t>
      </w:r>
    </w:p>
    <w:p>
      <w:pPr>
        <w:pStyle w:val="Heading1"/>
        <w:pBdr>
          <w:bottom w:val="single" w:color="1F4E78" w:sz="6"/>
        </w:pBdr>
        <w:spacing w:after="140" w:before="320"/>
      </w:pPr>
      <w:r>
        <w:rPr>
          <w:b/>
          <w:bCs/>
          <w:color w:val="1F4E78"/>
          <w:sz w:val="26"/>
          <w:szCs w:val="26"/>
        </w:rPr>
        <w:t xml:space="preserve">3. Competencias</w:t>
      </w:r>
    </w:p>
    <w:p>
      <w:pPr>
        <w:spacing w:after="160"/>
      </w:pPr>
      <w:r>
        <w:rPr>
          <w:i/>
          <w:iCs/>
          <w:color w:val="262626"/>
          <w:sz w:val="21"/>
          <w:szCs w:val="21"/>
        </w:rPr>
        <w:t xml:space="preserve">Crea Paquetes, Programas y Subprogramas para gestionar efectivamente una base de datos, utilizando PL/SQL, entornos de desarrollo y otras características de administración de bases de datos</w:t>
      </w:r>
    </w:p>
    <w:p>
      <w:pPr>
        <w:spacing w:after="160"/>
      </w:pPr>
      <w:r>
        <w:rPr>
          <w:color w:val="262626"/>
          <w:sz w:val="21"/>
          <w:szCs w:val="21"/>
        </w:rPr>
        <w:t xml:space="preserve">Este avance desarrolla el Saber hacer del Anexo del Programa Analítico: crea paquetes, programas y subprogramas PL/SQL, y aplica triggers para el resguardo de reglas de negocio.</w:t>
      </w:r>
    </w:p>
    <w:p>
      <w:pPr>
        <w:pStyle w:val="Heading1"/>
        <w:pBdr>
          <w:bottom w:val="single" w:color="1F4E78" w:sz="6"/>
        </w:pBdr>
        <w:spacing w:after="140" w:before="320"/>
      </w:pPr>
      <w:r>
        <w:rPr>
          <w:b/>
          <w:bCs/>
          <w:color w:val="1F4E78"/>
          <w:sz w:val="26"/>
          <w:szCs w:val="26"/>
        </w:rPr>
        <w:t xml:space="preserve">4. Arquitectura</w:t>
      </w:r>
    </w:p>
    <w:p>
      <w:pPr>
        <w:spacing w:after="160"/>
      </w:pPr>
      <w:r>
        <w:rPr>
          <w:color w:val="262626"/>
          <w:sz w:val="21"/>
          <w:szCs w:val="21"/>
        </w:rPr>
        <w:t xml:space="preserve">Este Avance 2 construye la segunda capa de la arquitectura políglota del proyecto: la Capa de Automatización de Procesos (PL/SQL: paquetes y triggers), apoyada directamente sobre el esquema ya construido en el Avance 1 (Unidad 1).</w:t>
      </w:r>
    </w:p>
    <w:p>
      <w:pPr>
        <w:pStyle w:val="Heading1"/>
        <w:pBdr>
          <w:bottom w:val="single" w:color="1F4E78" w:sz="6"/>
        </w:pBdr>
        <w:spacing w:after="140" w:before="320"/>
      </w:pPr>
      <w:r>
        <w:rPr>
          <w:b/>
          <w:bCs/>
          <w:color w:val="1F4E78"/>
          <w:sz w:val="26"/>
          <w:szCs w:val="26"/>
        </w:rPr>
        <w:t xml:space="preserve">5. Especificación Esperada (sin código de solución)</w:t>
      </w:r>
    </w:p>
    <w:p>
      <w:pPr>
        <w:spacing w:after="160"/>
      </w:pPr>
      <w:r>
        <w:rPr>
          <w:color w:val="262626"/>
          <w:sz w:val="21"/>
          <w:szCs w:val="21"/>
        </w:rPr>
        <w:t xml:space="preserve">La siguiente tabla describe QUÉ debe existir en su paquete y su trigger —nombre, subprogramas, regla de negocio—, no CÓMO escribirlo. El diseño exacto de la sintaxis (parámetros, cursores, excepciones) es responsabilidad de su equipo, siguiendo lo ya practicado en los Encuentros 13 a 21.</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260"/>
      </w:tblGrid>
      <w:tr>
        <w:trPr>
          <w:tblHeader/>
        </w:trPr>
        <w:tc>
          <w:tcPr>
            <w:tcW w:type="dxa" w:w="2400"/>
            <w:tcBorders>
              <w:top w:val="single" w:color="BFBFBF" w:sz="4"/>
              <w:left w:val="single" w:color="BFBFBF" w:sz="4"/>
              <w:bottom w:val="single" w:color="BFBFBF" w:sz="4"/>
              <w:right w:val="single" w:color="BFBFBF" w:sz="4"/>
            </w:tcBorders>
            <w:shd w:fill="1F4E78" w:val="clear"/>
            <w:tcMar>
              <w:top w:type="dxa" w:w="80"/>
              <w:left w:type="dxa" w:w="100"/>
              <w:bottom w:type="dxa" w:w="80"/>
              <w:right w:type="dxa" w:w="100"/>
            </w:tcMar>
            <w:vAlign w:val="center"/>
          </w:tcPr>
          <w:p>
            <w:r>
              <w:rPr>
                <w:b/>
                <w:bCs/>
                <w:color w:val="FFFFFF"/>
                <w:sz w:val="19"/>
                <w:szCs w:val="19"/>
              </w:rPr>
              <w:t xml:space="preserve">Componente</w:t>
            </w:r>
          </w:p>
        </w:tc>
        <w:tc>
          <w:tcPr>
            <w:tcW w:type="dxa" w:w="3200"/>
            <w:tcBorders>
              <w:top w:val="single" w:color="BFBFBF" w:sz="4"/>
              <w:left w:val="single" w:color="BFBFBF" w:sz="4"/>
              <w:bottom w:val="single" w:color="BFBFBF" w:sz="4"/>
              <w:right w:val="single" w:color="BFBFBF" w:sz="4"/>
            </w:tcBorders>
            <w:shd w:fill="1F4E78" w:val="clear"/>
            <w:tcMar>
              <w:top w:type="dxa" w:w="80"/>
              <w:left w:type="dxa" w:w="100"/>
              <w:bottom w:type="dxa" w:w="80"/>
              <w:right w:type="dxa" w:w="100"/>
            </w:tcMar>
            <w:vAlign w:val="center"/>
          </w:tcPr>
          <w:p>
            <w:r>
              <w:rPr>
                <w:b/>
                <w:bCs/>
                <w:color w:val="FFFFFF"/>
                <w:sz w:val="19"/>
                <w:szCs w:val="19"/>
              </w:rPr>
              <w:t xml:space="preserve">Nombre Esperado</w:t>
            </w:r>
          </w:p>
        </w:tc>
        <w:tc>
          <w:tcPr>
            <w:tcW w:type="dxa" w:w="4260"/>
            <w:tcBorders>
              <w:top w:val="single" w:color="BFBFBF" w:sz="4"/>
              <w:left w:val="single" w:color="BFBFBF" w:sz="4"/>
              <w:bottom w:val="single" w:color="BFBFBF" w:sz="4"/>
              <w:right w:val="single" w:color="BFBFBF" w:sz="4"/>
            </w:tcBorders>
            <w:shd w:fill="1F4E78" w:val="clear"/>
            <w:tcMar>
              <w:top w:type="dxa" w:w="80"/>
              <w:left w:type="dxa" w:w="100"/>
              <w:bottom w:type="dxa" w:w="80"/>
              <w:right w:type="dxa" w:w="100"/>
            </w:tcMar>
            <w:vAlign w:val="center"/>
          </w:tcPr>
          <w:p>
            <w:r>
              <w:rPr>
                <w:b/>
                <w:bCs/>
                <w:color w:val="FFFFFF"/>
                <w:sz w:val="19"/>
                <w:szCs w:val="19"/>
              </w:rPr>
              <w:t xml:space="preserve">Descripción</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color w:val="262626"/>
                <w:sz w:val="19"/>
                <w:szCs w:val="19"/>
              </w:rPr>
              <w:t xml:space="preserve">Paquete PL/SQL principal</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color w:val="262626"/>
                <w:sz w:val="19"/>
                <w:szCs w:val="19"/>
              </w:rPr>
              <w:t xml:space="preserve">PKG_GESTION_MATRICULAS</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color w:val="262626"/>
                <w:sz w:val="19"/>
                <w:szCs w:val="19"/>
              </w:rPr>
              <w:t xml:space="preserve">Subprogramas: matricular, dar_de_baja, calcular_avance</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color w:val="262626"/>
                <w:sz w:val="19"/>
                <w:szCs w:val="19"/>
              </w:rPr>
              <w:t xml:space="preserve">Trigger de resguardo</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color w:val="262626"/>
                <w:sz w:val="19"/>
                <w:szCs w:val="19"/>
              </w:rPr>
              <w:t xml:space="preserve">TRG_VALIDA_CUPO_CURSO</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color w:val="262626"/>
                <w:sz w:val="19"/>
                <w:szCs w:val="19"/>
              </w:rPr>
              <w:t xml:space="preserve">impide matricular por encima del cupo máximo</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color w:val="262626"/>
                <w:sz w:val="19"/>
                <w:szCs w:val="19"/>
              </w:rPr>
              <w:t xml:space="preserve">Evento del trigger (a definir por el equipo)</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color w:val="262626"/>
                <w:sz w:val="19"/>
                <w:szCs w:val="19"/>
              </w:rPr>
              <w:t xml:space="preserve">a definir por el equipo</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color w:val="262626"/>
                <w:sz w:val="19"/>
                <w:szCs w:val="19"/>
              </w:rPr>
              <w:t xml:space="preserve">Debe justificarse por escrito por qué es BEFORE o AFTER, y ROW o STATEMENT</w:t>
            </w:r>
          </w:p>
        </w:tc>
      </w:tr>
    </w:tbl>
    <w:p>
      <w:pPr>
        <w:pStyle w:val="Heading1"/>
        <w:pBdr>
          <w:bottom w:val="single" w:color="1F4E78" w:sz="6"/>
        </w:pBdr>
        <w:spacing w:after="140" w:before="320"/>
      </w:pPr>
      <w:r>
        <w:rPr>
          <w:b/>
          <w:bCs/>
          <w:color w:val="1F4E78"/>
          <w:sz w:val="26"/>
          <w:szCs w:val="26"/>
        </w:rPr>
        <w:t xml:space="preserve">6. Actividades a Realizar</w:t>
      </w:r>
    </w:p>
    <w:p>
      <w:pPr>
        <w:spacing w:after="100"/>
        <w:ind w:left="400" w:hanging="400"/>
      </w:pPr>
      <w:r>
        <w:rPr>
          <w:b/>
          <w:bCs/>
          <w:color w:val="17375E"/>
          <w:sz w:val="21"/>
          <w:szCs w:val="21"/>
        </w:rPr>
        <w:t xml:space="preserve">1. </w:t>
      </w:r>
      <w:r>
        <w:rPr>
          <w:color w:val="262626"/>
          <w:sz w:val="21"/>
          <w:szCs w:val="21"/>
        </w:rPr>
        <w:t xml:space="preserve">Revise el Contexto (Sección 1) y el Problema (Sección 2), y discuta en equipo qué subprogramas necesita su paquete además de los ya listados en la Sección 5.</w:t>
      </w:r>
    </w:p>
    <w:p>
      <w:pPr>
        <w:spacing w:after="100"/>
        <w:ind w:left="400" w:hanging="400"/>
      </w:pPr>
      <w:r>
        <w:rPr>
          <w:b/>
          <w:bCs/>
          <w:color w:val="17375E"/>
          <w:sz w:val="21"/>
          <w:szCs w:val="21"/>
        </w:rPr>
        <w:t xml:space="preserve">2. </w:t>
      </w:r>
      <w:r>
        <w:rPr>
          <w:color w:val="262626"/>
          <w:sz w:val="21"/>
          <w:szCs w:val="21"/>
        </w:rPr>
        <w:t xml:space="preserve">Complete el documento breve de diseño: para su paquete, liste cada subprograma con sus parámetros de entrada y salida.</w:t>
      </w:r>
    </w:p>
    <w:p>
      <w:pPr>
        <w:spacing w:after="100"/>
        <w:ind w:left="400" w:hanging="400"/>
      </w:pPr>
      <w:r>
        <w:rPr>
          <w:b/>
          <w:bCs/>
          <w:color w:val="17375E"/>
          <w:sz w:val="21"/>
          <w:szCs w:val="21"/>
        </w:rPr>
        <w:t xml:space="preserve">3. </w:t>
      </w:r>
      <w:r>
        <w:rPr>
          <w:color w:val="262626"/>
          <w:sz w:val="21"/>
          <w:szCs w:val="21"/>
        </w:rPr>
        <w:t xml:space="preserve">En su entorno Oracle, cree la especificación (CREATE OR REPLACE PACKAGE) de su paquete, con los subprogramas ya identificados.</w:t>
      </w:r>
    </w:p>
    <w:p>
      <w:pPr>
        <w:spacing w:after="100"/>
        <w:ind w:left="400" w:hanging="400"/>
      </w:pPr>
      <w:r>
        <w:rPr>
          <w:b/>
          <w:bCs/>
          <w:color w:val="17375E"/>
          <w:sz w:val="21"/>
          <w:szCs w:val="21"/>
        </w:rPr>
        <w:t xml:space="preserve">4. </w:t>
      </w:r>
      <w:r>
        <w:rPr>
          <w:color w:val="262626"/>
          <w:sz w:val="21"/>
          <w:szCs w:val="21"/>
        </w:rPr>
        <w:t xml:space="preserve">Implemente el cuerpo (PACKAGE BODY) de cada subprograma, reutilizando el esquema del Avance 1 sin modificarlo.</w:t>
      </w:r>
    </w:p>
    <w:p>
      <w:pPr>
        <w:spacing w:after="100"/>
        <w:ind w:left="400" w:hanging="400"/>
      </w:pPr>
      <w:r>
        <w:rPr>
          <w:b/>
          <w:bCs/>
          <w:color w:val="17375E"/>
          <w:sz w:val="21"/>
          <w:szCs w:val="21"/>
        </w:rPr>
        <w:t xml:space="preserve">5. </w:t>
      </w:r>
      <w:r>
        <w:rPr>
          <w:color w:val="262626"/>
          <w:sz w:val="21"/>
          <w:szCs w:val="21"/>
        </w:rPr>
        <w:t xml:space="preserve">Incorpore, en al menos un subprograma, el manejo de al menos una excepción (predefinida o propia).</w:t>
      </w:r>
    </w:p>
    <w:p>
      <w:pPr>
        <w:spacing w:after="100"/>
        <w:ind w:left="400" w:hanging="400"/>
      </w:pPr>
      <w:r>
        <w:rPr>
          <w:b/>
          <w:bCs/>
          <w:color w:val="17375E"/>
          <w:sz w:val="21"/>
          <w:szCs w:val="21"/>
        </w:rPr>
        <w:t xml:space="preserve">6. </w:t>
      </w:r>
      <w:r>
        <w:rPr>
          <w:color w:val="262626"/>
          <w:sz w:val="21"/>
          <w:szCs w:val="21"/>
        </w:rPr>
        <w:t xml:space="preserve">Diseñe y justifique por escrito el momento (BEFORE/AFTER) y el nivel (ROW/STATEMENT) de su trigger de resguardo.</w:t>
      </w:r>
    </w:p>
    <w:p>
      <w:pPr>
        <w:spacing w:after="100"/>
        <w:ind w:left="400" w:hanging="400"/>
      </w:pPr>
      <w:r>
        <w:rPr>
          <w:b/>
          <w:bCs/>
          <w:color w:val="17375E"/>
          <w:sz w:val="21"/>
          <w:szCs w:val="21"/>
        </w:rPr>
        <w:t xml:space="preserve">7. </w:t>
      </w:r>
      <w:r>
        <w:rPr>
          <w:color w:val="262626"/>
          <w:sz w:val="21"/>
          <w:szCs w:val="21"/>
        </w:rPr>
        <w:t xml:space="preserve">Implemente el trigger, verificando que la regla de negocio de la Sección 5 efectivamente se cumpla.</w:t>
      </w:r>
    </w:p>
    <w:p>
      <w:pPr>
        <w:spacing w:after="100"/>
        <w:ind w:left="400" w:hanging="400"/>
      </w:pPr>
      <w:r>
        <w:rPr>
          <w:b/>
          <w:bCs/>
          <w:color w:val="17375E"/>
          <w:sz w:val="21"/>
          <w:szCs w:val="21"/>
        </w:rPr>
        <w:t xml:space="preserve">8. </w:t>
      </w:r>
      <w:r>
        <w:rPr>
          <w:color w:val="262626"/>
          <w:sz w:val="21"/>
          <w:szCs w:val="21"/>
        </w:rPr>
        <w:t xml:space="preserve">Pruebe cada subprograma de su paquete de forma individual, con al menos un caso que debería tener éxito y uno que debería fallar.</w:t>
      </w:r>
    </w:p>
    <w:p>
      <w:pPr>
        <w:spacing w:after="100"/>
        <w:ind w:left="400" w:hanging="400"/>
      </w:pPr>
      <w:r>
        <w:rPr>
          <w:b/>
          <w:bCs/>
          <w:color w:val="17375E"/>
          <w:sz w:val="21"/>
          <w:szCs w:val="21"/>
        </w:rPr>
        <w:t xml:space="preserve">9. </w:t>
      </w:r>
      <w:r>
        <w:rPr>
          <w:color w:val="262626"/>
          <w:sz w:val="21"/>
          <w:szCs w:val="21"/>
        </w:rPr>
        <w:t xml:space="preserve">Pruebe su trigger intentando, deliberadamente, violar la regla de negocio que protege.</w:t>
      </w:r>
    </w:p>
    <w:p>
      <w:pPr>
        <w:spacing w:after="100"/>
        <w:ind w:left="400" w:hanging="400"/>
      </w:pPr>
      <w:r>
        <w:rPr>
          <w:b/>
          <w:bCs/>
          <w:color w:val="17375E"/>
          <w:sz w:val="21"/>
          <w:szCs w:val="21"/>
        </w:rPr>
        <w:t xml:space="preserve">10. </w:t>
      </w:r>
      <w:r>
        <w:rPr>
          <w:color w:val="262626"/>
          <w:sz w:val="21"/>
          <w:szCs w:val="21"/>
        </w:rPr>
        <w:t xml:space="preserve">Verifique que su paquete y su trigger operan correctamente sobre datos reales ya insertados en el Avance 1, no sobre datos de prueba nuevos y aislados.</w:t>
      </w:r>
    </w:p>
    <w:p>
      <w:pPr>
        <w:spacing w:after="100"/>
        <w:ind w:left="400" w:hanging="400"/>
      </w:pPr>
      <w:r>
        <w:rPr>
          <w:b/>
          <w:bCs/>
          <w:color w:val="17375E"/>
          <w:sz w:val="21"/>
          <w:szCs w:val="21"/>
        </w:rPr>
        <w:t xml:space="preserve">11. </w:t>
      </w:r>
      <w:r>
        <w:rPr>
          <w:color w:val="262626"/>
          <w:sz w:val="21"/>
          <w:szCs w:val="21"/>
        </w:rPr>
        <w:t xml:space="preserve">Redacte el informe final de integración (máximo 5 páginas) explicando cómo su paquete y su trigger automatizan el proceso de negocio del Contexto (Sección 1).</w:t>
      </w:r>
    </w:p>
    <w:p>
      <w:pPr>
        <w:spacing w:after="100"/>
        <w:ind w:left="400" w:hanging="400"/>
      </w:pPr>
      <w:r>
        <w:rPr>
          <w:b/>
          <w:bCs/>
          <w:color w:val="17375E"/>
          <w:sz w:val="21"/>
          <w:szCs w:val="21"/>
        </w:rPr>
        <w:t xml:space="preserve">12. </w:t>
      </w:r>
      <w:r>
        <w:rPr>
          <w:color w:val="262626"/>
          <w:sz w:val="21"/>
          <w:szCs w:val="21"/>
        </w:rPr>
        <w:t xml:space="preserve">Verifique que los nombres de su paquete y su trigger coinciden exactamente con los de la Sección 5.</w:t>
      </w:r>
    </w:p>
    <w:p>
      <w:pPr>
        <w:spacing w:after="100"/>
        <w:ind w:left="400" w:hanging="400"/>
      </w:pPr>
      <w:r>
        <w:rPr>
          <w:b/>
          <w:bCs/>
          <w:color w:val="17375E"/>
          <w:sz w:val="21"/>
          <w:szCs w:val="21"/>
        </w:rPr>
        <w:t xml:space="preserve">13. </w:t>
      </w:r>
      <w:r>
        <w:rPr>
          <w:color w:val="262626"/>
          <w:sz w:val="21"/>
          <w:szCs w:val="21"/>
        </w:rPr>
        <w:t xml:space="preserve">Complete la Lista de Verificación (Sección 9) antes de la entrega.</w:t>
      </w:r>
    </w:p>
    <w:p>
      <w:pPr>
        <w:spacing w:after="100"/>
        <w:ind w:left="400" w:hanging="400"/>
      </w:pPr>
      <w:r>
        <w:rPr>
          <w:b/>
          <w:bCs/>
          <w:color w:val="17375E"/>
          <w:sz w:val="21"/>
          <w:szCs w:val="21"/>
        </w:rPr>
        <w:t xml:space="preserve">14. </w:t>
      </w:r>
      <w:r>
        <w:rPr>
          <w:color w:val="262626"/>
          <w:sz w:val="21"/>
          <w:szCs w:val="21"/>
        </w:rPr>
        <w:t xml:space="preserve">Ensayen la defensa oral: cada integrante debe poder explicar, sin apoyo de sus compañeros, al menos un subprograma o el trigger completo.</w:t>
      </w:r>
    </w:p>
    <w:p>
      <w:pPr>
        <w:pStyle w:val="Heading1"/>
        <w:pBdr>
          <w:bottom w:val="single" w:color="1F4E78" w:sz="6"/>
        </w:pBdr>
        <w:spacing w:after="140" w:before="320"/>
      </w:pPr>
      <w:r>
        <w:rPr>
          <w:b/>
          <w:bCs/>
          <w:color w:val="1F4E78"/>
          <w:sz w:val="26"/>
          <w:szCs w:val="26"/>
        </w:rPr>
        <w:t xml:space="preserve">7. Entregables</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660"/>
      </w:tblGrid>
      <w:tr>
        <w:trPr>
          <w:tblHeader/>
        </w:trPr>
        <w:tc>
          <w:tcPr>
            <w:tcW w:type="dxa" w:w="3600"/>
            <w:tcBorders>
              <w:top w:val="single" w:color="BFBFBF" w:sz="4"/>
              <w:left w:val="single" w:color="BFBFBF" w:sz="4"/>
              <w:bottom w:val="single" w:color="BFBFBF" w:sz="4"/>
              <w:right w:val="single" w:color="BFBFBF" w:sz="4"/>
            </w:tcBorders>
            <w:shd w:fill="1F4E78" w:val="clear"/>
            <w:tcMar>
              <w:top w:type="dxa" w:w="80"/>
              <w:left w:type="dxa" w:w="100"/>
              <w:bottom w:type="dxa" w:w="80"/>
              <w:right w:type="dxa" w:w="100"/>
            </w:tcMar>
            <w:vAlign w:val="center"/>
          </w:tcPr>
          <w:p>
            <w:r>
              <w:rPr>
                <w:b/>
                <w:bCs/>
                <w:color w:val="FFFFFF"/>
                <w:sz w:val="19"/>
                <w:szCs w:val="19"/>
              </w:rPr>
              <w:t xml:space="preserve">Entregable</w:t>
            </w:r>
          </w:p>
        </w:tc>
        <w:tc>
          <w:tcPr>
            <w:tcW w:type="dxa" w:w="3600"/>
            <w:tcBorders>
              <w:top w:val="single" w:color="BFBFBF" w:sz="4"/>
              <w:left w:val="single" w:color="BFBFBF" w:sz="4"/>
              <w:bottom w:val="single" w:color="BFBFBF" w:sz="4"/>
              <w:right w:val="single" w:color="BFBFBF" w:sz="4"/>
            </w:tcBorders>
            <w:shd w:fill="1F4E78" w:val="clear"/>
            <w:tcMar>
              <w:top w:type="dxa" w:w="80"/>
              <w:left w:type="dxa" w:w="100"/>
              <w:bottom w:type="dxa" w:w="80"/>
              <w:right w:type="dxa" w:w="100"/>
            </w:tcMar>
            <w:vAlign w:val="center"/>
          </w:tcPr>
          <w:p>
            <w:r>
              <w:rPr>
                <w:b/>
                <w:bCs/>
                <w:color w:val="FFFFFF"/>
                <w:sz w:val="19"/>
                <w:szCs w:val="19"/>
              </w:rPr>
              <w:t xml:space="preserve">Formato</w:t>
            </w:r>
          </w:p>
        </w:tc>
        <w:tc>
          <w:tcPr>
            <w:tcW w:type="dxa" w:w="2660"/>
            <w:tcBorders>
              <w:top w:val="single" w:color="BFBFBF" w:sz="4"/>
              <w:left w:val="single" w:color="BFBFBF" w:sz="4"/>
              <w:bottom w:val="single" w:color="BFBFBF" w:sz="4"/>
              <w:right w:val="single" w:color="BFBFBF" w:sz="4"/>
            </w:tcBorders>
            <w:shd w:fill="1F4E78" w:val="clear"/>
            <w:tcMar>
              <w:top w:type="dxa" w:w="80"/>
              <w:left w:type="dxa" w:w="100"/>
              <w:bottom w:type="dxa" w:w="80"/>
              <w:right w:type="dxa" w:w="100"/>
            </w:tcMar>
            <w:vAlign w:val="center"/>
          </w:tcPr>
          <w:p>
            <w:r>
              <w:rPr>
                <w:b/>
                <w:bCs/>
                <w:color w:val="FFFFFF"/>
                <w:sz w:val="19"/>
                <w:szCs w:val="19"/>
              </w:rPr>
              <w:t xml:space="preserve">Semana</w:t>
            </w:r>
          </w:p>
        </w:tc>
      </w:tr>
      <w:t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color w:val="262626"/>
                <w:sz w:val="19"/>
                <w:szCs w:val="19"/>
              </w:rPr>
              <w:t xml:space="preserve">Documento breve de diseño del paquete</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color w:val="262626"/>
                <w:sz w:val="19"/>
                <w:szCs w:val="19"/>
              </w:rPr>
              <w:t xml:space="preserve">PDF o documento de texto, máximo 3 páginas</w:t>
            </w:r>
          </w:p>
        </w:tc>
        <w:tc>
          <w:tcPr>
            <w:tcW w:type="dxa" w:w="26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color w:val="262626"/>
                <w:sz w:val="19"/>
                <w:szCs w:val="19"/>
              </w:rPr>
              <w:t xml:space="preserve">Semana 1</w:t>
            </w:r>
          </w:p>
        </w:tc>
      </w:tr>
      <w:t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color w:val="262626"/>
                <w:sz w:val="19"/>
                <w:szCs w:val="19"/>
              </w:rPr>
              <w:t xml:space="preserve">Especificación y cuerpo del paquete, con al menos dos subprogramas probados</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color w:val="262626"/>
                <w:sz w:val="19"/>
                <w:szCs w:val="19"/>
              </w:rPr>
              <w:t xml:space="preserve">Script SQL ejecutado</w:t>
            </w:r>
          </w:p>
        </w:tc>
        <w:tc>
          <w:tcPr>
            <w:tcW w:type="dxa" w:w="26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color w:val="262626"/>
                <w:sz w:val="19"/>
                <w:szCs w:val="19"/>
              </w:rPr>
              <w:t xml:space="preserve">Semana 1</w:t>
            </w:r>
          </w:p>
        </w:tc>
      </w:tr>
      <w:t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color w:val="262626"/>
                <w:sz w:val="19"/>
                <w:szCs w:val="19"/>
              </w:rPr>
              <w:t xml:space="preserve">Trigger de resguardo implementado y probado (caso exitoso y caso de violación)</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color w:val="262626"/>
                <w:sz w:val="19"/>
                <w:szCs w:val="19"/>
              </w:rPr>
              <w:t xml:space="preserve">Script SQL ejecutado + capturas de ambas pruebas</w:t>
            </w:r>
          </w:p>
        </w:tc>
        <w:tc>
          <w:tcPr>
            <w:tcW w:type="dxa" w:w="26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color w:val="262626"/>
                <w:sz w:val="19"/>
                <w:szCs w:val="19"/>
              </w:rPr>
              <w:t xml:space="preserve">Semana 2</w:t>
            </w:r>
          </w:p>
        </w:tc>
      </w:tr>
      <w:t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color w:val="262626"/>
                <w:sz w:val="19"/>
                <w:szCs w:val="19"/>
              </w:rPr>
              <w:t xml:space="preserve">Verificación de integración con datos reales del Avance 1</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color w:val="262626"/>
                <w:sz w:val="19"/>
                <w:szCs w:val="19"/>
              </w:rPr>
              <w:t xml:space="preserve">Script SQL ejecutado</w:t>
            </w:r>
          </w:p>
        </w:tc>
        <w:tc>
          <w:tcPr>
            <w:tcW w:type="dxa" w:w="26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color w:val="262626"/>
                <w:sz w:val="19"/>
                <w:szCs w:val="19"/>
              </w:rPr>
              <w:t xml:space="preserve">Semana 2</w:t>
            </w:r>
          </w:p>
        </w:tc>
      </w:tr>
      <w:t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color w:val="262626"/>
                <w:sz w:val="19"/>
                <w:szCs w:val="19"/>
              </w:rPr>
              <w:t xml:space="preserve">Informe final de integración</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color w:val="262626"/>
                <w:sz w:val="19"/>
                <w:szCs w:val="19"/>
              </w:rPr>
              <w:t xml:space="preserve">Documento (máx. 5 páginas)</w:t>
            </w:r>
          </w:p>
        </w:tc>
        <w:tc>
          <w:tcPr>
            <w:tcW w:type="dxa" w:w="26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color w:val="262626"/>
                <w:sz w:val="19"/>
                <w:szCs w:val="19"/>
              </w:rPr>
              <w:t xml:space="preserve">Semana 3</w:t>
            </w:r>
          </w:p>
        </w:tc>
      </w:tr>
      <w:t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color w:val="262626"/>
                <w:sz w:val="19"/>
                <w:szCs w:val="19"/>
              </w:rPr>
              <w:t xml:space="preserve">Defensa oral</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color w:val="262626"/>
                <w:sz w:val="19"/>
                <w:szCs w:val="19"/>
              </w:rPr>
              <w:t xml:space="preserve">Presentación de 10 a 15 minutos, con preguntas individuales</w:t>
            </w:r>
          </w:p>
        </w:tc>
        <w:tc>
          <w:tcPr>
            <w:tcW w:type="dxa" w:w="26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color w:val="262626"/>
                <w:sz w:val="19"/>
                <w:szCs w:val="19"/>
              </w:rPr>
              <w:t xml:space="preserve">Semana 3 (Encuentro 22)</w:t>
            </w:r>
          </w:p>
        </w:tc>
      </w:tr>
    </w:tbl>
    <w:p>
      <w:pPr>
        <w:pStyle w:val="Heading1"/>
        <w:pBdr>
          <w:bottom w:val="single" w:color="1F4E78" w:sz="6"/>
        </w:pBdr>
        <w:spacing w:after="140" w:before="320"/>
      </w:pPr>
      <w:r>
        <w:rPr>
          <w:b/>
          <w:bCs/>
          <w:color w:val="1F4E78"/>
          <w:sz w:val="26"/>
          <w:szCs w:val="26"/>
        </w:rPr>
        <w:t xml:space="preserve">8. Cronograma (Tres Semanas)</w:t>
      </w:r>
    </w:p>
    <w:p>
      <w:pPr>
        <w:spacing w:after="160"/>
      </w:pPr>
      <w:r>
        <w:rPr>
          <w:color w:val="262626"/>
          <w:sz w:val="21"/>
          <w:szCs w:val="21"/>
        </w:rPr>
        <w:t xml:space="preserve">Este cronograma se distribuye en paralelo a los encuentros de la Unidad 2 ya aprobados, sin modificarlos.</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860"/>
      </w:tblGrid>
      <w:tr>
        <w:trPr>
          <w:tblHeader/>
        </w:trPr>
        <w:tc>
          <w:tcPr>
            <w:tcW w:type="dxa" w:w="1800"/>
            <w:tcBorders>
              <w:top w:val="single" w:color="BFBFBF" w:sz="4"/>
              <w:left w:val="single" w:color="BFBFBF" w:sz="4"/>
              <w:bottom w:val="single" w:color="BFBFBF" w:sz="4"/>
              <w:right w:val="single" w:color="BFBFBF" w:sz="4"/>
            </w:tcBorders>
            <w:shd w:fill="1F4E78" w:val="clear"/>
            <w:tcMar>
              <w:top w:type="dxa" w:w="80"/>
              <w:left w:type="dxa" w:w="100"/>
              <w:bottom w:type="dxa" w:w="80"/>
              <w:right w:type="dxa" w:w="100"/>
            </w:tcMar>
            <w:vAlign w:val="center"/>
          </w:tcPr>
          <w:p>
            <w:r>
              <w:rPr>
                <w:b/>
                <w:bCs/>
                <w:color w:val="FFFFFF"/>
                <w:sz w:val="19"/>
                <w:szCs w:val="19"/>
              </w:rPr>
              <w:t xml:space="preserve">Semana</w:t>
            </w:r>
          </w:p>
        </w:tc>
        <w:tc>
          <w:tcPr>
            <w:tcW w:type="dxa" w:w="3200"/>
            <w:tcBorders>
              <w:top w:val="single" w:color="BFBFBF" w:sz="4"/>
              <w:left w:val="single" w:color="BFBFBF" w:sz="4"/>
              <w:bottom w:val="single" w:color="BFBFBF" w:sz="4"/>
              <w:right w:val="single" w:color="BFBFBF" w:sz="4"/>
            </w:tcBorders>
            <w:shd w:fill="1F4E78" w:val="clear"/>
            <w:tcMar>
              <w:top w:type="dxa" w:w="80"/>
              <w:left w:type="dxa" w:w="100"/>
              <w:bottom w:type="dxa" w:w="80"/>
              <w:right w:type="dxa" w:w="100"/>
            </w:tcMar>
            <w:vAlign w:val="center"/>
          </w:tcPr>
          <w:p>
            <w:r>
              <w:rPr>
                <w:b/>
                <w:bCs/>
                <w:color w:val="FFFFFF"/>
                <w:sz w:val="19"/>
                <w:szCs w:val="19"/>
              </w:rPr>
              <w:t xml:space="preserve">Encuentros en paralelo</w:t>
            </w:r>
          </w:p>
        </w:tc>
        <w:tc>
          <w:tcPr>
            <w:tcW w:type="dxa" w:w="4860"/>
            <w:tcBorders>
              <w:top w:val="single" w:color="BFBFBF" w:sz="4"/>
              <w:left w:val="single" w:color="BFBFBF" w:sz="4"/>
              <w:bottom w:val="single" w:color="BFBFBF" w:sz="4"/>
              <w:right w:val="single" w:color="BFBFBF" w:sz="4"/>
            </w:tcBorders>
            <w:shd w:fill="1F4E78" w:val="clear"/>
            <w:tcMar>
              <w:top w:type="dxa" w:w="80"/>
              <w:left w:type="dxa" w:w="100"/>
              <w:bottom w:type="dxa" w:w="80"/>
              <w:right w:type="dxa" w:w="100"/>
            </w:tcMar>
            <w:vAlign w:val="center"/>
          </w:tcPr>
          <w:p>
            <w:r>
              <w:rPr>
                <w:b/>
                <w:bCs/>
                <w:color w:val="FFFFFF"/>
                <w:sz w:val="19"/>
                <w:szCs w:val="19"/>
              </w:rPr>
              <w:t xml:space="preserve">Hito</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color w:val="262626"/>
                <w:sz w:val="19"/>
                <w:szCs w:val="19"/>
              </w:rPr>
              <w:t xml:space="preserve">Semana 1</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color w:val="262626"/>
                <w:sz w:val="19"/>
                <w:szCs w:val="19"/>
              </w:rPr>
              <w:t xml:space="preserve">Encuentros 13, 14 y 15</w:t>
            </w:r>
          </w:p>
        </w:tc>
        <w:tc>
          <w:tcPr>
            <w:tcW w:type="dxa" w:w="48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color w:val="262626"/>
                <w:sz w:val="19"/>
                <w:szCs w:val="19"/>
              </w:rPr>
              <w:t xml:space="preserve">Especificación del paquete y al menos un subprograma funcional</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color w:val="262626"/>
                <w:sz w:val="19"/>
                <w:szCs w:val="19"/>
              </w:rPr>
              <w:t xml:space="preserve">Semana 2</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color w:val="262626"/>
                <w:sz w:val="19"/>
                <w:szCs w:val="19"/>
              </w:rPr>
              <w:t xml:space="preserve">Encuentros 16, 17 y 18</w:t>
            </w:r>
          </w:p>
        </w:tc>
        <w:tc>
          <w:tcPr>
            <w:tcW w:type="dxa" w:w="48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color w:val="262626"/>
                <w:sz w:val="19"/>
                <w:szCs w:val="19"/>
              </w:rPr>
              <w:t xml:space="preserve">Paquete completo y trigger implementados y probados</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color w:val="262626"/>
                <w:sz w:val="19"/>
                <w:szCs w:val="19"/>
              </w:rPr>
              <w:t xml:space="preserve">Semana 3</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color w:val="262626"/>
                <w:sz w:val="19"/>
                <w:szCs w:val="19"/>
              </w:rPr>
              <w:t xml:space="preserve">Encuentros 19 a 22</w:t>
            </w:r>
          </w:p>
        </w:tc>
        <w:tc>
          <w:tcPr>
            <w:tcW w:type="dxa" w:w="48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color w:val="262626"/>
                <w:sz w:val="19"/>
                <w:szCs w:val="19"/>
              </w:rPr>
              <w:t xml:space="preserve">Integración final, informe, y defensa oral ante el comité docente (Encuentro 22)</w:t>
            </w:r>
          </w:p>
        </w:tc>
      </w:tr>
    </w:tbl>
    <w:p>
      <w:pPr>
        <w:pStyle w:val="Heading1"/>
        <w:pBdr>
          <w:bottom w:val="single" w:color="1F4E78" w:sz="6"/>
        </w:pBdr>
        <w:spacing w:after="140" w:before="320"/>
      </w:pPr>
      <w:r>
        <w:rPr>
          <w:b/>
          <w:bCs/>
          <w:color w:val="1F4E78"/>
          <w:sz w:val="26"/>
          <w:szCs w:val="26"/>
        </w:rPr>
        <w:t xml:space="preserve">9. Lista de Verificación (Definition of Done)</w:t>
      </w:r>
    </w:p>
    <w:p>
      <w:pPr>
        <w:spacing w:after="160"/>
      </w:pPr>
      <w:r>
        <w:rPr>
          <w:color w:val="262626"/>
          <w:sz w:val="21"/>
          <w:szCs w:val="21"/>
        </w:rPr>
        <w:t xml:space="preserve">Su equipo solo debe presentarse a la defensa (Encuentro 22) si puede marcar afirmativamente cada uno de los siguientes puntos.</w:t>
      </w:r>
    </w:p>
    <w:p>
      <w:pPr>
        <w:pStyle w:val="ListParagraph"/>
        <w:numPr>
          <w:ilvl w:val="0"/>
          <w:numId w:val="1"/>
        </w:numPr>
        <w:spacing w:after="100"/>
      </w:pPr>
      <w:r>
        <w:rPr>
          <w:color w:val="262626"/>
          <w:sz w:val="21"/>
          <w:szCs w:val="21"/>
        </w:rPr>
        <w:t xml:space="preserve">☐ El paquete PKG_GESTION_MATRICULAS incluye la especificación y el cuerpo, con los subprogramas: matricular, dar_de_baja, calcular_avance.</w:t>
      </w:r>
    </w:p>
    <w:p>
      <w:pPr>
        <w:pStyle w:val="ListParagraph"/>
        <w:numPr>
          <w:ilvl w:val="0"/>
          <w:numId w:val="1"/>
        </w:numPr>
        <w:spacing w:after="100"/>
      </w:pPr>
      <w:r>
        <w:rPr>
          <w:color w:val="262626"/>
          <w:sz w:val="21"/>
          <w:szCs w:val="21"/>
        </w:rPr>
        <w:t xml:space="preserve">☐ Al menos un subprograma maneja explícitamente una excepción (predefinida o propia).</w:t>
      </w:r>
    </w:p>
    <w:p>
      <w:pPr>
        <w:pStyle w:val="ListParagraph"/>
        <w:numPr>
          <w:ilvl w:val="0"/>
          <w:numId w:val="1"/>
        </w:numPr>
        <w:spacing w:after="100"/>
      </w:pPr>
      <w:r>
        <w:rPr>
          <w:color w:val="262626"/>
          <w:sz w:val="21"/>
          <w:szCs w:val="21"/>
        </w:rPr>
        <w:t xml:space="preserve">☐ El trigger TRG_VALIDA_CUPO_CURSO está implementado y su evento/momento (BEFORE/AFTER, ROW/STATEMENT) está justificado por escrito.</w:t>
      </w:r>
    </w:p>
    <w:p>
      <w:pPr>
        <w:pStyle w:val="ListParagraph"/>
        <w:numPr>
          <w:ilvl w:val="0"/>
          <w:numId w:val="1"/>
        </w:numPr>
        <w:spacing w:after="100"/>
      </w:pPr>
      <w:r>
        <w:rPr>
          <w:color w:val="262626"/>
          <w:sz w:val="21"/>
          <w:szCs w:val="21"/>
        </w:rPr>
        <w:t xml:space="preserve">☐ El trigger fue probado con un caso que viola la regla de negocio, demostrando que efectivamente la impide.</w:t>
      </w:r>
    </w:p>
    <w:p>
      <w:pPr>
        <w:pStyle w:val="ListParagraph"/>
        <w:numPr>
          <w:ilvl w:val="0"/>
          <w:numId w:val="1"/>
        </w:numPr>
        <w:spacing w:after="100"/>
      </w:pPr>
      <w:r>
        <w:rPr>
          <w:color w:val="262626"/>
          <w:sz w:val="21"/>
          <w:szCs w:val="21"/>
        </w:rPr>
        <w:t xml:space="preserve">☐ El paquete y el trigger operan sobre el esquema real del Avance 1, sin haberlo modificado.</w:t>
      </w:r>
    </w:p>
    <w:p>
      <w:pPr>
        <w:pStyle w:val="ListParagraph"/>
        <w:numPr>
          <w:ilvl w:val="0"/>
          <w:numId w:val="1"/>
        </w:numPr>
        <w:spacing w:after="100"/>
      </w:pPr>
      <w:r>
        <w:rPr>
          <w:color w:val="262626"/>
          <w:sz w:val="21"/>
          <w:szCs w:val="21"/>
        </w:rPr>
        <w:t xml:space="preserve">☐ El documento breve de diseño fue entregado en la Semana 1 y refleja el trabajo realmente implementado.</w:t>
      </w:r>
    </w:p>
    <w:p>
      <w:pPr>
        <w:pStyle w:val="ListParagraph"/>
        <w:numPr>
          <w:ilvl w:val="0"/>
          <w:numId w:val="1"/>
        </w:numPr>
        <w:spacing w:after="100"/>
      </w:pPr>
      <w:r>
        <w:rPr>
          <w:color w:val="262626"/>
          <w:sz w:val="21"/>
          <w:szCs w:val="21"/>
        </w:rPr>
        <w:t xml:space="preserve">☐ El informe final de integración explica con claridad cómo el paquete y el trigger resuelven la Pregunta Rectora.</w:t>
      </w:r>
    </w:p>
    <w:p>
      <w:pPr>
        <w:pStyle w:val="ListParagraph"/>
        <w:numPr>
          <w:ilvl w:val="0"/>
          <w:numId w:val="1"/>
        </w:numPr>
        <w:spacing w:after="100"/>
      </w:pPr>
      <w:r>
        <w:rPr>
          <w:color w:val="262626"/>
          <w:sz w:val="21"/>
          <w:szCs w:val="21"/>
        </w:rPr>
        <w:t xml:space="preserve">☐ Cada integrante del equipo puede explicar, sin apoyo de sus compañeros, al menos un subprograma o el trigger completo.</w:t>
      </w:r>
    </w:p>
    <w:p>
      <w:pPr>
        <w:pStyle w:val="ListParagraph"/>
        <w:numPr>
          <w:ilvl w:val="0"/>
          <w:numId w:val="1"/>
        </w:numPr>
        <w:spacing w:after="100"/>
      </w:pPr>
      <w:r>
        <w:rPr>
          <w:color w:val="262626"/>
          <w:sz w:val="21"/>
          <w:szCs w:val="21"/>
        </w:rPr>
        <w:t xml:space="preserve">☐ Los nombres del paquete y el trigger siguen exactamente los indicados en la Sección 5 de esta guía.</w:t>
      </w:r>
    </w:p>
    <w:p>
      <w:pPr>
        <w:pStyle w:val="ListParagraph"/>
        <w:numPr>
          <w:ilvl w:val="0"/>
          <w:numId w:val="1"/>
        </w:numPr>
        <w:spacing w:after="100"/>
      </w:pPr>
      <w:r>
        <w:rPr>
          <w:color w:val="262626"/>
          <w:sz w:val="21"/>
          <w:szCs w:val="21"/>
        </w:rPr>
        <w:t xml:space="preserve">☐ El script fue versionado en el repositorio Git del equipo antes de la fecha de entrega.</w:t>
      </w:r>
    </w:p>
    <w:p>
      <w:pPr>
        <w:pStyle w:val="Heading1"/>
        <w:pBdr>
          <w:bottom w:val="single" w:color="1F4E78" w:sz="6"/>
        </w:pBdr>
        <w:spacing w:after="140" w:before="320"/>
      </w:pPr>
      <w:r>
        <w:rPr>
          <w:b/>
          <w:bCs/>
          <w:color w:val="1F4E78"/>
          <w:sz w:val="26"/>
          <w:szCs w:val="26"/>
        </w:rPr>
        <w:t xml:space="preserve">10. Preguntas para la Defensa</w:t>
      </w:r>
    </w:p>
    <w:p>
      <w:pPr>
        <w:spacing w:after="160"/>
      </w:pPr>
      <w:r>
        <w:rPr>
          <w:color w:val="262626"/>
          <w:sz w:val="21"/>
          <w:szCs w:val="21"/>
        </w:rPr>
        <w:t xml:space="preserve">El comité docente formula, como mínimo, una pregunta individual a cada integrante del equipo durante la defensa oral.</w:t>
      </w:r>
    </w:p>
    <w:p>
      <w:pPr>
        <w:spacing w:after="100"/>
        <w:ind w:left="400" w:hanging="400"/>
      </w:pPr>
      <w:r>
        <w:rPr>
          <w:b/>
          <w:bCs/>
          <w:color w:val="17375E"/>
          <w:sz w:val="21"/>
          <w:szCs w:val="21"/>
        </w:rPr>
        <w:t xml:space="preserve">1. </w:t>
      </w:r>
      <w:r>
        <w:rPr>
          <w:color w:val="262626"/>
          <w:sz w:val="21"/>
          <w:szCs w:val="21"/>
        </w:rPr>
        <w:t xml:space="preserve">¿Por qué su paquete PKG_GESTION_MATRICULAS agrupa esos subprogramas específicos, y no los dividió en paquetes separados?</w:t>
      </w:r>
    </w:p>
    <w:p>
      <w:pPr>
        <w:spacing w:after="100"/>
        <w:ind w:left="400" w:hanging="400"/>
      </w:pPr>
      <w:r>
        <w:rPr>
          <w:b/>
          <w:bCs/>
          <w:color w:val="17375E"/>
          <w:sz w:val="21"/>
          <w:szCs w:val="21"/>
        </w:rPr>
        <w:t xml:space="preserve">2. </w:t>
      </w:r>
      <w:r>
        <w:rPr>
          <w:color w:val="262626"/>
          <w:sz w:val="21"/>
          <w:szCs w:val="21"/>
        </w:rPr>
        <w:t xml:space="preserve">Explique la excepción manejada en su subprograma: ¿qué situación real la dispara, y qué pasaría si no existiera ese manejo?</w:t>
      </w:r>
    </w:p>
    <w:p>
      <w:pPr>
        <w:spacing w:after="100"/>
        <w:ind w:left="400" w:hanging="400"/>
      </w:pPr>
      <w:r>
        <w:rPr>
          <w:b/>
          <w:bCs/>
          <w:color w:val="17375E"/>
          <w:sz w:val="21"/>
          <w:szCs w:val="21"/>
        </w:rPr>
        <w:t xml:space="preserve">3. </w:t>
      </w:r>
      <w:r>
        <w:rPr>
          <w:color w:val="262626"/>
          <w:sz w:val="21"/>
          <w:szCs w:val="21"/>
        </w:rPr>
        <w:t xml:space="preserve">Demuestre en vivo, ante el comité, la ejecución de su trigger TRG_VALIDA_CUPO_CURSO intentando violar la regla que protege.</w:t>
      </w:r>
    </w:p>
    <w:p>
      <w:pPr>
        <w:spacing w:after="100"/>
        <w:ind w:left="400" w:hanging="400"/>
      </w:pPr>
      <w:r>
        <w:rPr>
          <w:b/>
          <w:bCs/>
          <w:color w:val="17375E"/>
          <w:sz w:val="21"/>
          <w:szCs w:val="21"/>
        </w:rPr>
        <w:t xml:space="preserve">4. </w:t>
      </w:r>
      <w:r>
        <w:rPr>
          <w:color w:val="262626"/>
          <w:sz w:val="21"/>
          <w:szCs w:val="21"/>
        </w:rPr>
        <w:t xml:space="preserve">¿Por qué su trigger es BEFORE o AFTER? ¿Qué pasaría si fuera el otro?</w:t>
      </w:r>
    </w:p>
    <w:p>
      <w:pPr>
        <w:spacing w:after="100"/>
        <w:ind w:left="400" w:hanging="400"/>
      </w:pPr>
      <w:r>
        <w:rPr>
          <w:b/>
          <w:bCs/>
          <w:color w:val="17375E"/>
          <w:sz w:val="21"/>
          <w:szCs w:val="21"/>
        </w:rPr>
        <w:t xml:space="preserve">5. </w:t>
      </w:r>
      <w:r>
        <w:rPr>
          <w:color w:val="262626"/>
          <w:sz w:val="21"/>
          <w:szCs w:val="21"/>
        </w:rPr>
        <w:t xml:space="preserve">¿Por qué su trigger es FOR EACH ROW o a nivel de sentencia, y no de la otra forma?</w:t>
      </w:r>
    </w:p>
    <w:p>
      <w:pPr>
        <w:spacing w:after="100"/>
        <w:ind w:left="400" w:hanging="400"/>
      </w:pPr>
      <w:r>
        <w:rPr>
          <w:b/>
          <w:bCs/>
          <w:color w:val="17375E"/>
          <w:sz w:val="21"/>
          <w:szCs w:val="21"/>
        </w:rPr>
        <w:t xml:space="preserve">6. </w:t>
      </w:r>
      <w:r>
        <w:rPr>
          <w:color w:val="262626"/>
          <w:sz w:val="21"/>
          <w:szCs w:val="21"/>
        </w:rPr>
        <w:t xml:space="preserve">(Pregunta individual, distinta para cada integrante) Explique, en sus propias palabras, la parte específica de este avance que usted implementó directamente.</w:t>
      </w:r>
    </w:p>
    <w:sectPr>
      <w:headerReference w:type="default" r:id="rId7"/>
      <w:footerReference w:type="default" r:id="rId8"/>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8" w:sz="6"/>
      </w:pBdr>
    </w:pPr>
    <w:r>
      <w:rPr>
        <w:color w:val="595959"/>
        <w:sz w:val="16"/>
        <w:szCs w:val="16"/>
      </w:rPr>
      <w:t xml:space="preserve">FMGM-IA · Base de Datos III (BDD3T4) · Guía de Trabajo Avance 2 — Grupo 3: EduConecta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BD71E61DC5B9247B8AA87B32ACF817F" ma:contentTypeVersion="3" ma:contentTypeDescription="Crear nuevo documento." ma:contentTypeScope="" ma:versionID="330ff8ffeedb48ae57982460d87a32e4">
  <xsd:schema xmlns:xsd="http://www.w3.org/2001/XMLSchema" xmlns:xs="http://www.w3.org/2001/XMLSchema" xmlns:p="http://schemas.microsoft.com/office/2006/metadata/properties" xmlns:ns2="04160846-8a5d-4450-88c9-e88f324929cf" targetNamespace="http://schemas.microsoft.com/office/2006/metadata/properties" ma:root="true" ma:fieldsID="01c44f28f1461c404d675fefb0a4486b" ns2:_="">
    <xsd:import namespace="04160846-8a5d-4450-88c9-e88f324929c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160846-8a5d-4450-88c9-e88f324929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9DA5F5C-96CE-4909-933B-259753A40893}"/>
</file>

<file path=customXml/itemProps2.xml><?xml version="1.0" encoding="utf-8"?>
<ds:datastoreItem xmlns:ds="http://schemas.openxmlformats.org/officeDocument/2006/customXml" ds:itemID="{03D5C41B-77E2-4C76-AC8B-0768307E51B7}"/>
</file>

<file path=customXml/itemProps3.xml><?xml version="1.0" encoding="utf-8"?>
<ds:datastoreItem xmlns:ds="http://schemas.openxmlformats.org/officeDocument/2006/customXml" ds:itemID="{EE89FE30-2B8F-4E3E-8AC6-08CAF949962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2026-09-09T02:22:40Z</dcterms:created>
  <dcterms:modified xsi:type="dcterms:W3CDTF">2026-09-09T02:22:40Z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0x0101006BD71E61DC5B9247B8AA87B32ACF817F</vt:lpwstr>
  </property>
</Properties>
</file>