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DAF4CB" w14:textId="77777777" w:rsidR="00523B73" w:rsidRDefault="00523B73" w:rsidP="00523B73">
      <w:r>
        <w:t>Group - A099</w:t>
      </w:r>
    </w:p>
    <w:p w14:paraId="55EE0190" w14:textId="77777777" w:rsidR="00523B73" w:rsidRDefault="00523B73" w:rsidP="00523B73">
      <w:r>
        <w:t>Dataset – DS003</w:t>
      </w:r>
    </w:p>
    <w:p w14:paraId="26BEC7C8" w14:textId="77777777" w:rsidR="00523B73" w:rsidRDefault="00523B73" w:rsidP="00523B73"/>
    <w:p w14:paraId="00030EAA" w14:textId="38956D94" w:rsidR="00523B73" w:rsidRDefault="00523B73" w:rsidP="00523B73">
      <w:r>
        <w:t xml:space="preserve">We are using the Histogram, a graphical method to check for normalcy of our dependent variable </w:t>
      </w:r>
      <w:r w:rsidRPr="00523B73">
        <w:rPr>
          <w:b/>
          <w:bCs/>
        </w:rPr>
        <w:t>P</w:t>
      </w:r>
      <w:r w:rsidRPr="00523B73">
        <w:rPr>
          <w:b/>
          <w:bCs/>
        </w:rPr>
        <w:t>rices</w:t>
      </w:r>
      <w:r>
        <w:t xml:space="preserve"> </w:t>
      </w:r>
      <w:r>
        <w:t>of housing units in United States of America.</w:t>
      </w:r>
    </w:p>
    <w:p w14:paraId="05DF6112" w14:textId="68693C74" w:rsidR="00A7125D" w:rsidRDefault="00EE7846">
      <w:r>
        <w:rPr>
          <w:noProof/>
        </w:rPr>
        <w:drawing>
          <wp:inline distT="0" distB="0" distL="0" distR="0" wp14:anchorId="7C04EDA7" wp14:editId="0E992875">
            <wp:extent cx="5727700" cy="3771900"/>
            <wp:effectExtent l="0" t="0" r="6350" b="0"/>
            <wp:docPr id="84030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D8D59" w14:textId="77777777" w:rsidR="00523B73" w:rsidRDefault="00523B73"/>
    <w:p w14:paraId="36A83A89" w14:textId="44ADF5A9" w:rsidR="006A3E6C" w:rsidRDefault="00523B73">
      <w:r>
        <w:t>As shown on the above figure, t</w:t>
      </w:r>
      <w:r w:rsidR="007860F9">
        <w:t xml:space="preserve">he normal curve overlay does not follow the shape of the underlying data. Therefore, on our analysis, we would </w:t>
      </w:r>
      <w:r w:rsidR="00670176">
        <w:t>use</w:t>
      </w:r>
      <w:r w:rsidR="007860F9">
        <w:t xml:space="preserve"> the </w:t>
      </w:r>
      <w:r w:rsidR="007860F9" w:rsidRPr="007860F9">
        <w:rPr>
          <w:b/>
          <w:bCs/>
        </w:rPr>
        <w:t>Spearman’s Rho test</w:t>
      </w:r>
      <w:r w:rsidR="007860F9">
        <w:t>, a non-parametric test for correlation (where it does not assume normality).</w:t>
      </w:r>
    </w:p>
    <w:p w14:paraId="0DDB3C76" w14:textId="60B63CC5" w:rsidR="007860F9" w:rsidRDefault="007860F9">
      <w:r>
        <w:t xml:space="preserve">On the Spearman’s Rho, our </w:t>
      </w:r>
      <w:r w:rsidR="00523B73">
        <w:t>chosen variables in our dataset</w:t>
      </w:r>
      <w:r w:rsidR="00670176">
        <w:t>,</w:t>
      </w:r>
      <w:r>
        <w:t xml:space="preserve"> will be ranked then analysed</w:t>
      </w:r>
      <w:r w:rsidR="00523B73">
        <w:t>, to check if there is correlation; to confirm our null hypothesis or not</w:t>
      </w:r>
      <w:r>
        <w:t>.</w:t>
      </w:r>
    </w:p>
    <w:sectPr w:rsidR="00786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F08"/>
    <w:rsid w:val="003672EF"/>
    <w:rsid w:val="00523B73"/>
    <w:rsid w:val="00670176"/>
    <w:rsid w:val="006733EB"/>
    <w:rsid w:val="006A3E6C"/>
    <w:rsid w:val="007860F9"/>
    <w:rsid w:val="009A1F08"/>
    <w:rsid w:val="00A06E01"/>
    <w:rsid w:val="00A7125D"/>
    <w:rsid w:val="00EE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E066C"/>
  <w15:chartTrackingRefBased/>
  <w15:docId w15:val="{ACD65C98-D5D2-42BC-A6DC-2C7F9C50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Yelekachi Aleruchi Williams [Student-PECS]</dc:creator>
  <cp:keywords/>
  <dc:description/>
  <cp:lastModifiedBy>Daniel Yelekachi Aleruchi Williams [Student-PECS]</cp:lastModifiedBy>
  <cp:revision>2</cp:revision>
  <dcterms:created xsi:type="dcterms:W3CDTF">2024-11-23T12:09:00Z</dcterms:created>
  <dcterms:modified xsi:type="dcterms:W3CDTF">2024-11-23T12:52:00Z</dcterms:modified>
</cp:coreProperties>
</file>