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F32C4" w14:textId="22E28948" w:rsidR="00A7125D" w:rsidRDefault="000C0F3A">
      <w:r>
        <w:t xml:space="preserve">2. Background research </w:t>
      </w:r>
    </w:p>
    <w:p w14:paraId="4E3D38F9" w14:textId="439DB8B0" w:rsidR="000C0F3A" w:rsidRDefault="000C0F3A">
      <w:r>
        <w:t>2.1 Research papers</w:t>
      </w:r>
    </w:p>
    <w:p w14:paraId="1BE6C173" w14:textId="52441BC6" w:rsidR="000C0F3A" w:rsidRDefault="000C0F3A">
      <w:r w:rsidRPr="000C0F3A">
        <w:t xml:space="preserve">Several studies have explored the relationship between housing prices and various factors. Smith (2020) conducted a comprehensive study </w:t>
      </w:r>
      <w:r w:rsidR="00C148D5">
        <w:t>of</w:t>
      </w:r>
      <w:r w:rsidRPr="000C0F3A">
        <w:t xml:space="preserve"> factors affecting housing prices, highlighting the importance of</w:t>
      </w:r>
      <w:r w:rsidR="00BF4352">
        <w:t xml:space="preserve"> the property size, that is</w:t>
      </w:r>
      <w:r w:rsidRPr="000C0F3A">
        <w:t xml:space="preserve"> area as a significant variable. Johnson and Wang (2019) focused on the impact of location on housing prices, emphasizing that larger homes in desirable areas typically command higher prices. Furthermore, Davis (2021) reviewed predictive </w:t>
      </w:r>
      <w:proofErr w:type="spellStart"/>
      <w:r w:rsidR="00BF4352">
        <w:t>modeling</w:t>
      </w:r>
      <w:proofErr w:type="spellEnd"/>
      <w:r w:rsidRPr="000C0F3A">
        <w:t xml:space="preserve"> techniques in real estate, underscoring the relevance of area</w:t>
      </w:r>
      <w:r w:rsidR="00BC5DF9">
        <w:t>,</w:t>
      </w:r>
      <w:r w:rsidRPr="000C0F3A">
        <w:t xml:space="preserve"> and other characteristics in forecasting housing prices.</w:t>
      </w:r>
      <w:r w:rsidR="00BF4352">
        <w:t xml:space="preserve"> </w:t>
      </w:r>
      <w:proofErr w:type="spellStart"/>
      <w:r w:rsidR="00987C32">
        <w:t>Burinskiene</w:t>
      </w:r>
      <w:proofErr w:type="spellEnd"/>
      <w:r w:rsidR="00987C32">
        <w:t xml:space="preserve"> </w:t>
      </w:r>
      <w:sdt>
        <w:sdtPr>
          <w:id w:val="-1055392500"/>
          <w:citation/>
        </w:sdtPr>
        <w:sdtContent>
          <w:r w:rsidR="00987C32">
            <w:fldChar w:fldCharType="begin"/>
          </w:r>
          <w:r w:rsidR="009B74BB">
            <w:instrText xml:space="preserve">CITATION Mar111 \n  \l 2057 </w:instrText>
          </w:r>
          <w:r w:rsidR="00987C32">
            <w:fldChar w:fldCharType="separate"/>
          </w:r>
          <w:r w:rsidR="009B74BB" w:rsidRPr="009B74BB">
            <w:rPr>
              <w:noProof/>
            </w:rPr>
            <w:t>(2011)</w:t>
          </w:r>
          <w:r w:rsidR="00987C32">
            <w:fldChar w:fldCharType="end"/>
          </w:r>
        </w:sdtContent>
      </w:sdt>
      <w:r w:rsidR="009B74BB">
        <w:t xml:space="preserve"> reviewed global analysis of factors that have effects on the real estate market and pricing </w:t>
      </w:r>
      <w:r w:rsidR="00B60E2F">
        <w:t>based</w:t>
      </w:r>
      <w:r w:rsidR="009B74BB">
        <w:t xml:space="preserve"> on Lithuania’s market development between 2000 and 2009</w:t>
      </w:r>
      <w:r w:rsidR="003102FD">
        <w:t xml:space="preserve">, where </w:t>
      </w:r>
      <w:r w:rsidR="00116CA9">
        <w:t xml:space="preserve">related </w:t>
      </w:r>
      <w:r w:rsidR="003102FD">
        <w:t xml:space="preserve">factors were grouped </w:t>
      </w:r>
      <w:r w:rsidR="00116CA9">
        <w:t xml:space="preserve">and the review includes other </w:t>
      </w:r>
      <w:r w:rsidR="00BC5DF9">
        <w:t>size-related</w:t>
      </w:r>
      <w:r w:rsidR="00116CA9">
        <w:t xml:space="preserve"> factors </w:t>
      </w:r>
      <w:r w:rsidR="00BC5DF9">
        <w:t>that share similarities with the housing dataset, number of stories, number of rooms, kitchen area, and total useful area.</w:t>
      </w:r>
      <w:r w:rsidR="00B60E2F">
        <w:t xml:space="preserve"> Similarly but with multiple scales; Cunha</w:t>
      </w:r>
      <w:r w:rsidR="00BC5DF9">
        <w:t xml:space="preserve"> </w:t>
      </w:r>
      <w:sdt>
        <w:sdtPr>
          <w:id w:val="-100183124"/>
          <w:citation/>
        </w:sdtPr>
        <w:sdtContent>
          <w:r w:rsidR="00335A3D">
            <w:fldChar w:fldCharType="begin"/>
          </w:r>
          <w:r w:rsidR="00B60E2F">
            <w:instrText xml:space="preserve">CITATION Ant21 \n  \l 2057 </w:instrText>
          </w:r>
          <w:r w:rsidR="00335A3D">
            <w:fldChar w:fldCharType="separate"/>
          </w:r>
          <w:r w:rsidR="00B60E2F" w:rsidRPr="00B60E2F">
            <w:rPr>
              <w:noProof/>
            </w:rPr>
            <w:t>(2021)</w:t>
          </w:r>
          <w:r w:rsidR="00335A3D">
            <w:fldChar w:fldCharType="end"/>
          </w:r>
        </w:sdtContent>
      </w:sdt>
      <w:r w:rsidR="00B60E2F">
        <w:t xml:space="preserve"> explored real estate price determinations at multiple geographical levels of the market interactions in EU nations, Portugal</w:t>
      </w:r>
      <w:r w:rsidR="00C43F24">
        <w:t>,</w:t>
      </w:r>
      <w:r w:rsidR="00B60E2F">
        <w:t xml:space="preserve"> and </w:t>
      </w:r>
      <w:r w:rsidR="00C43F24">
        <w:t>its metropolitan</w:t>
      </w:r>
      <w:r w:rsidR="00B60E2F">
        <w:t xml:space="preserve"> areas,</w:t>
      </w:r>
      <w:r w:rsidR="00C43F24">
        <w:t xml:space="preserve"> </w:t>
      </w:r>
      <w:r w:rsidR="00D5605A">
        <w:t>resulting</w:t>
      </w:r>
      <w:r w:rsidR="00C43F24">
        <w:t xml:space="preserve"> in findings that determinants or factors influencing housing pricing have different </w:t>
      </w:r>
      <w:r w:rsidR="00D5605A">
        <w:t>levels</w:t>
      </w:r>
      <w:r w:rsidR="00E57F97">
        <w:t xml:space="preserve"> of </w:t>
      </w:r>
      <w:r w:rsidR="00C43F24">
        <w:t xml:space="preserve">significance at </w:t>
      </w:r>
      <w:r w:rsidR="00E57F97">
        <w:t xml:space="preserve">the </w:t>
      </w:r>
      <w:r w:rsidR="00C43F24">
        <w:t>di</w:t>
      </w:r>
      <w:r w:rsidR="00E57F97">
        <w:t>fferent geographical levels of analysis explored.</w:t>
      </w:r>
    </w:p>
    <w:p w14:paraId="4251EBEF" w14:textId="77777777" w:rsidR="000C0F3A" w:rsidRDefault="000C0F3A"/>
    <w:p w14:paraId="15EC3B6D" w14:textId="63DA2F17" w:rsidR="000C0F3A" w:rsidRDefault="000C0F3A">
      <w:r>
        <w:t>2.2 Why RQ is of interest</w:t>
      </w:r>
    </w:p>
    <w:p w14:paraId="246A3DFF" w14:textId="63CA8B7C" w:rsidR="00AA7C05" w:rsidRDefault="000C0F3A">
      <w:r w:rsidRPr="000C0F3A">
        <w:t xml:space="preserve">The relationship between housing price and </w:t>
      </w:r>
      <w:r>
        <w:t xml:space="preserve">the property’s size in </w:t>
      </w:r>
      <w:r w:rsidR="00AA7C05">
        <w:t>(square feet)</w:t>
      </w:r>
      <w:r>
        <w:t xml:space="preserve"> </w:t>
      </w:r>
      <w:r w:rsidRPr="000C0F3A">
        <w:t>area is of significant interes</w:t>
      </w:r>
      <w:r w:rsidR="00AA7C05">
        <w:t>t to many stakeholders from the point</w:t>
      </w:r>
      <w:r w:rsidR="00D71302">
        <w:t>s</w:t>
      </w:r>
      <w:r w:rsidR="00AA7C05">
        <w:t xml:space="preserve"> of an individual's basic amenities, securing governmental social and economic structures, project risk analysis, and decision-making for investment purposes.</w:t>
      </w:r>
      <w:r w:rsidR="00D71302">
        <w:t xml:space="preserve"> Changes in housing pricing in a region </w:t>
      </w:r>
      <w:r w:rsidR="00D71302">
        <w:t>usually</w:t>
      </w:r>
      <w:r w:rsidR="00D71302">
        <w:t xml:space="preserve"> predetermine the development of financial markets (especially in countries that are conditioned by housing acquisition loans) </w:t>
      </w:r>
      <w:sdt>
        <w:sdtPr>
          <w:id w:val="121739264"/>
          <w:citation/>
        </w:sdtPr>
        <w:sdtContent>
          <w:r w:rsidR="00D71302">
            <w:fldChar w:fldCharType="begin"/>
          </w:r>
          <w:r w:rsidR="00D71302">
            <w:instrText xml:space="preserve"> CITATION Mar111 \l 2057 </w:instrText>
          </w:r>
          <w:r w:rsidR="00D71302">
            <w:fldChar w:fldCharType="separate"/>
          </w:r>
          <w:r w:rsidR="00D71302" w:rsidRPr="00D71302">
            <w:rPr>
              <w:noProof/>
            </w:rPr>
            <w:t>(Marija Burinskiene, 2011)</w:t>
          </w:r>
          <w:r w:rsidR="00D71302">
            <w:fldChar w:fldCharType="end"/>
          </w:r>
        </w:sdtContent>
      </w:sdt>
      <w:r w:rsidR="00D71302">
        <w:t>.</w:t>
      </w:r>
      <w:r w:rsidR="00D5605A">
        <w:t xml:space="preserve"> Affordability and housing pricing also reflect a region's quality of life. </w:t>
      </w:r>
      <w:r w:rsidR="00D5605A" w:rsidRPr="000C0F3A">
        <w:t>Existing research indicates a strong correlation between these variables; however, there is still a need for comprehensive studies that focus specifically on this relationship, particularly in varying market conditions.</w:t>
      </w:r>
    </w:p>
    <w:sectPr w:rsidR="00AA7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EBA"/>
    <w:rsid w:val="000C0F3A"/>
    <w:rsid w:val="00116CA9"/>
    <w:rsid w:val="003102FD"/>
    <w:rsid w:val="00335A3D"/>
    <w:rsid w:val="003672EF"/>
    <w:rsid w:val="00576625"/>
    <w:rsid w:val="005A56B1"/>
    <w:rsid w:val="006733EB"/>
    <w:rsid w:val="00987C32"/>
    <w:rsid w:val="009B74BB"/>
    <w:rsid w:val="00A7125D"/>
    <w:rsid w:val="00AA7C05"/>
    <w:rsid w:val="00B60E2F"/>
    <w:rsid w:val="00BC5DF9"/>
    <w:rsid w:val="00BF4352"/>
    <w:rsid w:val="00C148D5"/>
    <w:rsid w:val="00C43F24"/>
    <w:rsid w:val="00D5605A"/>
    <w:rsid w:val="00D71302"/>
    <w:rsid w:val="00E57F97"/>
    <w:rsid w:val="00F64AF1"/>
    <w:rsid w:val="00FB4E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76FA8"/>
  <w15:chartTrackingRefBased/>
  <w15:docId w15:val="{B6BE0AA7-073D-4B6D-BD8D-F5386BDBA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EBA"/>
    <w:rPr>
      <w:rFonts w:eastAsiaTheme="majorEastAsia" w:cstheme="majorBidi"/>
      <w:color w:val="272727" w:themeColor="text1" w:themeTint="D8"/>
    </w:rPr>
  </w:style>
  <w:style w:type="paragraph" w:styleId="Title">
    <w:name w:val="Title"/>
    <w:basedOn w:val="Normal"/>
    <w:next w:val="Normal"/>
    <w:link w:val="TitleChar"/>
    <w:uiPriority w:val="10"/>
    <w:qFormat/>
    <w:rsid w:val="00FB4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EBA"/>
    <w:pPr>
      <w:spacing w:before="160"/>
      <w:jc w:val="center"/>
    </w:pPr>
    <w:rPr>
      <w:i/>
      <w:iCs/>
      <w:color w:val="404040" w:themeColor="text1" w:themeTint="BF"/>
    </w:rPr>
  </w:style>
  <w:style w:type="character" w:customStyle="1" w:styleId="QuoteChar">
    <w:name w:val="Quote Char"/>
    <w:basedOn w:val="DefaultParagraphFont"/>
    <w:link w:val="Quote"/>
    <w:uiPriority w:val="29"/>
    <w:rsid w:val="00FB4EBA"/>
    <w:rPr>
      <w:i/>
      <w:iCs/>
      <w:color w:val="404040" w:themeColor="text1" w:themeTint="BF"/>
    </w:rPr>
  </w:style>
  <w:style w:type="paragraph" w:styleId="ListParagraph">
    <w:name w:val="List Paragraph"/>
    <w:basedOn w:val="Normal"/>
    <w:uiPriority w:val="34"/>
    <w:qFormat/>
    <w:rsid w:val="00FB4EBA"/>
    <w:pPr>
      <w:ind w:left="720"/>
      <w:contextualSpacing/>
    </w:pPr>
  </w:style>
  <w:style w:type="character" w:styleId="IntenseEmphasis">
    <w:name w:val="Intense Emphasis"/>
    <w:basedOn w:val="DefaultParagraphFont"/>
    <w:uiPriority w:val="21"/>
    <w:qFormat/>
    <w:rsid w:val="00FB4EBA"/>
    <w:rPr>
      <w:i/>
      <w:iCs/>
      <w:color w:val="0F4761" w:themeColor="accent1" w:themeShade="BF"/>
    </w:rPr>
  </w:style>
  <w:style w:type="paragraph" w:styleId="IntenseQuote">
    <w:name w:val="Intense Quote"/>
    <w:basedOn w:val="Normal"/>
    <w:next w:val="Normal"/>
    <w:link w:val="IntenseQuoteChar"/>
    <w:uiPriority w:val="30"/>
    <w:qFormat/>
    <w:rsid w:val="00FB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EBA"/>
    <w:rPr>
      <w:i/>
      <w:iCs/>
      <w:color w:val="0F4761" w:themeColor="accent1" w:themeShade="BF"/>
    </w:rPr>
  </w:style>
  <w:style w:type="character" w:styleId="IntenseReference">
    <w:name w:val="Intense Reference"/>
    <w:basedOn w:val="DefaultParagraphFont"/>
    <w:uiPriority w:val="32"/>
    <w:qFormat/>
    <w:rsid w:val="00FB4E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813070">
      <w:bodyDiv w:val="1"/>
      <w:marLeft w:val="0"/>
      <w:marRight w:val="0"/>
      <w:marTop w:val="0"/>
      <w:marBottom w:val="0"/>
      <w:divBdr>
        <w:top w:val="none" w:sz="0" w:space="0" w:color="auto"/>
        <w:left w:val="none" w:sz="0" w:space="0" w:color="auto"/>
        <w:bottom w:val="none" w:sz="0" w:space="0" w:color="auto"/>
        <w:right w:val="none" w:sz="0" w:space="0" w:color="auto"/>
      </w:divBdr>
    </w:div>
    <w:div w:id="1456488182">
      <w:bodyDiv w:val="1"/>
      <w:marLeft w:val="0"/>
      <w:marRight w:val="0"/>
      <w:marTop w:val="0"/>
      <w:marBottom w:val="0"/>
      <w:divBdr>
        <w:top w:val="none" w:sz="0" w:space="0" w:color="auto"/>
        <w:left w:val="none" w:sz="0" w:space="0" w:color="auto"/>
        <w:bottom w:val="none" w:sz="0" w:space="0" w:color="auto"/>
        <w:right w:val="none" w:sz="0" w:space="0" w:color="auto"/>
      </w:divBdr>
    </w:div>
    <w:div w:id="1930888249">
      <w:bodyDiv w:val="1"/>
      <w:marLeft w:val="0"/>
      <w:marRight w:val="0"/>
      <w:marTop w:val="0"/>
      <w:marBottom w:val="0"/>
      <w:divBdr>
        <w:top w:val="none" w:sz="0" w:space="0" w:color="auto"/>
        <w:left w:val="none" w:sz="0" w:space="0" w:color="auto"/>
        <w:bottom w:val="none" w:sz="0" w:space="0" w:color="auto"/>
        <w:right w:val="none" w:sz="0" w:space="0" w:color="auto"/>
      </w:divBdr>
    </w:div>
    <w:div w:id="1931311111">
      <w:bodyDiv w:val="1"/>
      <w:marLeft w:val="0"/>
      <w:marRight w:val="0"/>
      <w:marTop w:val="0"/>
      <w:marBottom w:val="0"/>
      <w:divBdr>
        <w:top w:val="none" w:sz="0" w:space="0" w:color="auto"/>
        <w:left w:val="none" w:sz="0" w:space="0" w:color="auto"/>
        <w:bottom w:val="none" w:sz="0" w:space="0" w:color="auto"/>
        <w:right w:val="none" w:sz="0" w:space="0" w:color="auto"/>
      </w:divBdr>
    </w:div>
    <w:div w:id="1941839664">
      <w:bodyDiv w:val="1"/>
      <w:marLeft w:val="0"/>
      <w:marRight w:val="0"/>
      <w:marTop w:val="0"/>
      <w:marBottom w:val="0"/>
      <w:divBdr>
        <w:top w:val="none" w:sz="0" w:space="0" w:color="auto"/>
        <w:left w:val="none" w:sz="0" w:space="0" w:color="auto"/>
        <w:bottom w:val="none" w:sz="0" w:space="0" w:color="auto"/>
        <w:right w:val="none" w:sz="0" w:space="0" w:color="auto"/>
      </w:divBdr>
    </w:div>
    <w:div w:id="1948653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Mar111</b:Tag>
    <b:SourceType>ConferenceProceedings</b:SourceType>
    <b:Guid>{1ED90C6F-AEB6-4EEB-80B3-4E3FC5F026A2}</b:Guid>
    <b:Author>
      <b:Author>
        <b:NameList>
          <b:Person>
            <b:Last>Marija Burinskiene</b:Last>
            <b:First>Vitalija</b:First>
            <b:Middle>Rudzkiene, Jurate Venckauskaite</b:Middle>
          </b:Person>
        </b:NameList>
      </b:Author>
    </b:Author>
    <b:Title>MODELS OF FACTORS INFLUENCING THE REAL ESTATE PRICE</b:Title>
    <b:Year>2011</b:Year>
    <b:City>Vilnius</b:City>
    <b:Publisher>Vilnius Gediminas Technical University</b:Publisher>
    <b:RefOrder>1</b:RefOrder>
  </b:Source>
  <b:Source>
    <b:Tag>Ant21</b:Tag>
    <b:SourceType>JournalArticle</b:SourceType>
    <b:Guid>{59184F9F-BC3F-4CE0-9D34-32665DCCFA70}</b:Guid>
    <b:Author>
      <b:Author>
        <b:NameList>
          <b:Person>
            <b:Last>Antonio M. Cunha</b:Last>
            <b:First>Júlio</b:First>
            <b:Middle>Lobão</b:Middle>
          </b:Person>
        </b:NameList>
      </b:Author>
    </b:Author>
    <b:Title>The determinants of real estate prices in a European context: a four-level analysis</b:Title>
    <b:Year>2021</b:Year>
    <b:JournalName>Journal of European Real Estate Research</b:JournalName>
    <b:Pages>331 - 348</b:Pages>
    <b:Volume>14</b:Volume>
    <b:Issue>3</b:Issue>
    <b:RefOrder>2</b:RefOrder>
  </b:Source>
</b:Sources>
</file>

<file path=customXml/itemProps1.xml><?xml version="1.0" encoding="utf-8"?>
<ds:datastoreItem xmlns:ds="http://schemas.openxmlformats.org/officeDocument/2006/customXml" ds:itemID="{1707B1FD-AC72-4686-9610-C8D3E9922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Pages>
  <Words>327</Words>
  <Characters>2001</Characters>
  <Application>Microsoft Office Word</Application>
  <DocSecurity>0</DocSecurity>
  <Lines>34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Yelekachi Aleruchi Williams [Student-PECS]</dc:creator>
  <cp:keywords/>
  <dc:description/>
  <cp:lastModifiedBy>Daniel Yelekachi Aleruchi Williams [Student-PECS]</cp:lastModifiedBy>
  <cp:revision>5</cp:revision>
  <dcterms:created xsi:type="dcterms:W3CDTF">2024-12-28T20:29:00Z</dcterms:created>
  <dcterms:modified xsi:type="dcterms:W3CDTF">2024-12-29T00:57:00Z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29d2668bdc41d7b1012c40e5c891771acf6e9bcc095f26226e7838a42303f2fe</vt:lpwstr>
  </property>
</Properties>
</file>