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F6FA3">
      <w:pPr>
        <w:pStyle w:val="2"/>
      </w:pPr>
      <w:r>
        <w:t xml:space="preserve">SignSecure TrustFlow </w:t>
      </w:r>
      <w:bookmarkStart w:id="0" w:name="_GoBack"/>
      <w:r>
        <w:t>— Note sécurité pour revue experte</w:t>
      </w:r>
    </w:p>
    <w:p w14:paraId="01569BC6">
      <w:r>
        <w:t>Sep 28, 2026 · @Durabilis &amp; co</w:t>
      </w:r>
    </w:p>
    <w:bookmarkEnd w:id="0"/>
    <w:p w14:paraId="3E728F57">
      <w:pPr>
        <w:pStyle w:val="3"/>
      </w:pPr>
      <w:r>
        <w:t>Contexte</w:t>
      </w:r>
    </w:p>
    <w:p w14:paraId="4B14881C">
      <w:r>
        <w:t>Les contrôles d'accès internes sont solides. Deux failles sont majeures : le PDF signé n'est pas scellé cryptographiquement, et l'OTP de signature passe par le même canal que le lien. Ta revue est sollicitée sur ces deux points et sur la pertinence d'un cachet PKI auto-signé.</w:t>
      </w:r>
    </w:p>
    <w:p w14:paraId="572EBBFF">
      <w:pPr>
        <w:pStyle w:val="17"/>
        <w:numPr>
          <w:ilvl w:val="0"/>
          <w:numId w:val="1"/>
        </w:numPr>
      </w:pPr>
      <w:r>
        <w:rPr>
          <w:b/>
        </w:rPr>
        <w:t>Produit</w:t>
      </w:r>
      <w:r>
        <w:t xml:space="preserve"> : MVP de soutenance. Sign (signature PDF manuscrite + OTP), Verify (vérification publique par code/QR), Trace (preuve de réception de documents papier par photo).</w:t>
      </w:r>
    </w:p>
    <w:p w14:paraId="1D9F9110">
      <w:pPr>
        <w:pStyle w:val="17"/>
        <w:numPr>
          <w:ilvl w:val="0"/>
          <w:numId w:val="1"/>
        </w:numPr>
      </w:pPr>
      <w:r>
        <w:rPr>
          <w:b/>
        </w:rPr>
        <w:t>Stack</w:t>
      </w:r>
      <w:r>
        <w:t xml:space="preserve"> : Node/Express + Prisma (PostgreSQL), front React/Vite. Fichiers sur disque, servis uniquement par endpoint autorisé.</w:t>
      </w:r>
    </w:p>
    <w:p w14:paraId="5A3C6B99">
      <w:pPr>
        <w:pStyle w:val="17"/>
        <w:numPr>
          <w:ilvl w:val="0"/>
          <w:numId w:val="1"/>
        </w:numPr>
      </w:pPr>
      <w:r>
        <w:rPr>
          <w:b/>
        </w:rPr>
        <w:t>Hors périmètre par décision</w:t>
      </w:r>
      <w:r>
        <w:t xml:space="preserve"> : signature qualifiée, eKYC et biométrie, intégration à une autorité de certification réelle ou à un HSM, blockchain, IA anti-fraude. Aucun stockage de l'image de signature (incrustée dans le PDF puis détruite).</w:t>
      </w:r>
    </w:p>
    <w:p w14:paraId="5B79BC9B">
      <w:pPr>
        <w:pStyle w:val="17"/>
        <w:numPr>
          <w:ilvl w:val="0"/>
          <w:numId w:val="1"/>
        </w:numPr>
      </w:pPr>
      <w:r>
        <w:rPr>
          <w:b/>
        </w:rPr>
        <w:t>Cadre</w:t>
      </w:r>
      <w:r>
        <w:t xml:space="preserve"> : Code du numérique béninois (loi 2017-20). Positionnement en signature simple/avancée ; SignSecure ne se présente pas comme prestataire de confiance (art. 324).</w:t>
      </w:r>
    </w:p>
    <w:p w14:paraId="56900E63">
      <w:pPr>
        <w:pStyle w:val="3"/>
      </w:pPr>
      <w:r>
        <w:t>Contrôles en place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77F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shd w:val="clear" w:color="auto" w:fill="F2F2F2"/>
          </w:tcPr>
          <w:p w14:paraId="0FD3B2F6">
            <w:r>
              <w:t>Domaine</w:t>
            </w:r>
          </w:p>
        </w:tc>
        <w:tc>
          <w:tcPr>
            <w:tcW w:w="3120" w:type="dxa"/>
            <w:shd w:val="clear" w:color="auto" w:fill="F2F2F2"/>
          </w:tcPr>
          <w:p w14:paraId="480AB6A6">
            <w:r>
              <w:t>Contrôle</w:t>
            </w:r>
          </w:p>
        </w:tc>
        <w:tc>
          <w:tcPr>
            <w:tcW w:w="3120" w:type="dxa"/>
            <w:shd w:val="clear" w:color="auto" w:fill="F2F2F2"/>
          </w:tcPr>
          <w:p w14:paraId="6D70D00E">
            <w:r>
              <w:t>Où</w:t>
            </w:r>
          </w:p>
        </w:tc>
      </w:tr>
      <w:tr w14:paraId="0100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3CE3DDF">
            <w:r>
              <w:t>Comptes internes</w:t>
            </w:r>
          </w:p>
        </w:tc>
        <w:tc>
          <w:tcPr>
            <w:tcW w:w="3120" w:type="dxa"/>
          </w:tcPr>
          <w:p w14:paraId="11859234">
            <w:r>
              <w:t>bcrypt + OTP (2FA) ; verrouillage 15 min après 5 échecs, audité</w:t>
            </w:r>
          </w:p>
        </w:tc>
        <w:tc>
          <w:tcPr>
            <w:tcW w:w="3120" w:type="dxa"/>
          </w:tcPr>
          <w:p w14:paraId="6850003B">
            <w:r>
              <w:rPr>
                <w:rStyle w:val="16"/>
              </w:rPr>
              <w:t>auth/service.ts</w:t>
            </w:r>
            <w:r>
              <w:t xml:space="preserve">, </w:t>
            </w:r>
            <w:r>
              <w:rPr>
                <w:rStyle w:val="16"/>
              </w:rPr>
              <w:t>env.ts</w:t>
            </w:r>
          </w:p>
        </w:tc>
      </w:tr>
      <w:tr w14:paraId="0B51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E843D1">
            <w:r>
              <w:t>Lien de signature</w:t>
            </w:r>
          </w:p>
        </w:tc>
        <w:tc>
          <w:tcPr>
            <w:tcW w:w="3120" w:type="dxa"/>
          </w:tcPr>
          <w:p w14:paraId="46847E91">
            <w:r>
              <w:t>UUID aléatoire, usage unique, expiration 48 h, lié à une transaction</w:t>
            </w:r>
          </w:p>
        </w:tc>
        <w:tc>
          <w:tcPr>
            <w:tcW w:w="3120" w:type="dxa"/>
          </w:tcPr>
          <w:p w14:paraId="2A5A08B2">
            <w:r>
              <w:rPr>
                <w:rStyle w:val="16"/>
              </w:rPr>
              <w:t>sign/service.ts</w:t>
            </w:r>
          </w:p>
        </w:tc>
      </w:tr>
      <w:tr w14:paraId="603A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59068ED">
            <w:r>
              <w:t>OTP</w:t>
            </w:r>
          </w:p>
        </w:tc>
        <w:tc>
          <w:tcPr>
            <w:tcW w:w="3120" w:type="dxa"/>
          </w:tcPr>
          <w:p w14:paraId="0582340E">
            <w:r>
              <w:t>Stocké haché, 5 essais max, délai de renvoi, consommé après usage</w:t>
            </w:r>
          </w:p>
        </w:tc>
        <w:tc>
          <w:tcPr>
            <w:tcW w:w="3120" w:type="dxa"/>
          </w:tcPr>
          <w:p w14:paraId="25F59BEA">
            <w:r>
              <w:rPr>
                <w:rStyle w:val="16"/>
              </w:rPr>
              <w:t>lib/otp.ts</w:t>
            </w:r>
          </w:p>
        </w:tc>
      </w:tr>
      <w:tr w14:paraId="45BD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6E937C">
            <w:r>
              <w:t>Consentement</w:t>
            </w:r>
          </w:p>
        </w:tc>
        <w:tc>
          <w:tcPr>
            <w:tcW w:w="3120" w:type="dxa"/>
          </w:tcPr>
          <w:p w14:paraId="12D2BD4E">
            <w:r>
              <w:t xml:space="preserve">Case non pré-cochée + </w:t>
            </w:r>
            <w:r>
              <w:rPr>
                <w:rStyle w:val="16"/>
              </w:rPr>
              <w:t>consentedAt</w:t>
            </w:r>
            <w:r>
              <w:t xml:space="preserve"> et IP enregistrés, puis OTP distinct</w:t>
            </w:r>
          </w:p>
        </w:tc>
        <w:tc>
          <w:tcPr>
            <w:tcW w:w="3120" w:type="dxa"/>
          </w:tcPr>
          <w:p w14:paraId="288A2E53">
            <w:r>
              <w:rPr>
                <w:rStyle w:val="16"/>
              </w:rPr>
              <w:t>sign/service.ts</w:t>
            </w:r>
          </w:p>
        </w:tc>
      </w:tr>
      <w:tr w14:paraId="4B9B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082EDA2">
            <w:r>
              <w:t>Intégrité</w:t>
            </w:r>
          </w:p>
        </w:tc>
        <w:tc>
          <w:tcPr>
            <w:tcW w:w="3120" w:type="dxa"/>
          </w:tcPr>
          <w:p w14:paraId="39DF6117">
            <w:r>
              <w:t>SHA-256 du PDF final calculé côté serveur, jamais reçu du client</w:t>
            </w:r>
          </w:p>
        </w:tc>
        <w:tc>
          <w:tcPr>
            <w:tcW w:w="3120" w:type="dxa"/>
          </w:tcPr>
          <w:p w14:paraId="4044DA7D">
            <w:r>
              <w:rPr>
                <w:rStyle w:val="16"/>
              </w:rPr>
              <w:t>sign/pdf.ts</w:t>
            </w:r>
          </w:p>
        </w:tc>
      </w:tr>
      <w:tr w14:paraId="5E59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E909B25">
            <w:r>
              <w:t>Journal d'audit</w:t>
            </w:r>
          </w:p>
        </w:tc>
        <w:tc>
          <w:tcPr>
            <w:tcW w:w="3120" w:type="dxa"/>
          </w:tcPr>
          <w:p w14:paraId="318422EC">
            <w:r>
              <w:t>Chaîne de hash (</w:t>
            </w:r>
            <w:r>
              <w:rPr>
                <w:rStyle w:val="16"/>
              </w:rPr>
              <w:t>previousEventHash</w:t>
            </w:r>
            <w:r>
              <w:t xml:space="preserve"> / </w:t>
            </w:r>
            <w:r>
              <w:rPr>
                <w:rStyle w:val="16"/>
              </w:rPr>
              <w:t>eventHash</w:t>
            </w:r>
            <w:r>
              <w:t xml:space="preserve">) par organisation + contrôle </w:t>
            </w:r>
            <w:r>
              <w:rPr>
                <w:rStyle w:val="16"/>
              </w:rPr>
              <w:t>verifyAuditChain</w:t>
            </w:r>
          </w:p>
        </w:tc>
        <w:tc>
          <w:tcPr>
            <w:tcW w:w="3120" w:type="dxa"/>
          </w:tcPr>
          <w:p w14:paraId="23F579B0">
            <w:r>
              <w:rPr>
                <w:rStyle w:val="16"/>
              </w:rPr>
              <w:t>lib/audit.ts</w:t>
            </w:r>
          </w:p>
        </w:tc>
      </w:tr>
      <w:tr w14:paraId="7193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FF3F02">
            <w:r>
              <w:t>Verify public</w:t>
            </w:r>
          </w:p>
        </w:tc>
        <w:tc>
          <w:tcPr>
            <w:tcW w:w="3120" w:type="dxa"/>
          </w:tcPr>
          <w:p w14:paraId="71CE9AB5">
            <w:r>
              <w:t xml:space="preserve">Codes aléatoires 8 caractères (~40 bits), 60 req / 15 min, réponse neutre </w:t>
            </w:r>
            <w:r>
              <w:rPr>
                <w:rStyle w:val="16"/>
              </w:rPr>
              <w:t>UNKNOWN_CODE</w:t>
            </w:r>
          </w:p>
        </w:tc>
        <w:tc>
          <w:tcPr>
            <w:tcW w:w="3120" w:type="dxa"/>
          </w:tcPr>
          <w:p w14:paraId="54F3FBB7">
            <w:r>
              <w:rPr>
                <w:rStyle w:val="16"/>
              </w:rPr>
              <w:t>lib/trackingCode.ts</w:t>
            </w:r>
            <w:r>
              <w:t xml:space="preserve">, </w:t>
            </w:r>
            <w:r>
              <w:rPr>
                <w:rStyle w:val="16"/>
              </w:rPr>
              <w:t>verify/routes.ts</w:t>
            </w:r>
          </w:p>
        </w:tc>
      </w:tr>
      <w:tr w14:paraId="4848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18C1FF">
            <w:r>
              <w:t>Cloisonnement</w:t>
            </w:r>
          </w:p>
        </w:tc>
        <w:tc>
          <w:tcPr>
            <w:tcW w:w="3120" w:type="dxa"/>
          </w:tcPr>
          <w:p w14:paraId="06CFB3E2">
            <w:r>
              <w:t xml:space="preserve">Contrôle </w:t>
            </w:r>
            <w:r>
              <w:rPr>
                <w:rStyle w:val="16"/>
              </w:rPr>
              <w:t>organization_id</w:t>
            </w:r>
            <w:r>
              <w:t xml:space="preserve"> serveur, pas d'accès statique aux fichiers</w:t>
            </w:r>
          </w:p>
        </w:tc>
        <w:tc>
          <w:tcPr>
            <w:tcW w:w="3120" w:type="dxa"/>
          </w:tcPr>
          <w:p w14:paraId="658D1B74">
            <w:r>
              <w:rPr>
                <w:rStyle w:val="16"/>
              </w:rPr>
              <w:t>lib/storage.ts</w:t>
            </w:r>
          </w:p>
        </w:tc>
      </w:tr>
      <w:tr w14:paraId="5E2A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905FD3">
            <w:r>
              <w:t>Transport / en-têtes</w:t>
            </w:r>
          </w:p>
        </w:tc>
        <w:tc>
          <w:tcPr>
            <w:tcW w:w="3120" w:type="dxa"/>
          </w:tcPr>
          <w:p w14:paraId="0A7CF087">
            <w:r>
              <w:t>helmet, CORS restreint, rate limit sur l'authentification (30 / 15 min)</w:t>
            </w:r>
          </w:p>
        </w:tc>
        <w:tc>
          <w:tcPr>
            <w:tcW w:w="3120" w:type="dxa"/>
          </w:tcPr>
          <w:p w14:paraId="64219E7E">
            <w:r>
              <w:rPr>
                <w:rStyle w:val="16"/>
              </w:rPr>
              <w:t>app.ts</w:t>
            </w:r>
          </w:p>
        </w:tc>
      </w:tr>
    </w:tbl>
    <w:p w14:paraId="68C35197">
      <w:pPr>
        <w:pStyle w:val="3"/>
      </w:pPr>
      <w:r>
        <w:t>Failles et fraudes non couvertes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028A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shd w:val="clear" w:color="auto" w:fill="F2F2F2"/>
          </w:tcPr>
          <w:p w14:paraId="65C545A8">
            <w:r>
              <w:t>Gravité</w:t>
            </w:r>
          </w:p>
        </w:tc>
        <w:tc>
          <w:tcPr>
            <w:tcW w:w="2340" w:type="dxa"/>
            <w:shd w:val="clear" w:color="auto" w:fill="F2F2F2"/>
          </w:tcPr>
          <w:p w14:paraId="130257BE">
            <w:r>
              <w:t>Constat</w:t>
            </w:r>
          </w:p>
        </w:tc>
        <w:tc>
          <w:tcPr>
            <w:tcW w:w="2340" w:type="dxa"/>
            <w:shd w:val="clear" w:color="auto" w:fill="F2F2F2"/>
          </w:tcPr>
          <w:p w14:paraId="246ECE64">
            <w:r>
              <w:t>Scénario d'attaque</w:t>
            </w:r>
          </w:p>
        </w:tc>
        <w:tc>
          <w:tcPr>
            <w:tcW w:w="2340" w:type="dxa"/>
            <w:shd w:val="clear" w:color="auto" w:fill="F2F2F2"/>
          </w:tcPr>
          <w:p w14:paraId="55AA2E3E">
            <w:r>
              <w:t>Parade proposée</w:t>
            </w:r>
          </w:p>
        </w:tc>
      </w:tr>
      <w:tr w14:paraId="54C6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73B5141">
            <w:r>
              <w:t>Élevée</w:t>
            </w:r>
          </w:p>
        </w:tc>
        <w:tc>
          <w:tcPr>
            <w:tcW w:w="2340" w:type="dxa"/>
          </w:tcPr>
          <w:p w14:paraId="4CCC7AD8">
            <w:r>
              <w:t>PDF final non signé numériquement ; hash seulement en base</w:t>
            </w:r>
          </w:p>
        </w:tc>
        <w:tc>
          <w:tcPr>
            <w:tcW w:w="2340" w:type="dxa"/>
          </w:tcPr>
          <w:p w14:paraId="40B1461D">
            <w:r>
              <w:t>Contrôle d'intégrité impossible hors SignSecure ; PDF modifié et réimprimé avec le vrai QR, qui affiche « signé »</w:t>
            </w:r>
          </w:p>
        </w:tc>
        <w:tc>
          <w:tcPr>
            <w:tcW w:w="2340" w:type="dxa"/>
          </w:tcPr>
          <w:p w14:paraId="0E85B83C">
            <w:r>
              <w:t>Cachet PAdES de plateforme (section suivante) + début du hash et nombre de pages imprimés sur le PDF</w:t>
            </w:r>
          </w:p>
        </w:tc>
      </w:tr>
      <w:tr w14:paraId="622D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7EAB7C3">
            <w:r>
              <w:t>Élevée</w:t>
            </w:r>
          </w:p>
        </w:tc>
        <w:tc>
          <w:tcPr>
            <w:tcW w:w="2340" w:type="dxa"/>
          </w:tcPr>
          <w:p w14:paraId="4BD987B5">
            <w:r>
              <w:t>Lien et OTP de signature envoyés au même email</w:t>
            </w:r>
          </w:p>
        </w:tc>
        <w:tc>
          <w:tcPr>
            <w:tcW w:w="2340" w:type="dxa"/>
          </w:tcPr>
          <w:p w14:paraId="0129EF84">
            <w:r>
              <w:t>Boîte mail compromise = signature frauduleuse</w:t>
            </w:r>
          </w:p>
        </w:tc>
        <w:tc>
          <w:tcPr>
            <w:tcW w:w="2340" w:type="dxa"/>
          </w:tcPr>
          <w:p w14:paraId="37E765CC">
            <w:r>
              <w:t>OTP par SMS vers un numéro distinct</w:t>
            </w:r>
          </w:p>
        </w:tc>
      </w:tr>
      <w:tr w14:paraId="4CD2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52D20E6">
            <w:r>
              <w:t>Élevée</w:t>
            </w:r>
          </w:p>
        </w:tc>
        <w:tc>
          <w:tcPr>
            <w:tcW w:w="2340" w:type="dxa"/>
          </w:tcPr>
          <w:p w14:paraId="7AC477AA">
            <w:r>
              <w:t>Identité du signataire déclarée par l'émetteur</w:t>
            </w:r>
          </w:p>
        </w:tc>
        <w:tc>
          <w:tcPr>
            <w:tcW w:w="2340" w:type="dxa"/>
          </w:tcPr>
          <w:p w14:paraId="3A178D32">
            <w:r>
              <w:t>L'émetteur saisit une adresse ou un numéro qu'il contrôle</w:t>
            </w:r>
          </w:p>
        </w:tc>
        <w:tc>
          <w:tcPr>
            <w:tcW w:w="2340" w:type="dxa"/>
          </w:tcPr>
          <w:p w14:paraId="05F0C6E8">
            <w:r>
              <w:t>Refuser email ou téléphone identique à l'émetteur ; mention « identité déclarative » dans le rapport de preuve</w:t>
            </w:r>
          </w:p>
        </w:tc>
      </w:tr>
      <w:tr w14:paraId="1F09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8756818">
            <w:r>
              <w:t>Moyenne</w:t>
            </w:r>
          </w:p>
        </w:tc>
        <w:tc>
          <w:tcPr>
            <w:tcW w:w="2340" w:type="dxa"/>
          </w:tcPr>
          <w:p w14:paraId="7382538D">
            <w:r>
              <w:t>QR imprimé sans ancre de confiance</w:t>
            </w:r>
          </w:p>
        </w:tc>
        <w:tc>
          <w:tcPr>
            <w:tcW w:w="2340" w:type="dxa"/>
          </w:tcPr>
          <w:p w14:paraId="69EE9069">
            <w:r>
              <w:t>QR piégé vers un faux site Verify</w:t>
            </w:r>
          </w:p>
        </w:tc>
        <w:tc>
          <w:tcPr>
            <w:tcW w:w="2340" w:type="dxa"/>
          </w:tcPr>
          <w:p w14:paraId="4DEA2679">
            <w:r>
              <w:t>Domaine officiel et code imprimés en clair, saisie manuelle possible</w:t>
            </w:r>
          </w:p>
        </w:tc>
      </w:tr>
      <w:tr w14:paraId="02A8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AA8B7B4">
            <w:r>
              <w:t>Moyenne</w:t>
            </w:r>
          </w:p>
        </w:tc>
        <w:tc>
          <w:tcPr>
            <w:tcW w:w="2340" w:type="dxa"/>
          </w:tcPr>
          <w:p w14:paraId="311D787B">
            <w:r>
              <w:t>Trace : import galerie autorisé, pas de hash des photos à l'envoi</w:t>
            </w:r>
          </w:p>
        </w:tc>
        <w:tc>
          <w:tcPr>
            <w:tcW w:w="2340" w:type="dxa"/>
          </w:tcPr>
          <w:p w14:paraId="264DE249">
            <w:r>
              <w:t>Photo retouchée ou antérieure à la réception</w:t>
            </w:r>
          </w:p>
        </w:tc>
        <w:tc>
          <w:tcPr>
            <w:tcW w:w="2340" w:type="dxa"/>
          </w:tcPr>
          <w:p w14:paraId="68816E26">
            <w:r>
              <w:t>Capture caméra seule ; SHA-256 de chaque photo inscrit au journal</w:t>
            </w:r>
          </w:p>
        </w:tc>
      </w:tr>
      <w:tr w14:paraId="5D6B4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B5EF159">
            <w:r>
              <w:t>Moyenne</w:t>
            </w:r>
          </w:p>
        </w:tc>
        <w:tc>
          <w:tcPr>
            <w:tcW w:w="2340" w:type="dxa"/>
          </w:tcPr>
          <w:p w14:paraId="21BDB61D">
            <w:r>
              <w:t>Journal chaîné non ancré à l'extérieur</w:t>
            </w:r>
          </w:p>
        </w:tc>
        <w:tc>
          <w:tcPr>
            <w:tcW w:w="2340" w:type="dxa"/>
          </w:tcPr>
          <w:p w14:paraId="07B87C63">
            <w:r>
              <w:t>Un acteur ayant un accès écriture en base recalcule toute la chaîne</w:t>
            </w:r>
          </w:p>
        </w:tc>
        <w:tc>
          <w:tcPr>
            <w:tcW w:w="2340" w:type="dxa"/>
          </w:tcPr>
          <w:p w14:paraId="4039D356">
            <w:r>
              <w:t>Export quotidien du dernier hash hors système (email superviseur ou horodatage tiers)</w:t>
            </w:r>
          </w:p>
        </w:tc>
      </w:tr>
      <w:tr w14:paraId="1DAB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BEC07E">
            <w:r>
              <w:t>Moyenne</w:t>
            </w:r>
          </w:p>
        </w:tc>
        <w:tc>
          <w:tcPr>
            <w:tcW w:w="2340" w:type="dxa"/>
          </w:tcPr>
          <w:p w14:paraId="3CF8DFD6">
            <w:r>
              <w:t>Horodatage = horloge du serveur</w:t>
            </w:r>
          </w:p>
        </w:tc>
        <w:tc>
          <w:tcPr>
            <w:tcW w:w="2340" w:type="dxa"/>
          </w:tcPr>
          <w:p w14:paraId="5D41A121">
            <w:r>
              <w:t>Antidatage par l'opérateur</w:t>
            </w:r>
          </w:p>
        </w:tc>
        <w:tc>
          <w:tcPr>
            <w:tcW w:w="2340" w:type="dxa"/>
          </w:tcPr>
          <w:p w14:paraId="38B74938">
            <w:r>
              <w:t>Horodatage RFC 3161 du cachet (optionnel)</w:t>
            </w:r>
          </w:p>
        </w:tc>
      </w:tr>
      <w:tr w14:paraId="4DE6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FB3239">
            <w:r>
              <w:t>Moyenne</w:t>
            </w:r>
          </w:p>
        </w:tc>
        <w:tc>
          <w:tcPr>
            <w:tcW w:w="2340" w:type="dxa"/>
          </w:tcPr>
          <w:p w14:paraId="6E424A17">
            <w:r>
              <w:t>Comparaison Trace calculée sur la taille de fichier</w:t>
            </w:r>
          </w:p>
        </w:tc>
        <w:tc>
          <w:tcPr>
            <w:tcW w:w="2340" w:type="dxa"/>
          </w:tcPr>
          <w:p w14:paraId="39EE2C3D">
            <w:r>
              <w:t>Faux positifs et négatifs, argument fragile en litige</w:t>
            </w:r>
          </w:p>
        </w:tc>
        <w:tc>
          <w:tcPr>
            <w:tcW w:w="2340" w:type="dxa"/>
          </w:tcPr>
          <w:p w14:paraId="53C219B4">
            <w:r>
              <w:t>Comparaison côte à côte avec jugement humain journalisé, ou OCR</w:t>
            </w:r>
          </w:p>
        </w:tc>
      </w:tr>
      <w:tr w14:paraId="4DBAF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08B4B87">
            <w:r>
              <w:t>Faible</w:t>
            </w:r>
          </w:p>
        </w:tc>
        <w:tc>
          <w:tcPr>
            <w:tcW w:w="2340" w:type="dxa"/>
          </w:tcPr>
          <w:p w14:paraId="2030ABC5">
            <w:r>
              <w:t>Pas d'expiration sur inactivité (JWT 2 h)</w:t>
            </w:r>
          </w:p>
        </w:tc>
        <w:tc>
          <w:tcPr>
            <w:tcW w:w="2340" w:type="dxa"/>
          </w:tcPr>
          <w:p w14:paraId="4D3942AC">
            <w:r>
              <w:t>Session laissée ouverte sur un poste partagé</w:t>
            </w:r>
          </w:p>
        </w:tc>
        <w:tc>
          <w:tcPr>
            <w:tcW w:w="2340" w:type="dxa"/>
          </w:tcPr>
          <w:p w14:paraId="02062E99">
            <w:r>
              <w:t>Timeout d'inactivité côté serveur</w:t>
            </w:r>
          </w:p>
        </w:tc>
      </w:tr>
      <w:tr w14:paraId="6E38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9A4D4CE">
            <w:r>
              <w:t>Faible</w:t>
            </w:r>
          </w:p>
        </w:tc>
        <w:tc>
          <w:tcPr>
            <w:tcW w:w="2340" w:type="dxa"/>
          </w:tcPr>
          <w:p w14:paraId="159858E0">
            <w:r>
              <w:t>User-agent non enregistré à la signature</w:t>
            </w:r>
          </w:p>
        </w:tc>
        <w:tc>
          <w:tcPr>
            <w:tcW w:w="2340" w:type="dxa"/>
          </w:tcPr>
          <w:p w14:paraId="6DA5D5F3">
            <w:r>
              <w:t>Preuve plus faible en cas de répudiation</w:t>
            </w:r>
          </w:p>
        </w:tc>
        <w:tc>
          <w:tcPr>
            <w:tcW w:w="2340" w:type="dxa"/>
          </w:tcPr>
          <w:p w14:paraId="721EC800">
            <w:r>
              <w:t>Ajouter au journal</w:t>
            </w:r>
          </w:p>
        </w:tc>
      </w:tr>
      <w:tr w14:paraId="6EE1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73D81D">
            <w:r>
              <w:t>Faible</w:t>
            </w:r>
          </w:p>
        </w:tc>
        <w:tc>
          <w:tcPr>
            <w:tcW w:w="2340" w:type="dxa"/>
          </w:tcPr>
          <w:p w14:paraId="7E98BE66">
            <w:r>
              <w:t>Fichiers en clair sur disque</w:t>
            </w:r>
          </w:p>
        </w:tc>
        <w:tc>
          <w:tcPr>
            <w:tcW w:w="2340" w:type="dxa"/>
          </w:tcPr>
          <w:p w14:paraId="1637FAFF">
            <w:r>
              <w:t>Fuite en cas d'accès au serveur</w:t>
            </w:r>
          </w:p>
        </w:tc>
        <w:tc>
          <w:tcPr>
            <w:tcW w:w="2340" w:type="dxa"/>
          </w:tcPr>
          <w:p w14:paraId="6E89C25E">
            <w:r>
              <w:t>Chiffrement au repos, si le temps le permet</w:t>
            </w:r>
          </w:p>
        </w:tc>
      </w:tr>
    </w:tbl>
    <w:p w14:paraId="30F9DF7C">
      <w:r>
        <w:t>Risque résiduel accepté : SIM swap si l'OTP SMS est ajouté, et signature sous contrainte. Trace prouve une réception déclarée à une date donnée, pas l'authenticité du contenu papier.</w:t>
      </w:r>
    </w:p>
    <w:p w14:paraId="561233D9">
      <w:pPr>
        <w:pStyle w:val="3"/>
      </w:pPr>
      <w:r>
        <w:t>Scellement PKI</w:t>
      </w:r>
    </w:p>
    <w:p w14:paraId="62D72C9A">
      <w:r>
        <w:t>Recommandation : un cachet de plateforme PAdES, clé et certificat auto-signés, apposé après l'incrustation de la signature et avant le calcul du hash. Un certificat qualifié par signataire est exclu : il exige un prestataire qualifié.</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42FE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37B08874">
            <w:r>
              <w:t>Option</w:t>
            </w:r>
          </w:p>
        </w:tc>
        <w:tc>
          <w:tcPr>
            <w:tcW w:w="3120" w:type="dxa"/>
            <w:shd w:val="clear" w:color="auto" w:fill="F2F2F2"/>
          </w:tcPr>
          <w:p w14:paraId="02664C45">
            <w:r>
              <w:t>Apport</w:t>
            </w:r>
          </w:p>
        </w:tc>
        <w:tc>
          <w:tcPr>
            <w:tcW w:w="3120" w:type="dxa"/>
            <w:shd w:val="clear" w:color="auto" w:fill="F2F2F2"/>
          </w:tcPr>
          <w:p w14:paraId="5A6B6E32">
            <w:r>
              <w:t>Limite</w:t>
            </w:r>
          </w:p>
        </w:tc>
      </w:tr>
      <w:tr w14:paraId="45C3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FAC1CD">
            <w:r>
              <w:t>Hash + QR imprimés seulement</w:t>
            </w:r>
          </w:p>
        </w:tc>
        <w:tc>
          <w:tcPr>
            <w:tcW w:w="3120" w:type="dxa"/>
          </w:tcPr>
          <w:p w14:paraId="773A9D98">
            <w:r>
              <w:t>Aucun secret à gérer</w:t>
            </w:r>
          </w:p>
        </w:tc>
        <w:tc>
          <w:tcPr>
            <w:tcW w:w="3120" w:type="dxa"/>
          </w:tcPr>
          <w:p w14:paraId="652D560A">
            <w:r>
              <w:t>Vérification seulement via SignSecure</w:t>
            </w:r>
          </w:p>
        </w:tc>
      </w:tr>
      <w:tr w14:paraId="2B16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54D63CA">
            <w:r>
              <w:t>Cachet PAdES auto-signé (recommandé)</w:t>
            </w:r>
          </w:p>
        </w:tc>
        <w:tc>
          <w:tcPr>
            <w:tcW w:w="3120" w:type="dxa"/>
          </w:tcPr>
          <w:p w14:paraId="30AA918C">
            <w:r>
              <w:t>Toute modification détectable dans un lecteur PDF standard ; cachet non qualifié recevable (art. 293)</w:t>
            </w:r>
          </w:p>
        </w:tc>
        <w:tc>
          <w:tcPr>
            <w:tcW w:w="3120" w:type="dxa"/>
          </w:tcPr>
          <w:p w14:paraId="08865815">
            <w:r>
              <w:t>Acrobat affiche « validité inconnue » ; clé privée à protéger (hors git, variable d'environnement ou fichier chiffré)</w:t>
            </w:r>
          </w:p>
        </w:tc>
      </w:tr>
      <w:tr w14:paraId="701D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1FC119">
            <w:r>
              <w:t>+ horodatage RFC 3161 tiers</w:t>
            </w:r>
          </w:p>
        </w:tc>
        <w:tc>
          <w:tcPr>
            <w:tcW w:w="3120" w:type="dxa"/>
          </w:tcPr>
          <w:p w14:paraId="3DC1EF45">
            <w:r>
              <w:t>Date opposable indépendante de l'opérateur</w:t>
            </w:r>
          </w:p>
        </w:tc>
        <w:tc>
          <w:tcPr>
            <w:tcW w:w="3120" w:type="dxa"/>
          </w:tcPr>
          <w:p w14:paraId="0CD13600">
            <w:r>
              <w:t>Dépendance externe ; seul le hash sort</w:t>
            </w:r>
          </w:p>
        </w:tc>
      </w:tr>
      <w:tr w14:paraId="570D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35C5081">
            <w:r>
              <w:t>Certificat d'une autorité reconnue ou HSM</w:t>
            </w:r>
          </w:p>
        </w:tc>
        <w:tc>
          <w:tcPr>
            <w:tcW w:w="3120" w:type="dxa"/>
          </w:tcPr>
          <w:p w14:paraId="40666612">
            <w:r>
              <w:t>Coche verte Acrobat</w:t>
            </w:r>
          </w:p>
        </w:tc>
        <w:tc>
          <w:tcPr>
            <w:tcW w:w="3120" w:type="dxa"/>
          </w:tcPr>
          <w:p w14:paraId="0B732D54">
            <w:r>
              <w:t>Hors MVP par décision</w:t>
            </w:r>
          </w:p>
        </w:tc>
      </w:tr>
    </w:tbl>
    <w:p w14:paraId="28EC71F7">
      <w:pPr>
        <w:pStyle w:val="3"/>
      </w:pPr>
      <w:r>
        <w:t>Questions pour la revue</w:t>
      </w:r>
    </w:p>
    <w:p w14:paraId="7576A2D8">
      <w:pPr>
        <w:pStyle w:val="17"/>
        <w:numPr>
          <w:ilvl w:val="0"/>
          <w:numId w:val="2"/>
        </w:numPr>
      </w:pPr>
      <w:r>
        <w:t>Le cachet PAdES auto-signé est-il pertinent pour un MVP, ou l'impression hash + QR suffit-elle ?</w:t>
      </w:r>
    </w:p>
    <w:p w14:paraId="7B101797">
      <w:pPr>
        <w:pStyle w:val="17"/>
        <w:numPr>
          <w:ilvl w:val="0"/>
          <w:numId w:val="2"/>
        </w:numPr>
      </w:pPr>
      <w:r>
        <w:t>Quelle protection de la clé privée est acceptable sans HSM (variable d'environnement, fichier PKCS#12 chiffré, autre) ?</w:t>
      </w:r>
    </w:p>
    <w:p w14:paraId="05F78D33">
      <w:pPr>
        <w:pStyle w:val="17"/>
        <w:numPr>
          <w:ilvl w:val="0"/>
          <w:numId w:val="2"/>
        </w:numPr>
      </w:pPr>
      <w:r>
        <w:t>OTP SMS seul, ou SMS + email pour les documents sensibles, compte tenu du risque de SIM swap au Bénin ?</w:t>
      </w:r>
    </w:p>
    <w:p w14:paraId="44B0A7C3">
      <w:pPr>
        <w:pStyle w:val="17"/>
        <w:numPr>
          <w:ilvl w:val="0"/>
          <w:numId w:val="2"/>
        </w:numPr>
      </w:pPr>
      <w:r>
        <w:t>L'ancrage externe quotidien du journal d'audit par email est-il suffisant, ou faut-il un horodatage tiers ?</w:t>
      </w:r>
    </w:p>
    <w:p w14:paraId="57462A6A">
      <w:pPr>
        <w:pStyle w:val="17"/>
        <w:numPr>
          <w:ilvl w:val="0"/>
          <w:numId w:val="2"/>
        </w:numPr>
      </w:pPr>
      <w:r>
        <w:t>Un code de suivi de ~40 bits avec 60 requêtes / 15 min par IP est-il suffisant contre l'énumération ?</w:t>
      </w:r>
    </w:p>
    <w:p w14:paraId="52E4BF3B">
      <w:pPr>
        <w:pStyle w:val="17"/>
        <w:numPr>
          <w:ilvl w:val="0"/>
          <w:numId w:val="2"/>
        </w:numPr>
      </w:pPr>
      <w:r>
        <w:t>Y a-t-il des scénarios de fraude absents de cette liste ?</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52502E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Balloon Text"/>
    <w:lsdException w:unhideWhenUsed="0" w:uiPriority="0" w:semiHidden="0" w:name="Table Grid"/>
    <w:lsdException w:qFormat="1" w:unhideWhenUsed="0" w:uiPriority="0" w:semiHidden="0" w:name="List Paragraph"/>
    <w:lsdException w:qFormat="1" w:unhideWhenUsed="0" w:uiPriority="0" w:semiHidden="0" w:name="Quote"/>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13">
    <w:name w:val="Normal Table"/>
    <w:uiPriority w:val="0"/>
    <w:tblPr>
      <w:tblCellMar>
        <w:top w:w="0" w:type="dxa"/>
        <w:left w:w="108" w:type="dxa"/>
        <w:bottom w:w="0" w:type="dxa"/>
        <w:right w:w="108" w:type="dxa"/>
      </w:tblCellMar>
    </w:tblPr>
  </w:style>
  <w:style w:type="character" w:styleId="9">
    <w:name w:val="Hyperlink"/>
    <w:uiPriority w:val="0"/>
    <w:rPr>
      <w:color w:val="0563C1"/>
      <w:u w:val="single"/>
    </w:r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paragraph" w:styleId="12">
    <w:name w:val="Title"/>
    <w:basedOn w:val="1"/>
    <w:next w:val="1"/>
    <w:qFormat/>
    <w:uiPriority w:val="0"/>
    <w:pPr>
      <w:spacing w:after="80"/>
      <w:contextualSpacing/>
    </w:pPr>
    <w:rPr>
      <w:sz w:val="56"/>
    </w:rPr>
  </w:style>
  <w:style w:type="paragraph" w:styleId="14">
    <w:name w:val="Quote"/>
    <w:basedOn w:val="1"/>
    <w:qFormat/>
    <w:uiPriority w:val="0"/>
    <w:pPr>
      <w:pBdr>
        <w:left w:val="single" w:color="A0A0A0" w:sz="12" w:space="8"/>
      </w:pBdr>
      <w:ind w:left="720" w:right="720"/>
    </w:pPr>
    <w:rPr>
      <w:i/>
      <w:color w:val="404040"/>
    </w:rPr>
  </w:style>
  <w:style w:type="paragraph" w:customStyle="1" w:styleId="15">
    <w:name w:val="Code"/>
    <w:basedOn w:val="1"/>
    <w:link w:val="16"/>
    <w:uiPriority w:val="0"/>
    <w:pPr>
      <w:shd w:val="clear" w:color="auto" w:fill="F5F5F5"/>
      <w:spacing w:after="0" w:line="240" w:lineRule="auto"/>
      <w:contextualSpacing/>
    </w:pPr>
    <w:rPr>
      <w:rFonts w:ascii="Consolas" w:hAnsi="Consolas" w:eastAsia="Consolas" w:cs="Consolas"/>
      <w:sz w:val="20"/>
    </w:rPr>
  </w:style>
  <w:style w:type="character" w:customStyle="1" w:styleId="16">
    <w:name w:val="Code Char"/>
    <w:link w:val="15"/>
    <w:uiPriority w:val="0"/>
    <w:rPr>
      <w:rFonts w:ascii="Consolas" w:hAnsi="Consolas" w:eastAsia="Consolas" w:cs="Consolas"/>
      <w:sz w:val="20"/>
      <w:shd w:val="clear" w:color="auto" w:fill="F5F5F5"/>
    </w:rPr>
  </w:style>
  <w:style w:type="paragraph" w:styleId="17">
    <w:name w:val="List Paragraph"/>
    <w:basedOn w:val="1"/>
    <w:qFormat/>
    <w:uiPriority w:val="0"/>
    <w:pPr>
      <w:ind w:left="720"/>
      <w:contextualSpacing/>
    </w:pPr>
  </w:style>
  <w:style w:type="table" w:styleId="18">
    <w:name w:val="Table Grid"/>
    <w:basedOn w:val="1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851</Words>
  <Characters>4694</Characters>
  <TotalTime>2</TotalTime>
  <ScaleCrop>false</ScaleCrop>
  <LinksUpToDate>false</LinksUpToDate>
  <CharactersWithSpaces>5432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2026-09-28T16:11:25Z</dcterms:created>
  <dc:creator>Admin</dc:creator>
  <dc:description>Claude Docs node/124038e8-651f@6 docx-w6</dc:description>
  <cp:lastModifiedBy>Admin</cp:lastModifiedBy>
  <dcterms:modified xsi:type="dcterms:W3CDTF">2026-09-28T16:14:09Z</dcterms:modified>
  <dc:title>SignSecure TrustFlow — Note sécurité pour revue experte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eyJoZGlkIjoiM2YyNjE5NWJiYWQ2MDc3ZWNmMzc1M2RmMjUxZTJmNjIifQ==</vt:lpwstr>
  </property>
  <property fmtid="{D5CDD505-2E9C-101B-9397-08002B2CF9AE}" pid="3" name="KSOProductBuildVer">
    <vt:lpwstr>3084-12.1.0.28485</vt:lpwstr>
  </property>
  <property fmtid="{D5CDD505-2E9C-101B-9397-08002B2CF9AE}" pid="4" name="ICV">
    <vt:lpwstr>607F63AB5EB842439444673A4F6CCD45_12</vt:lpwstr>
  </property>
</Properties>
</file>