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B2F1D" w14:textId="218DAA08" w:rsidR="0006791B" w:rsidRPr="000A7666" w:rsidRDefault="00F43E56" w:rsidP="000A7666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7666">
        <w:rPr>
          <w:rFonts w:ascii="Times New Roman" w:hAnsi="Times New Roman" w:cs="Times New Roman"/>
          <w:b/>
          <w:bCs/>
          <w:sz w:val="28"/>
          <w:szCs w:val="28"/>
          <w:u w:val="single"/>
        </w:rPr>
        <w:t>Models’</w:t>
      </w:r>
      <w:r w:rsidR="0006791B" w:rsidRPr="000A766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information</w:t>
      </w:r>
    </w:p>
    <w:p w14:paraId="30BCB8EB" w14:textId="77777777" w:rsidR="000A7666" w:rsidRDefault="000A7666" w:rsidP="00C66AC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2D982" w14:textId="1E940CD3" w:rsidR="0006791B" w:rsidRPr="00C66ACA" w:rsidRDefault="0006791B" w:rsidP="00C66AC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ACA">
        <w:rPr>
          <w:rFonts w:ascii="Times New Roman" w:hAnsi="Times New Roman" w:cs="Times New Roman"/>
          <w:sz w:val="24"/>
          <w:szCs w:val="24"/>
        </w:rPr>
        <w:t xml:space="preserve">Models were curated and exchanged in SBML Level 3 format to ensure reproducibility. Both </w:t>
      </w:r>
      <w:r w:rsidR="00C66ACA" w:rsidRPr="00C66ACA">
        <w:rPr>
          <w:rFonts w:ascii="Times New Roman" w:hAnsi="Times New Roman" w:cs="Times New Roman"/>
          <w:sz w:val="24"/>
          <w:szCs w:val="24"/>
        </w:rPr>
        <w:t>Genome-scale metabolic models (</w:t>
      </w:r>
      <w:r w:rsidRPr="00C66ACA">
        <w:rPr>
          <w:rFonts w:ascii="Times New Roman" w:hAnsi="Times New Roman" w:cs="Times New Roman"/>
          <w:sz w:val="24"/>
          <w:szCs w:val="24"/>
        </w:rPr>
        <w:t>GEMs</w:t>
      </w:r>
      <w:r w:rsidR="00C66ACA" w:rsidRPr="00C66ACA">
        <w:rPr>
          <w:rFonts w:ascii="Times New Roman" w:hAnsi="Times New Roman" w:cs="Times New Roman"/>
          <w:sz w:val="24"/>
          <w:szCs w:val="24"/>
        </w:rPr>
        <w:t>)</w:t>
      </w:r>
      <w:r w:rsidRPr="00C66ACA">
        <w:rPr>
          <w:rFonts w:ascii="Times New Roman" w:hAnsi="Times New Roman" w:cs="Times New Roman"/>
          <w:sz w:val="24"/>
          <w:szCs w:val="24"/>
        </w:rPr>
        <w:t xml:space="preserve"> were validated by </w:t>
      </w:r>
      <w:r w:rsidR="00C66ACA" w:rsidRPr="00C66ACA">
        <w:rPr>
          <w:rFonts w:ascii="Times New Roman" w:hAnsi="Times New Roman" w:cs="Times New Roman"/>
          <w:sz w:val="24"/>
          <w:szCs w:val="24"/>
        </w:rPr>
        <w:t>stimulating</w:t>
      </w:r>
      <w:r w:rsidRPr="00C66ACA">
        <w:rPr>
          <w:rFonts w:ascii="Times New Roman" w:hAnsi="Times New Roman" w:cs="Times New Roman"/>
          <w:sz w:val="24"/>
          <w:szCs w:val="24"/>
        </w:rPr>
        <w:t xml:space="preserve"> growth on experimentally relevant substrates (glucose, xylose, CO, CO</w:t>
      </w:r>
      <w:r w:rsidRPr="00C66AC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66ACA">
        <w:rPr>
          <w:rFonts w:ascii="Times New Roman" w:hAnsi="Times New Roman" w:cs="Times New Roman"/>
          <w:sz w:val="24"/>
          <w:szCs w:val="24"/>
        </w:rPr>
        <w:t>/H</w:t>
      </w:r>
      <w:r w:rsidRPr="00C66AC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66ACA">
        <w:rPr>
          <w:rFonts w:ascii="Times New Roman" w:hAnsi="Times New Roman" w:cs="Times New Roman"/>
          <w:sz w:val="24"/>
          <w:szCs w:val="24"/>
        </w:rPr>
        <w:t xml:space="preserve">) using flux balance analysis (FBA). </w:t>
      </w:r>
    </w:p>
    <w:p w14:paraId="5C62F6BB" w14:textId="7454AE99" w:rsidR="0006791B" w:rsidRPr="00C66ACA" w:rsidRDefault="0006791B" w:rsidP="00C66AC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ACA">
        <w:rPr>
          <w:rFonts w:ascii="Times New Roman" w:hAnsi="Times New Roman" w:cs="Times New Roman"/>
          <w:sz w:val="24"/>
          <w:szCs w:val="24"/>
        </w:rPr>
        <w:t xml:space="preserve">For </w:t>
      </w:r>
      <w:r w:rsidRPr="00C66ACA">
        <w:rPr>
          <w:rStyle w:val="Emphasis"/>
          <w:rFonts w:ascii="Times New Roman" w:hAnsi="Times New Roman" w:cs="Times New Roman"/>
          <w:sz w:val="24"/>
          <w:szCs w:val="24"/>
        </w:rPr>
        <w:t>C. beijerinckii</w:t>
      </w:r>
      <w:r w:rsidRPr="00C66ACA">
        <w:rPr>
          <w:rFonts w:ascii="Times New Roman" w:hAnsi="Times New Roman" w:cs="Times New Roman"/>
          <w:sz w:val="24"/>
          <w:szCs w:val="24"/>
        </w:rPr>
        <w:t xml:space="preserve"> NCIMB 8052:</w:t>
      </w:r>
    </w:p>
    <w:p w14:paraId="795B878F" w14:textId="020173F5" w:rsidR="0006791B" w:rsidRPr="00C66ACA" w:rsidRDefault="0006791B" w:rsidP="00C66AC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ACA">
        <w:rPr>
          <w:rFonts w:ascii="Times New Roman" w:hAnsi="Times New Roman" w:cs="Times New Roman"/>
          <w:sz w:val="24"/>
          <w:szCs w:val="24"/>
        </w:rPr>
        <w:t>Published GEM iCM925 was obtained in SBML format from the supplementary material of Benito-</w:t>
      </w:r>
      <w:proofErr w:type="spellStart"/>
      <w:r w:rsidRPr="00C66ACA">
        <w:rPr>
          <w:rFonts w:ascii="Times New Roman" w:hAnsi="Times New Roman" w:cs="Times New Roman"/>
          <w:sz w:val="24"/>
          <w:szCs w:val="24"/>
        </w:rPr>
        <w:t>Vaquerizo</w:t>
      </w:r>
      <w:proofErr w:type="spellEnd"/>
      <w:r w:rsidRPr="00C66ACA">
        <w:rPr>
          <w:rFonts w:ascii="Times New Roman" w:hAnsi="Times New Roman" w:cs="Times New Roman"/>
          <w:sz w:val="24"/>
          <w:szCs w:val="24"/>
        </w:rPr>
        <w:t xml:space="preserve"> </w:t>
      </w:r>
      <w:r w:rsidRPr="00C66ACA">
        <w:rPr>
          <w:rStyle w:val="Emphasis"/>
          <w:rFonts w:ascii="Times New Roman" w:hAnsi="Times New Roman" w:cs="Times New Roman"/>
          <w:sz w:val="24"/>
          <w:szCs w:val="24"/>
        </w:rPr>
        <w:t>et al.</w:t>
      </w:r>
      <w:r w:rsidRPr="00C66ACA">
        <w:rPr>
          <w:rFonts w:ascii="Times New Roman" w:hAnsi="Times New Roman" w:cs="Times New Roman"/>
          <w:sz w:val="24"/>
          <w:szCs w:val="24"/>
        </w:rPr>
        <w:t xml:space="preserve"> (2022; DOI: 10.3389/fmicb.2022.1064013)</w:t>
      </w:r>
    </w:p>
    <w:p w14:paraId="4617F37E" w14:textId="719B0AB8" w:rsidR="0006791B" w:rsidRPr="00C66ACA" w:rsidRDefault="0006791B" w:rsidP="00C66AC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ACA">
        <w:rPr>
          <w:rFonts w:ascii="Times New Roman" w:hAnsi="Times New Roman" w:cs="Times New Roman"/>
          <w:sz w:val="24"/>
          <w:szCs w:val="24"/>
        </w:rPr>
        <w:t>Key modifications in the organism’s native metabolism:</w:t>
      </w:r>
    </w:p>
    <w:p w14:paraId="192613E0" w14:textId="26780F26" w:rsidR="0006791B" w:rsidRPr="00C66ACA" w:rsidRDefault="0006791B" w:rsidP="00C66ACA">
      <w:pPr>
        <w:pStyle w:val="ListParagraph"/>
        <w:numPr>
          <w:ilvl w:val="1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ACA">
        <w:rPr>
          <w:rFonts w:ascii="Times New Roman" w:hAnsi="Times New Roman" w:cs="Times New Roman"/>
          <w:sz w:val="24"/>
          <w:szCs w:val="24"/>
        </w:rPr>
        <w:t>Reactions representing ferredoxin–NAD⁺ reductase (</w:t>
      </w:r>
      <w:proofErr w:type="spellStart"/>
      <w:r w:rsidRPr="00C66ACA">
        <w:rPr>
          <w:rFonts w:ascii="Times New Roman" w:hAnsi="Times New Roman" w:cs="Times New Roman"/>
          <w:sz w:val="24"/>
          <w:szCs w:val="24"/>
        </w:rPr>
        <w:t>FDXNRx</w:t>
      </w:r>
      <w:proofErr w:type="spellEnd"/>
      <w:r w:rsidRPr="00C66ACA">
        <w:rPr>
          <w:rFonts w:ascii="Times New Roman" w:hAnsi="Times New Roman" w:cs="Times New Roman"/>
          <w:sz w:val="24"/>
          <w:szCs w:val="24"/>
        </w:rPr>
        <w:t>) and ferredoxin</w:t>
      </w:r>
      <w:r w:rsidR="00F43E56">
        <w:rPr>
          <w:rFonts w:ascii="Times New Roman" w:hAnsi="Times New Roman" w:cs="Times New Roman"/>
          <w:sz w:val="24"/>
          <w:szCs w:val="24"/>
        </w:rPr>
        <w:t>-</w:t>
      </w:r>
      <w:r w:rsidRPr="00C66ACA">
        <w:rPr>
          <w:rFonts w:ascii="Times New Roman" w:hAnsi="Times New Roman" w:cs="Times New Roman"/>
          <w:sz w:val="24"/>
          <w:szCs w:val="24"/>
        </w:rPr>
        <w:t>NADP⁺ reductase (</w:t>
      </w:r>
      <w:proofErr w:type="spellStart"/>
      <w:r w:rsidRPr="00C66ACA">
        <w:rPr>
          <w:rFonts w:ascii="Times New Roman" w:hAnsi="Times New Roman" w:cs="Times New Roman"/>
          <w:sz w:val="24"/>
          <w:szCs w:val="24"/>
        </w:rPr>
        <w:t>FDXNRy</w:t>
      </w:r>
      <w:proofErr w:type="spellEnd"/>
      <w:r w:rsidRPr="00C66ACA">
        <w:rPr>
          <w:rFonts w:ascii="Times New Roman" w:hAnsi="Times New Roman" w:cs="Times New Roman"/>
          <w:sz w:val="24"/>
          <w:szCs w:val="24"/>
        </w:rPr>
        <w:t xml:space="preserve">) were replaced by the Na⁺-translocating </w:t>
      </w:r>
      <w:proofErr w:type="spellStart"/>
      <w:proofErr w:type="gramStart"/>
      <w:r w:rsidRPr="00C66ACA">
        <w:rPr>
          <w:rFonts w:ascii="Times New Roman" w:hAnsi="Times New Roman" w:cs="Times New Roman"/>
          <w:sz w:val="24"/>
          <w:szCs w:val="24"/>
        </w:rPr>
        <w:t>ferredoxin:NAD</w:t>
      </w:r>
      <w:proofErr w:type="spellEnd"/>
      <w:proofErr w:type="gramEnd"/>
      <w:r w:rsidRPr="00C66ACA">
        <w:rPr>
          <w:rFonts w:ascii="Times New Roman" w:hAnsi="Times New Roman" w:cs="Times New Roman"/>
          <w:sz w:val="24"/>
          <w:szCs w:val="24"/>
        </w:rPr>
        <w:t>⁺ oxidoreductase (</w:t>
      </w:r>
      <w:proofErr w:type="spellStart"/>
      <w:r w:rsidRPr="00C66ACA">
        <w:rPr>
          <w:rFonts w:ascii="Times New Roman" w:hAnsi="Times New Roman" w:cs="Times New Roman"/>
          <w:sz w:val="24"/>
          <w:szCs w:val="24"/>
        </w:rPr>
        <w:t>Rnf</w:t>
      </w:r>
      <w:proofErr w:type="spellEnd"/>
      <w:r w:rsidRPr="00C66ACA">
        <w:rPr>
          <w:rFonts w:ascii="Times New Roman" w:hAnsi="Times New Roman" w:cs="Times New Roman"/>
          <w:sz w:val="24"/>
          <w:szCs w:val="24"/>
        </w:rPr>
        <w:t xml:space="preserve"> complex) and the electron-bifurcating, ferredoxin-dependent transhydrogenase (</w:t>
      </w:r>
      <w:proofErr w:type="spellStart"/>
      <w:r w:rsidRPr="00C66ACA">
        <w:rPr>
          <w:rFonts w:ascii="Times New Roman" w:hAnsi="Times New Roman" w:cs="Times New Roman"/>
          <w:sz w:val="24"/>
          <w:szCs w:val="24"/>
        </w:rPr>
        <w:t>Nfn</w:t>
      </w:r>
      <w:proofErr w:type="spellEnd"/>
      <w:r w:rsidRPr="00C66ACA">
        <w:rPr>
          <w:rFonts w:ascii="Times New Roman" w:hAnsi="Times New Roman" w:cs="Times New Roman"/>
          <w:sz w:val="24"/>
          <w:szCs w:val="24"/>
        </w:rPr>
        <w:t xml:space="preserve"> complex)</w:t>
      </w:r>
      <w:r w:rsidR="00C66ACA" w:rsidRPr="00C66ACA">
        <w:rPr>
          <w:rFonts w:ascii="Times New Roman" w:hAnsi="Times New Roman" w:cs="Times New Roman"/>
          <w:sz w:val="24"/>
          <w:szCs w:val="24"/>
        </w:rPr>
        <w:t>;</w:t>
      </w:r>
    </w:p>
    <w:p w14:paraId="0C202BD3" w14:textId="5E36AB3E" w:rsidR="0006791B" w:rsidRPr="00C66ACA" w:rsidRDefault="00C66ACA" w:rsidP="00C66ACA">
      <w:pPr>
        <w:pStyle w:val="ListParagraph"/>
        <w:numPr>
          <w:ilvl w:val="1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ACA">
        <w:rPr>
          <w:rFonts w:ascii="Times New Roman" w:hAnsi="Times New Roman" w:cs="Times New Roman"/>
          <w:sz w:val="24"/>
          <w:szCs w:val="24"/>
        </w:rPr>
        <w:t>Reaction stoichiometries were defined according to clostridial bioenergetics literature, with gene</w:t>
      </w:r>
      <w:r w:rsidR="00F43E56">
        <w:rPr>
          <w:rFonts w:ascii="Times New Roman" w:hAnsi="Times New Roman" w:cs="Times New Roman"/>
          <w:sz w:val="24"/>
          <w:szCs w:val="24"/>
        </w:rPr>
        <w:t>-</w:t>
      </w:r>
      <w:r w:rsidRPr="00C66ACA">
        <w:rPr>
          <w:rFonts w:ascii="Times New Roman" w:hAnsi="Times New Roman" w:cs="Times New Roman"/>
          <w:sz w:val="24"/>
          <w:szCs w:val="24"/>
        </w:rPr>
        <w:t>protein</w:t>
      </w:r>
      <w:r w:rsidR="00F43E56">
        <w:rPr>
          <w:rFonts w:ascii="Times New Roman" w:hAnsi="Times New Roman" w:cs="Times New Roman"/>
          <w:sz w:val="24"/>
          <w:szCs w:val="24"/>
        </w:rPr>
        <w:t>-</w:t>
      </w:r>
      <w:r w:rsidRPr="00C66ACA">
        <w:rPr>
          <w:rFonts w:ascii="Times New Roman" w:hAnsi="Times New Roman" w:cs="Times New Roman"/>
          <w:sz w:val="24"/>
          <w:szCs w:val="24"/>
        </w:rPr>
        <w:t xml:space="preserve">reaction associations updated to reflect the corresponding </w:t>
      </w:r>
      <w:proofErr w:type="spellStart"/>
      <w:r w:rsidRPr="00C66ACA">
        <w:rPr>
          <w:rStyle w:val="Emphasis"/>
          <w:rFonts w:ascii="Times New Roman" w:hAnsi="Times New Roman" w:cs="Times New Roman"/>
          <w:sz w:val="24"/>
          <w:szCs w:val="24"/>
        </w:rPr>
        <w:t>rnf</w:t>
      </w:r>
      <w:proofErr w:type="spellEnd"/>
      <w:r w:rsidRPr="00C66AC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66ACA">
        <w:rPr>
          <w:rStyle w:val="Emphasis"/>
          <w:rFonts w:ascii="Times New Roman" w:hAnsi="Times New Roman" w:cs="Times New Roman"/>
          <w:sz w:val="24"/>
          <w:szCs w:val="24"/>
        </w:rPr>
        <w:t>nfn</w:t>
      </w:r>
      <w:proofErr w:type="spellEnd"/>
      <w:r w:rsidRPr="00C66ACA">
        <w:rPr>
          <w:rFonts w:ascii="Times New Roman" w:hAnsi="Times New Roman" w:cs="Times New Roman"/>
          <w:sz w:val="24"/>
          <w:szCs w:val="24"/>
        </w:rPr>
        <w:t xml:space="preserve"> operons.</w:t>
      </w:r>
    </w:p>
    <w:p w14:paraId="71C09408" w14:textId="607F3395" w:rsidR="00C66ACA" w:rsidRPr="00C66ACA" w:rsidRDefault="00C66ACA" w:rsidP="00C66AC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ACA">
        <w:rPr>
          <w:rFonts w:ascii="Times New Roman" w:hAnsi="Times New Roman" w:cs="Times New Roman"/>
          <w:sz w:val="24"/>
          <w:szCs w:val="24"/>
        </w:rPr>
        <w:t xml:space="preserve">For </w:t>
      </w:r>
      <w:r w:rsidRPr="00C66ACA">
        <w:rPr>
          <w:rStyle w:val="Emphasis"/>
          <w:rFonts w:ascii="Times New Roman" w:hAnsi="Times New Roman" w:cs="Times New Roman"/>
          <w:sz w:val="24"/>
          <w:szCs w:val="24"/>
        </w:rPr>
        <w:t>C. carboxidivorans</w:t>
      </w:r>
      <w:r w:rsidRPr="00C66ACA">
        <w:rPr>
          <w:rFonts w:ascii="Times New Roman" w:hAnsi="Times New Roman" w:cs="Times New Roman"/>
          <w:sz w:val="24"/>
          <w:szCs w:val="24"/>
        </w:rPr>
        <w:t xml:space="preserve"> P7</w:t>
      </w:r>
      <w:r w:rsidRPr="00C66ACA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Pr="00C66ACA">
        <w:rPr>
          <w:rFonts w:ascii="Times New Roman" w:hAnsi="Times New Roman" w:cs="Times New Roman"/>
          <w:sz w:val="24"/>
          <w:szCs w:val="24"/>
        </w:rPr>
        <w:t>:</w:t>
      </w:r>
    </w:p>
    <w:p w14:paraId="109056A9" w14:textId="36F32257" w:rsidR="00C66ACA" w:rsidRDefault="00C66ACA" w:rsidP="00C66ACA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ACA">
        <w:rPr>
          <w:rFonts w:ascii="Times New Roman" w:hAnsi="Times New Roman" w:cs="Times New Roman"/>
          <w:sz w:val="24"/>
          <w:szCs w:val="24"/>
        </w:rPr>
        <w:t xml:space="preserve">GEM was reconstructed following established protocols for metabolic network reconstruction. A draft reconstruction was generated using the genome sequence (NCBI </w:t>
      </w:r>
      <w:proofErr w:type="spellStart"/>
      <w:r w:rsidRPr="00C66ACA">
        <w:rPr>
          <w:rFonts w:ascii="Times New Roman" w:hAnsi="Times New Roman" w:cs="Times New Roman"/>
          <w:sz w:val="24"/>
          <w:szCs w:val="24"/>
        </w:rPr>
        <w:t>RefSeq</w:t>
      </w:r>
      <w:proofErr w:type="spellEnd"/>
      <w:r w:rsidRPr="00C66ACA">
        <w:rPr>
          <w:rFonts w:ascii="Times New Roman" w:hAnsi="Times New Roman" w:cs="Times New Roman"/>
          <w:sz w:val="24"/>
          <w:szCs w:val="24"/>
        </w:rPr>
        <w:t xml:space="preserve"> accession: NC_009617.1) as input to </w:t>
      </w:r>
      <w:proofErr w:type="spellStart"/>
      <w:r w:rsidRPr="00C66ACA">
        <w:rPr>
          <w:rFonts w:ascii="Times New Roman" w:hAnsi="Times New Roman" w:cs="Times New Roman"/>
          <w:sz w:val="24"/>
          <w:szCs w:val="24"/>
        </w:rPr>
        <w:t>CarveMe</w:t>
      </w:r>
      <w:proofErr w:type="spellEnd"/>
      <w:r w:rsidRPr="00C66ACA">
        <w:rPr>
          <w:rFonts w:ascii="Times New Roman" w:hAnsi="Times New Roman" w:cs="Times New Roman"/>
          <w:sz w:val="24"/>
          <w:szCs w:val="24"/>
        </w:rPr>
        <w:t xml:space="preserve"> (</w:t>
      </w:r>
      <w:hyperlink w:history="1">
        <w:r w:rsidR="00F43E56" w:rsidRPr="008D25AC">
          <w:rPr>
            <w:rStyle w:val="Hyperlink"/>
            <w:rFonts w:ascii="Times New Roman" w:hAnsi="Times New Roman" w:cs="Times New Roman"/>
            <w:sz w:val="24"/>
            <w:szCs w:val="24"/>
          </w:rPr>
          <w:t>https://github.com /carveme</w:t>
        </w:r>
      </w:hyperlink>
      <w:r w:rsidRPr="00C66ACA">
        <w:rPr>
          <w:rFonts w:ascii="Times New Roman" w:hAnsi="Times New Roman" w:cs="Times New Roman"/>
          <w:sz w:val="24"/>
          <w:szCs w:val="24"/>
        </w:rPr>
        <w:t xml:space="preserve">) after annotation with </w:t>
      </w:r>
      <w:proofErr w:type="spellStart"/>
      <w:r w:rsidRPr="00C66ACA">
        <w:rPr>
          <w:rFonts w:ascii="Times New Roman" w:hAnsi="Times New Roman" w:cs="Times New Roman"/>
          <w:sz w:val="24"/>
          <w:szCs w:val="24"/>
        </w:rPr>
        <w:t>Prokka</w:t>
      </w:r>
      <w:proofErr w:type="spellEnd"/>
      <w:r w:rsidRPr="00C66ACA">
        <w:rPr>
          <w:rFonts w:ascii="Times New Roman" w:hAnsi="Times New Roman" w:cs="Times New Roman"/>
          <w:sz w:val="24"/>
          <w:szCs w:val="24"/>
        </w:rPr>
        <w:t xml:space="preserve"> (</w:t>
      </w:r>
      <w:hyperlink r:id="rId5" w:history="1">
        <w:r w:rsidRPr="00C66AC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https://github.com/</w:t>
        </w:r>
        <w:r w:rsidR="00F43E56" w:rsidRPr="00C66AC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 </w:t>
        </w:r>
        <w:r w:rsidRPr="00C66AC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C66AC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prokka</w:t>
        </w:r>
        <w:proofErr w:type="spellEnd"/>
      </w:hyperlink>
      <w:r w:rsidRPr="00C66ACA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A9DB46D" w14:textId="7E03E28C" w:rsidR="008A5006" w:rsidRPr="00F43E56" w:rsidRDefault="00C66ACA" w:rsidP="00C66ACA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E56">
        <w:rPr>
          <w:rFonts w:ascii="Times New Roman" w:hAnsi="Times New Roman" w:cs="Times New Roman"/>
          <w:sz w:val="24"/>
          <w:szCs w:val="24"/>
        </w:rPr>
        <w:t xml:space="preserve">The draft model was produced in SBML format and subsequently curated by incorporating the </w:t>
      </w:r>
      <w:r w:rsidRPr="00F43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Wood</w:t>
      </w:r>
      <w:r w:rsidR="00F43E56" w:rsidRPr="00F43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-</w:t>
      </w:r>
      <w:proofErr w:type="spellStart"/>
      <w:r w:rsidRPr="00F43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Ljungdahl</w:t>
      </w:r>
      <w:proofErr w:type="spellEnd"/>
      <w:r w:rsidRPr="00F43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pathway (WLP)</w:t>
      </w:r>
      <w:r w:rsidRPr="00F43E56">
        <w:rPr>
          <w:rFonts w:ascii="Times New Roman" w:hAnsi="Times New Roman" w:cs="Times New Roman"/>
          <w:sz w:val="24"/>
          <w:szCs w:val="24"/>
        </w:rPr>
        <w:t>, the</w:t>
      </w:r>
      <w:r w:rsidRPr="00F43E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Rnf</w:t>
      </w:r>
      <w:proofErr w:type="spellEnd"/>
      <w:r w:rsidRPr="00F43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and </w:t>
      </w:r>
      <w:proofErr w:type="spellStart"/>
      <w:r w:rsidRPr="00F43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Nfn</w:t>
      </w:r>
      <w:proofErr w:type="spellEnd"/>
      <w:r w:rsidRPr="00F43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complexes</w:t>
      </w:r>
      <w:r w:rsidRPr="00F43E56">
        <w:rPr>
          <w:rFonts w:ascii="Times New Roman" w:hAnsi="Times New Roman" w:cs="Times New Roman"/>
          <w:sz w:val="24"/>
          <w:szCs w:val="24"/>
        </w:rPr>
        <w:t>, and clostridial solventogenesis pathways (acetone</w:t>
      </w:r>
      <w:r w:rsidR="00F43E56" w:rsidRPr="00F43E56">
        <w:rPr>
          <w:rFonts w:ascii="Times New Roman" w:hAnsi="Times New Roman" w:cs="Times New Roman"/>
          <w:sz w:val="24"/>
          <w:szCs w:val="24"/>
        </w:rPr>
        <w:t>-</w:t>
      </w:r>
      <w:r w:rsidRPr="00F43E56">
        <w:rPr>
          <w:rFonts w:ascii="Times New Roman" w:hAnsi="Times New Roman" w:cs="Times New Roman"/>
          <w:sz w:val="24"/>
          <w:szCs w:val="24"/>
        </w:rPr>
        <w:t>butanol</w:t>
      </w:r>
      <w:r w:rsidR="00F43E56" w:rsidRPr="00F43E56">
        <w:rPr>
          <w:rFonts w:ascii="Times New Roman" w:hAnsi="Times New Roman" w:cs="Times New Roman"/>
          <w:sz w:val="24"/>
          <w:szCs w:val="24"/>
        </w:rPr>
        <w:t>-</w:t>
      </w:r>
      <w:r w:rsidRPr="00F43E56">
        <w:rPr>
          <w:rFonts w:ascii="Times New Roman" w:hAnsi="Times New Roman" w:cs="Times New Roman"/>
          <w:sz w:val="24"/>
          <w:szCs w:val="24"/>
        </w:rPr>
        <w:t xml:space="preserve">ethanol, ABE). Pathway curation was guided by experimental data and prior biochemical studies of acetogenic clostridia. </w:t>
      </w:r>
      <w:r w:rsidR="00F43E56" w:rsidRPr="00675D94">
        <w:rPr>
          <w:rFonts w:ascii="Times New Roman" w:hAnsi="Times New Roman" w:cs="Times New Roman"/>
          <w:sz w:val="24"/>
          <w:szCs w:val="24"/>
        </w:rPr>
        <w:t xml:space="preserve">These refinements were guided by biochemical, genomic, and experimental evidence reported for acetogenic clostridia such as </w:t>
      </w:r>
      <w:r w:rsidR="00F43E56" w:rsidRPr="00675D94">
        <w:rPr>
          <w:rStyle w:val="Emphasis"/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F43E56" w:rsidRPr="00675D94">
        <w:rPr>
          <w:rStyle w:val="Emphasis"/>
          <w:rFonts w:ascii="Times New Roman" w:hAnsi="Times New Roman" w:cs="Times New Roman"/>
          <w:sz w:val="24"/>
          <w:szCs w:val="24"/>
        </w:rPr>
        <w:t>ljungdahlii</w:t>
      </w:r>
      <w:proofErr w:type="spellEnd"/>
      <w:r w:rsidR="00F43E56" w:rsidRPr="00675D94">
        <w:rPr>
          <w:rFonts w:ascii="Times New Roman" w:hAnsi="Times New Roman" w:cs="Times New Roman"/>
          <w:sz w:val="24"/>
          <w:szCs w:val="24"/>
        </w:rPr>
        <w:t xml:space="preserve"> (Nagarajan </w:t>
      </w:r>
      <w:r w:rsidR="00F43E56" w:rsidRPr="00675D94">
        <w:rPr>
          <w:rFonts w:ascii="Times New Roman" w:hAnsi="Times New Roman" w:cs="Times New Roman"/>
          <w:i/>
          <w:iCs/>
          <w:sz w:val="24"/>
          <w:szCs w:val="24"/>
        </w:rPr>
        <w:t>et al</w:t>
      </w:r>
      <w:r w:rsidR="00F43E56" w:rsidRPr="00675D94">
        <w:rPr>
          <w:rFonts w:ascii="Times New Roman" w:hAnsi="Times New Roman" w:cs="Times New Roman"/>
          <w:sz w:val="24"/>
          <w:szCs w:val="24"/>
        </w:rPr>
        <w:t xml:space="preserve">., 2013; </w:t>
      </w:r>
      <w:proofErr w:type="spellStart"/>
      <w:r w:rsidR="00F43E56" w:rsidRPr="00675D94">
        <w:rPr>
          <w:rFonts w:ascii="Times New Roman" w:hAnsi="Times New Roman" w:cs="Times New Roman"/>
          <w:sz w:val="24"/>
          <w:szCs w:val="24"/>
        </w:rPr>
        <w:t>Valgepea</w:t>
      </w:r>
      <w:proofErr w:type="spellEnd"/>
      <w:r w:rsidR="00F43E56" w:rsidRPr="00675D94">
        <w:rPr>
          <w:rFonts w:ascii="Times New Roman" w:hAnsi="Times New Roman" w:cs="Times New Roman"/>
          <w:sz w:val="24"/>
          <w:szCs w:val="24"/>
        </w:rPr>
        <w:t xml:space="preserve"> </w:t>
      </w:r>
      <w:r w:rsidR="00F43E56" w:rsidRPr="00675D94">
        <w:rPr>
          <w:rFonts w:ascii="Times New Roman" w:hAnsi="Times New Roman" w:cs="Times New Roman"/>
          <w:i/>
          <w:iCs/>
          <w:sz w:val="24"/>
          <w:szCs w:val="24"/>
        </w:rPr>
        <w:t>et al</w:t>
      </w:r>
      <w:r w:rsidR="00F43E56" w:rsidRPr="00675D94">
        <w:rPr>
          <w:rFonts w:ascii="Times New Roman" w:hAnsi="Times New Roman" w:cs="Times New Roman"/>
          <w:sz w:val="24"/>
          <w:szCs w:val="24"/>
        </w:rPr>
        <w:t xml:space="preserve">., 2018) and </w:t>
      </w:r>
      <w:r w:rsidR="00F43E56" w:rsidRPr="00675D94">
        <w:rPr>
          <w:rStyle w:val="Emphasis"/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F43E56" w:rsidRPr="00675D94">
        <w:rPr>
          <w:rStyle w:val="Emphasis"/>
          <w:rFonts w:ascii="Times New Roman" w:hAnsi="Times New Roman" w:cs="Times New Roman"/>
          <w:sz w:val="24"/>
          <w:szCs w:val="24"/>
        </w:rPr>
        <w:t>autoethanogenum</w:t>
      </w:r>
      <w:proofErr w:type="spellEnd"/>
      <w:r w:rsidR="00F43E56" w:rsidRPr="00675D94">
        <w:rPr>
          <w:rFonts w:ascii="Times New Roman" w:hAnsi="Times New Roman" w:cs="Times New Roman"/>
          <w:sz w:val="24"/>
          <w:szCs w:val="24"/>
        </w:rPr>
        <w:t xml:space="preserve"> (Norman </w:t>
      </w:r>
      <w:r w:rsidR="00F43E56" w:rsidRPr="00675D94">
        <w:rPr>
          <w:rFonts w:ascii="Times New Roman" w:hAnsi="Times New Roman" w:cs="Times New Roman"/>
          <w:i/>
          <w:iCs/>
          <w:sz w:val="24"/>
          <w:szCs w:val="24"/>
        </w:rPr>
        <w:t>et al</w:t>
      </w:r>
      <w:r w:rsidR="00F43E56" w:rsidRPr="00675D94">
        <w:rPr>
          <w:rFonts w:ascii="Times New Roman" w:hAnsi="Times New Roman" w:cs="Times New Roman"/>
          <w:sz w:val="24"/>
          <w:szCs w:val="24"/>
        </w:rPr>
        <w:t>., 2019).</w:t>
      </w:r>
    </w:p>
    <w:p w14:paraId="51B9D9D1" w14:textId="77777777" w:rsidR="008A5006" w:rsidRPr="00C66ACA" w:rsidRDefault="008A5006" w:rsidP="00C66AC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645218" w14:textId="77777777" w:rsidR="008A5006" w:rsidRPr="00C66ACA" w:rsidRDefault="008A5006" w:rsidP="00C66AC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C2EFB0" w14:textId="77777777" w:rsidR="008A5006" w:rsidRPr="00C66ACA" w:rsidRDefault="008A5006" w:rsidP="00C66AC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A5006" w:rsidRPr="00C66ACA" w:rsidSect="008A5006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33307"/>
    <w:multiLevelType w:val="hybridMultilevel"/>
    <w:tmpl w:val="A69659F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66520"/>
    <w:multiLevelType w:val="hybridMultilevel"/>
    <w:tmpl w:val="5C34A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72C25"/>
    <w:multiLevelType w:val="hybridMultilevel"/>
    <w:tmpl w:val="6AC233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06"/>
    <w:rsid w:val="0006791B"/>
    <w:rsid w:val="000A7666"/>
    <w:rsid w:val="00520429"/>
    <w:rsid w:val="008A5006"/>
    <w:rsid w:val="008E5C05"/>
    <w:rsid w:val="00C66ACA"/>
    <w:rsid w:val="00F4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364C"/>
  <w15:chartTrackingRefBased/>
  <w15:docId w15:val="{7FF682AB-F286-4587-8FC9-9F95BA46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0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0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06"/>
    <w:rPr>
      <w:b/>
      <w:bCs/>
      <w:smallCaps/>
      <w:color w:val="2E74B5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A5006"/>
    <w:rPr>
      <w:i/>
      <w:iCs/>
    </w:rPr>
  </w:style>
  <w:style w:type="character" w:styleId="Hyperlink">
    <w:name w:val="Hyperlink"/>
    <w:basedOn w:val="DefaultParagraphFont"/>
    <w:uiPriority w:val="99"/>
    <w:unhideWhenUsed/>
    <w:rsid w:val="00C66AC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C66AC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43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seemann/prokk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</dc:creator>
  <cp:keywords/>
  <dc:description/>
  <cp:lastModifiedBy>Emmanuel, Okezie</cp:lastModifiedBy>
  <cp:revision>2</cp:revision>
  <dcterms:created xsi:type="dcterms:W3CDTF">2025-11-14T23:36:00Z</dcterms:created>
  <dcterms:modified xsi:type="dcterms:W3CDTF">2025-11-14T23:36:00Z</dcterms:modified>
</cp:coreProperties>
</file>