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School: </w:t>
      </w:r>
      <w:r>
        <w:t>University of Buea</w:t>
      </w:r>
    </w:p>
    <w:p>
      <w:r>
        <w:rPr>
          <w:b/>
        </w:rPr>
        <w:t xml:space="preserve">Department: </w:t>
      </w:r>
      <w:r>
        <w:t>Computer Science</w:t>
      </w:r>
    </w:p>
    <w:p>
      <w:r>
        <w:rPr>
          <w:b/>
        </w:rPr>
        <w:t xml:space="preserve">Level: </w:t>
      </w:r>
      <w:r>
        <w:t>University</w:t>
      </w:r>
    </w:p>
    <w:p/>
    <w:p>
      <w:r>
        <w:t>The theoretical groundwork for computers was established well over 200 years ago, driven by 19th-century mathematicians and inventors focused on automating calculation. While these early efforts centered on mechanical devices, the critical pivot toward modern computing occurred in the 1930s with the development of electronic digital technologies. A hallmark moment in this shift was the conception of the Atanasoff-Berry Computer (ABC) in 1937. Recognized as the first electronic digital computing device, the ABC was specifically engineered to tackle practical numerical analysis challenges, such as solving systems of linear equations. This era of innovation successfully transitioned computation from purely mechanical or electro-mechanical relays to electronic switches, laying the indispensable architectural foundation for all subsequent generations of digital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