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School: </w:t>
      </w:r>
      <w:r>
        <w:t>University of Buea</w:t>
      </w:r>
    </w:p>
    <w:p>
      <w:r>
        <w:rPr>
          <w:b/>
        </w:rPr>
        <w:t xml:space="preserve">Department: </w:t>
      </w:r>
      <w:r>
        <w:t>Computer Science</w:t>
      </w:r>
    </w:p>
    <w:p>
      <w:r>
        <w:rPr>
          <w:b/>
        </w:rPr>
        <w:t xml:space="preserve">Level: </w:t>
      </w:r>
      <w:r>
        <w:t>University</w:t>
      </w:r>
    </w:p>
    <w:p/>
    <w:p>
      <w:r>
        <w:t>The intellectual roots of computing stretch back well over 200 years, with mathematicians and engineers in the 19th century establishing the crucial theoretical groundwork for automated calculation. Despite these essential conceptual beginnings, the genesis of the modern electronic digital computing device generally traces its timeline to the 1930s. This period marked the transition from mechanical or electromechanical aids to fully electronic systems. A pivotal moment occurred around 1937 with the development of devices like the Atanasoff-Berry Computer (ABC), recognized as one of the first machines specifically engineered to solve complex mathematical tasks, such as systems of linear equations, through electronic means, thereby setting the fundamental technological direction that defined the subsequent decades of exponential growth in computation.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