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Research Proposal: Comparative Performance Analysis of NoSQL Models Under High-Concurrency Workloads</w:t>
      </w:r>
    </w:p>
    <w:p>
      <w:r>
        <w:t>Question / Topic:</w:t>
      </w:r>
    </w:p>
    <w:p>
      <w:r>
        <w:t>Investigate how key-value, column-family, graph, and document databases behave under stress, evaluating throughput, latency, consistency trade-offs, and scalability.</w:t>
      </w:r>
    </w:p>
    <w:p>
      <w:r>
        <w:t>--------------------</w:t>
      </w:r>
    </w:p>
    <w:p>
      <w:r>
        <w:t>Answer:</w:t>
      </w:r>
    </w:p>
    <w:p>
      <w:r>
        <w:t>This investigation seeks to establish empirical evidence regarding the operational characteristics of heterogenous NoSQL paradigms when subjected to peak load and high-concurrency environments. The core objective is to move beyond theoretical architectural comparisons and deliver quantifiable metrics across four primary data models: key-value (e.g., Redis), document (e.g., MongoDB), column-family (e.g., Apache Cassandra), and graph (e.g., Neo4j).</w:t>
      </w:r>
    </w:p>
    <w:p>
      <w:r>
        <w:t>### Experimental Design and Methodology</w:t>
      </w:r>
    </w:p>
    <w:p>
      <w:r>
        <w:t>**1. Environment Specification:** To ensure valid comparative metrics and control for network latency variability, the benchmark deployment will utilize a controlled cloud environment (e.g., AWS EC2 or Google Cloud Platform). A minimum of five worker nodes and one dedicated monitoring node will be provisioned, configured identically regarding CPU, RAM, and network bandwidth. Containerization (Docker/Kubernetes) will standardize the execution environment for each database system.</w:t>
      </w:r>
    </w:p>
    <w:p>
      <w:r>
        <w:t>**2. Workload Generation:** The Yahoo! Cloud Serving Benchmark (YCSB) framework will serve as the primary workload generator. YCSB enables simulation of various access patterns, crucially allowing us to define workloads that necessitate different operations, such as read-heavy (90% read/10% write, simulating caching or content retrieval) and balanced transactional workloads (50% read/50% update). The data set size must exceed the available RAM of any single node to enforce disk I/O operations and realistic distributed overhead.</w:t>
      </w:r>
    </w:p>
    <w:p>
      <w:r>
        <w:t>**3. Metrics Collection and Analysis:** Performance will be quantified using the following key indicators:</w:t>
      </w:r>
    </w:p>
    <w:p>
      <w:r>
        <w:t>*   **Throughput:** Measured in operations per second (ops/sec). This will evaluate the aggregate handling capacity under escalating concurrent user threads.</w:t>
      </w:r>
    </w:p>
    <w:p>
      <w:r>
        <w:t>*   **Latency:** Critical metrics include average latency, P95 (95th percentile), and P99 (99th percentile) latency. High P99 latency is often indicative of garbage collection bottlenecks or network saturation and is crucial for mission-critical system evaluation.</w:t>
      </w:r>
    </w:p>
    <w:p>
      <w:r>
        <w:t>*   **Scalability:** We will execute a scaling test, starting with a minimal cluster (three nodes) and horizontally scaling up to eight nodes while maintaining a constant load factor per node. The relative efficiency gain (speedup) versus the number of added nodes will define the scalability profile.</w:t>
      </w:r>
    </w:p>
    <w:p>
      <w:r>
        <w:t>*   **Consistency Trade-offs:** Utilizing specialized test harnesses, potentially incorporating elements of the Jepsen framework philosophy, we will specifically evaluate the practical impact of eventual consistency in Cassandra (column-family) versus the stronger consistency guarantees provided by default in certain document or graph databases. This involves measuring data staleness under heavy write contention and validating read-after-write guarantees.</w:t>
      </w:r>
    </w:p>
    <w:p>
      <w:r>
        <w:t>### Expected Outcomes</w:t>
      </w:r>
    </w:p>
    <w:p>
      <w:r>
        <w:t>We anticipate that key-value stores will demonstrate superior raw throughput and lower P95 latency for simple GET/PUT operations due to minimal data parsing and indexing overhead. Conversely, graph databases are expected to exhibit higher query latency but significant advantages in handling complex, multi-hop relationship queries that would require expensive JOINs or redundant data retrieval in the other models. The column-family model should offer the highest resilience and linear scalability under massive distributed write loads, adhering closely to the BASE properties required for high-availability systems, albeit at the cost of potential read-consistency degradation under concurrent updates. The final analysis will synthesize these findings to create a decision matrix guiding appropriate model selection based on workload profile (e.g., transactional, analytical, caching) and required strictness of data accuracy (CAP theorem considerations).</w:t>
      </w:r>
    </w:p>
    <w:p>
      <w:r>
        <w:t>--------------------</w:t>
      </w:r>
    </w:p>
    <w:p>
      <w:r>
        <w:t>Summary:</w:t>
      </w:r>
    </w:p>
    <w:p>
      <w:r>
        <w:t>This research outlines a rigorous experimental methodology using the YCSB framework to compare the performance characteristics (throughput, latency, consistency, scalability) of key-value, document, column-family, and graph NoSQL database models under high-concurrency stress tests in a controlled cloud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