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High-concurrency workloads—characterized by a large volume of simultaneous read and write operations—serve as a critical test for the architectural resilience and performance limits of NoSQL database models. The fundamental differences in data structure and distribution mechanisms dictate how each model optimizes for the CAP theorem (Consistency, Availability, Partition Tolerance) under stress.</w:t>
      </w:r>
    </w:p>
    <w:p>
      <w:r>
        <w:t>### 1. Key-Value Stores (KVS)</w:t>
      </w:r>
    </w:p>
    <w:p>
      <w:r>
        <w:t>**Architectural Focus:** KVS (e.g., Redis, DynamoDB) are optimized for speed and availability. Operations involve simple key lookups, often achieving O(1) complexity. Their design minimizes I/O overhead by treating data as opaque blobs.</w:t>
      </w:r>
    </w:p>
    <w:p>
      <w:r>
        <w:t>**Behavior Under Concurrency:** They exhibit the highest potential throughput and the lowest latency among NoSQL models. Under extreme concurrent load, performance degradation is typically linear and manageable, particularly for in-memory solutions. The simplicity of the data model avoids complex query planning or indexing issues under stress.</w:t>
      </w:r>
    </w:p>
    <w:p>
      <w:r>
        <w:t>**Consistency and Scalability:** Most KVS prioritize Availability (A) and Partition Tolerance (P) (BASE model) using Eventual Consistency. Scalability is exceptional, achieved easily through simple sharding since data elements are atomic and self-contained, minimizing cross-node coordination latency.</w:t>
      </w:r>
    </w:p>
    <w:p>
      <w:r>
        <w:t>### 2. Column-Family Stores (CFS)</w:t>
      </w:r>
    </w:p>
    <w:p>
      <w:r>
        <w:t>**Architectural Focus:** CFS (e.g., Apache Cassandra, HBase) are designed for massive horizontal scalability and write-heavy workloads (e.g., time-series, logging). They utilize log-structured merge-tree (LSM-Tree) structures, optimizing for sequential writes.</w:t>
      </w:r>
    </w:p>
    <w:p>
      <w:r>
        <w:t>**Behavior Under Concurrency:** They deliver the highest aggregate write throughput under sustained high concurrency. Random writes are buffered and converted into sequential disk operations, minimizing disk seeking bottlenecks. Read latency can be competitive, though potentially higher than KVS, especially when data is scattered across multiple SSTables requiring merge operations (compactions).</w:t>
      </w:r>
    </w:p>
    <w:p>
      <w:r>
        <w:t>**Consistency and Scalability:** They adhere to the BASE model but offer highly tunable consistency (e.g., ONE, QUORUM, ALL). Under stress, users typically tune consistency down to maintain maximum throughput and system availability. Scalability is robust and linear due to their masterless, symmetric peer-to-peer distribution architecture.</w:t>
      </w:r>
    </w:p>
    <w:p>
      <w:r>
        <w:t>### 3. Document Databases (DDB)</w:t>
      </w:r>
    </w:p>
    <w:p>
      <w:r>
        <w:t>**Architectural Focus:** DDBs (e.g., MongoDB, Couchbase) focus on flexible schema design and rich query capabilities over complex data structures (documents).</w:t>
      </w:r>
    </w:p>
    <w:p>
      <w:r>
        <w:t>**Behavior Under Concurrency:** Throughput is highly dependent on query complexity, indexing effectiveness, and document size. Under stress, poorly designed indexes or large, frequently updated documents (hot spots) can cause significant concurrency contention (locking or delayed writes), leading to higher latency variability compared to KVS or CFS. Aggregation pipelines, while powerful, introduce noticeable overhead under high concurrent requests.</w:t>
      </w:r>
    </w:p>
    <w:p>
      <w:r>
        <w:t>**Consistency and Scalability:** They often offer strong consistency guarantees (ACID properties) at the *single document level*. Multi-document transactions or distributed operations often rely on weaker consistency models or complex protocols, increasing latency under load. Scalability is good, relying heavily on effective sharding strategies. An improper shard key is the primary performance bottleneck under concurrent stress.</w:t>
      </w:r>
    </w:p>
    <w:p>
      <w:r>
        <w:t>### 4. Graph Databases (GDB)</w:t>
      </w:r>
    </w:p>
    <w:p>
      <w:r>
        <w:t>**Architectural Focus:** GDBs (e.g., Neo4j, JanusGraph) are optimized for relationship traversal (low latency for deep path finding queries) rather than high transactional volume.</w:t>
      </w:r>
    </w:p>
    <w:p>
      <w:r>
        <w:t>**Behavior Under Concurrency:** Overall transactional throughput is generally the lowest among the four models, constrained by the necessity of maintaining strict referential integrity across nodes and edges. Under concurrent workloads involving updates to highly interconnected nodes (“supernodes”), performance suffers severely due to locking mechanisms required to ensure consistency during complex traversals and writes. However, traversal latency remains low for the specific workload they are designed for.</w:t>
      </w:r>
    </w:p>
    <w:p>
      <w:r>
        <w:t>**Consistency and Scalability:** GDBs typically enforce strong consistency (ACID) to guarantee the integrity of complex, multi-hop relationships. This limits maximum system throughput. Scalability is challenging. Partitioning graph data across a cluster often necessitates costly cross-node network lookups during traversal, significantly increasing latency and undermining performance gains under high-partition-tolerance requirements.</w:t>
      </w:r>
    </w:p>
    <w:p>
      <w:r>
        <w:t>### Comparative Performance Summary</w:t>
      </w:r>
    </w:p>
    <w:p>
      <w:r>
        <w:t>| Model | Primary Metric | High-Concurrency Throughput | Consistency Model | Scalability Challenges |</w:t>
      </w:r>
    </w:p>
    <w:p>
      <w:r>
        <w:t>| :--- | :--- | :--- | :--- | :--- |</w:t>
      </w:r>
    </w:p>
    <w:p>
      <w:r>
        <w:t>| Key-Value | Read/Write Speed | Very High | Eventual | Minimal |</w:t>
      </w:r>
    </w:p>
    <w:p>
      <w:r>
        <w:t>| Column-Family | Write Volume | Extremely High | Tunable/Eventual | Data consistency management |</w:t>
      </w:r>
    </w:p>
    <w:p>
      <w:r>
        <w:t>| Document | Rich Queries | Medium to High | Strong (Document-level) | Shard key selection, Indexing |</w:t>
      </w:r>
    </w:p>
    <w:p>
      <w:r>
        <w:t>| Graph | Traversal Latency | Low to Medium | Strong (Transactional) | Partitioning highly connected data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