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AA" w:rsidRPr="001D162E" w:rsidRDefault="007D1965">
      <w:pPr>
        <w:pStyle w:val="ListParagraph"/>
        <w:wordWrap w:val="0"/>
        <w:spacing w:line="259" w:lineRule="auto"/>
        <w:ind w:left="0"/>
        <w:contextualSpacing/>
        <w:jc w:val="center"/>
        <w:rPr>
          <w:rFonts w:ascii="Times New Roman" w:eastAsia="Times New Roman" w:hAnsi="Times New Roman"/>
          <w:b/>
          <w:sz w:val="40"/>
          <w:szCs w:val="24"/>
        </w:rPr>
      </w:pPr>
      <w:r w:rsidRPr="001D162E">
        <w:rPr>
          <w:rFonts w:ascii="Times New Roman" w:eastAsia="Times New Roman" w:hAnsi="Times New Roman"/>
          <w:b/>
          <w:sz w:val="40"/>
          <w:szCs w:val="24"/>
        </w:rPr>
        <w:t>LAB 05</w:t>
      </w:r>
    </w:p>
    <w:p w:rsidR="00AA0DAA" w:rsidRDefault="00AA0DAA">
      <w:pPr>
        <w:pStyle w:val="ListParagraph"/>
        <w:wordWrap w:val="0"/>
        <w:spacing w:line="259" w:lineRule="auto"/>
        <w:ind w:left="0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OBJECTIVE:</w:t>
      </w:r>
      <w:r>
        <w:rPr>
          <w:rFonts w:ascii="Cambria" w:eastAsia="ＭＳ 明朝" w:hAnsi="ＭＳ 明朝"/>
          <w:sz w:val="24"/>
          <w:szCs w:val="24"/>
        </w:rPr>
        <w:t>To learn conceptual and logical DW Design</w:t>
      </w:r>
    </w:p>
    <w:p w:rsidR="00AA0DAA" w:rsidRDefault="007D1965">
      <w:pPr>
        <w:pStyle w:val="ListParagraph"/>
        <w:wordWrap w:val="0"/>
        <w:spacing w:line="259" w:lineRule="auto"/>
        <w:ind w:left="0"/>
        <w:contextualSpacing/>
        <w:jc w:val="lef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Draw M/ERDs for the following scenarios represented by ERDs and business rules to ease your task.</w:t>
      </w:r>
    </w:p>
    <w:p w:rsidR="00AA0DAA" w:rsidRDefault="001D162E" w:rsidP="001D162E">
      <w:pPr>
        <w:tabs>
          <w:tab w:val="left" w:pos="5955"/>
        </w:tabs>
        <w:wordWrap w:val="0"/>
        <w:spacing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0DAA" w:rsidRDefault="007D1965">
      <w:pPr>
        <w:pStyle w:val="ListParagraph"/>
        <w:wordWrap w:val="0"/>
        <w:spacing w:line="259" w:lineRule="auto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1: Advertising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Advertisements are placed by Agencies.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Advertisements are placed by Channels, such as TV or Print.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Advertisements can be part of a Marketing Campaign.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Invoices are produced and result in Payments.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Advertisements result in Responses.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>6. Responses can be analysed by Demographics.</w:t>
      </w:r>
    </w:p>
    <w:p w:rsidR="00AA0DAA" w:rsidRDefault="00AA0DAA">
      <w:pPr>
        <w:wordWrap w:val="0"/>
        <w:jc w:val="left"/>
        <w:rPr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Measure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29225" cy="2178119"/>
            <wp:effectExtent l="38100" t="57150" r="123825" b="88831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2612_1841520/fImage10778717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488" cy="217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AA0DAA">
      <w:pPr>
        <w:wordWrap w:val="0"/>
        <w:jc w:val="left"/>
        <w:rPr>
          <w:b/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CUBE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29225" cy="2450077"/>
            <wp:effectExtent l="38100" t="57150" r="123825" b="102623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2612_1841520/fImage854722184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0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2: Amusement Parks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Rides are available.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Customers use Credit or Debit Cards to buy Tickets to Ride.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Staff operate the Rides.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>4. Staff also work on Maintenance Schedules for the Rides.</w:t>
      </w:r>
    </w:p>
    <w:p w:rsidR="00AA0DAA" w:rsidRDefault="00AA0DAA">
      <w:pPr>
        <w:wordWrap w:val="0"/>
        <w:jc w:val="left"/>
        <w:rPr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CUBE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56644" cy="2219325"/>
            <wp:effectExtent l="38100" t="57150" r="110706" b="1047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2612_1841520/fImage1506281863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15" cy="2222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MEASURE Diagram:</w:t>
      </w: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73912" cy="2247900"/>
            <wp:effectExtent l="38100" t="57150" r="107738" b="9525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2612_1841520/fImage1462192065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67" cy="2249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3: Clown registry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People registered as Clowns are stored in the Clowns Table.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A Clown can have Acts with specific Features. </w:t>
      </w:r>
    </w:p>
    <w:p w:rsidR="00AA0DAA" w:rsidRDefault="007D1965">
      <w:pPr>
        <w:wordWrap w:val="0"/>
        <w:jc w:val="left"/>
        <w:rPr>
          <w:b/>
          <w:sz w:val="28"/>
          <w:szCs w:val="28"/>
        </w:rPr>
      </w:pPr>
      <w:r>
        <w:rPr>
          <w:sz w:val="24"/>
          <w:szCs w:val="24"/>
        </w:rPr>
        <w:t>3. Clowns accept Bookings to perform at specific Locations for specific Customers.</w:t>
      </w:r>
    </w:p>
    <w:p w:rsidR="00AA0DAA" w:rsidRDefault="007D1965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CUBE DIAGRAM</w:t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2327120" cy="2733675"/>
            <wp:effectExtent l="38100" t="57150" r="111280" b="1047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2612_1841520/fImage1870414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684" cy="2734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8955" cy="3055620"/>
            <wp:effectExtent l="38100" t="57150" r="112395" b="8763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2612_1841520/fImage58931184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05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2742565" cy="2192020"/>
            <wp:effectExtent l="38100" t="57150" r="114935" b="9398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2612_1841520/fImage133431563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5732145" cy="2830830"/>
            <wp:effectExtent l="38100" t="57150" r="116205" b="10287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2612_1841520/fImage14587117650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3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MEASURE DIAGRAM:</w:t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2848610" cy="3353435"/>
            <wp:effectExtent l="38100" t="57150" r="123190" b="9461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2612_1841520/fImage834012916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354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5732145" cy="2500630"/>
            <wp:effectExtent l="38100" t="57150" r="116205" b="901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2612_1841520/fImage1161611057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0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A0DAA" w:rsidSect="00DE7EE7">
      <w:headerReference w:type="default" r:id="rId17"/>
      <w:footerReference w:type="default" r:id="rId18"/>
      <w:pgSz w:w="11906" w:h="16838"/>
      <w:pgMar w:top="1699" w:right="1440" w:bottom="1440" w:left="1440" w:header="706" w:footer="706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68C" w:rsidRDefault="004E568C" w:rsidP="00AA0DAA">
      <w:r>
        <w:separator/>
      </w:r>
    </w:p>
  </w:endnote>
  <w:endnote w:type="continuationSeparator" w:id="1">
    <w:p w:rsidR="004E568C" w:rsidRDefault="004E568C" w:rsidP="00AA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DAA" w:rsidRDefault="009F138D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7D1965">
      <w:instrText>PAGE  \* MERGEFORMAT</w:instrText>
    </w:r>
    <w:r w:rsidRPr="009F138D">
      <w:fldChar w:fldCharType="separate"/>
    </w:r>
    <w:r w:rsidR="001D162E" w:rsidRPr="001D162E">
      <w:rPr>
        <w:rFonts w:ascii="Segoe UI" w:eastAsia="Segoe UI" w:hAnsi="Segoe UI"/>
        <w:noProof/>
      </w:rPr>
      <w:t>2</w:t>
    </w:r>
    <w:r>
      <w:rPr>
        <w:rFonts w:ascii="Segoe UI" w:eastAsia="Segoe UI" w:hAnsi="Segoe UI"/>
      </w:rPr>
      <w:fldChar w:fldCharType="end"/>
    </w:r>
  </w:p>
  <w:p w:rsidR="00AA0DAA" w:rsidRDefault="00AA0DAA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68C" w:rsidRDefault="004E568C" w:rsidP="00AA0DAA">
      <w:r>
        <w:separator/>
      </w:r>
    </w:p>
  </w:footnote>
  <w:footnote w:type="continuationSeparator" w:id="1">
    <w:p w:rsidR="004E568C" w:rsidRDefault="004E568C" w:rsidP="00AA0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EE7" w:rsidRPr="001D162E" w:rsidRDefault="001D162E" w:rsidP="001D162E">
    <w:pPr>
      <w:pStyle w:val="Header"/>
      <w:ind w:firstLine="800"/>
      <w:rPr>
        <w:b/>
        <w:sz w:val="32"/>
      </w:rPr>
    </w:pPr>
    <w:r>
      <w:tab/>
    </w:r>
    <w:r>
      <w:tab/>
    </w:r>
    <w:r w:rsidRPr="001D162E">
      <w:rPr>
        <w:b/>
        <w:sz w:val="32"/>
      </w:rPr>
      <w:t>16SW180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2570"/>
    <w:lvl w:ilvl="0" w:tplc="EB8CF0A0">
      <w:start w:val="1"/>
      <w:numFmt w:val="lowerLetter"/>
      <w:lvlText w:val="%1."/>
      <w:lvlJc w:val="left"/>
      <w:pPr>
        <w:ind w:left="1080" w:hanging="360"/>
        <w:jc w:val="both"/>
      </w:pPr>
      <w:rPr>
        <w:rFonts w:ascii="Cambria" w:eastAsia="ＭＳ 明朝" w:hAnsi="Cambria"/>
        <w:w w:val="100"/>
        <w:sz w:val="24"/>
        <w:szCs w:val="24"/>
        <w:u w:val="none"/>
      </w:rPr>
    </w:lvl>
    <w:lvl w:ilvl="1" w:tplc="A9661BEE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2" w:tplc="E436721C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3" w:tplc="F48E9C70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4" w:tplc="F2705EBE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5" w:tplc="3D2E5C64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6" w:tplc="C6F41BEC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7" w:tplc="7A28E5FC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8" w:tplc="BA3E4AFE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</w:rPr>
    </w:lvl>
  </w:abstractNum>
  <w:abstractNum w:abstractNumId="1">
    <w:nsid w:val="2F000001"/>
    <w:multiLevelType w:val="hybridMultilevel"/>
    <w:tmpl w:val="1F001EB6"/>
    <w:lvl w:ilvl="0" w:tplc="447A551A">
      <w:start w:val="1"/>
      <w:numFmt w:val="lowerLetter"/>
      <w:lvlText w:val="%1."/>
      <w:lvlJc w:val="left"/>
      <w:pPr>
        <w:ind w:left="1080" w:hanging="360"/>
        <w:jc w:val="both"/>
      </w:pPr>
      <w:rPr>
        <w:rFonts w:ascii="Cambria" w:eastAsia="ＭＳ 明朝" w:hAnsi="Cambria"/>
        <w:w w:val="100"/>
        <w:sz w:val="24"/>
        <w:szCs w:val="24"/>
        <w:u w:val="none"/>
      </w:rPr>
    </w:lvl>
    <w:lvl w:ilvl="1" w:tplc="2C80B448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2" w:tplc="D332A68C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3" w:tplc="EB302576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4" w:tplc="8704340E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5" w:tplc="70A021B2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6" w:tplc="129EBA74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7" w:tplc="6D9C896A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8" w:tplc="0AC6A2D6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</w:rPr>
    </w:lvl>
  </w:abstractNum>
  <w:abstractNum w:abstractNumId="2">
    <w:nsid w:val="2F000002"/>
    <w:multiLevelType w:val="hybridMultilevel"/>
    <w:tmpl w:val="1F00166B"/>
    <w:lvl w:ilvl="0" w:tplc="7BD4DC32">
      <w:start w:val="6"/>
      <w:numFmt w:val="bullet"/>
      <w:lvlText w:val="-"/>
      <w:lvlJc w:val="left"/>
      <w:pPr>
        <w:ind w:left="720" w:hanging="360"/>
        <w:jc w:val="both"/>
      </w:pPr>
      <w:rPr>
        <w:rFonts w:ascii="Cambria" w:eastAsia="Cambria" w:hAnsi="Cambria"/>
        <w:b w:val="0"/>
        <w:w w:val="100"/>
        <w:sz w:val="24"/>
        <w:szCs w:val="24"/>
        <w:u w:val="none"/>
      </w:rPr>
    </w:lvl>
    <w:lvl w:ilvl="1" w:tplc="270EC31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2" w:tplc="D8C21E28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</w:rPr>
    </w:lvl>
    <w:lvl w:ilvl="3" w:tplc="528ADED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</w:rPr>
    </w:lvl>
    <w:lvl w:ilvl="4" w:tplc="3E2A41F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5" w:tplc="8A1A8C4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</w:rPr>
    </w:lvl>
    <w:lvl w:ilvl="6" w:tplc="AF64022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</w:rPr>
    </w:lvl>
    <w:lvl w:ilvl="7" w:tplc="56320F7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8" w:tplc="F45E44E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AA0DAA"/>
    <w:rsid w:val="001D162E"/>
    <w:rsid w:val="004E568C"/>
    <w:rsid w:val="007D1965"/>
    <w:rsid w:val="009F138D"/>
    <w:rsid w:val="00AA0DAA"/>
    <w:rsid w:val="00DE7E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0DAA"/>
  </w:style>
  <w:style w:type="paragraph" w:styleId="Heading1">
    <w:name w:val="heading 1"/>
    <w:uiPriority w:val="7"/>
    <w:qFormat/>
    <w:rsid w:val="00AA0DAA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AA0DAA"/>
    <w:pPr>
      <w:outlineLvl w:val="1"/>
    </w:pPr>
  </w:style>
  <w:style w:type="paragraph" w:styleId="Heading3">
    <w:name w:val="heading 3"/>
    <w:uiPriority w:val="9"/>
    <w:qFormat/>
    <w:rsid w:val="00AA0DAA"/>
    <w:pPr>
      <w:ind w:left="1000" w:hanging="400"/>
      <w:outlineLvl w:val="2"/>
    </w:pPr>
  </w:style>
  <w:style w:type="paragraph" w:styleId="Heading4">
    <w:name w:val="heading 4"/>
    <w:uiPriority w:val="10"/>
    <w:qFormat/>
    <w:rsid w:val="00AA0DAA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AA0DAA"/>
    <w:pPr>
      <w:ind w:left="1400" w:hanging="400"/>
      <w:outlineLvl w:val="4"/>
    </w:pPr>
  </w:style>
  <w:style w:type="paragraph" w:styleId="Heading6">
    <w:name w:val="heading 6"/>
    <w:uiPriority w:val="12"/>
    <w:qFormat/>
    <w:rsid w:val="00AA0DAA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AA0DAA"/>
    <w:pPr>
      <w:ind w:left="1800" w:hanging="400"/>
      <w:outlineLvl w:val="6"/>
    </w:pPr>
  </w:style>
  <w:style w:type="paragraph" w:styleId="Heading8">
    <w:name w:val="heading 8"/>
    <w:uiPriority w:val="14"/>
    <w:qFormat/>
    <w:rsid w:val="00AA0DAA"/>
    <w:pPr>
      <w:ind w:left="2000" w:hanging="400"/>
      <w:outlineLvl w:val="7"/>
    </w:pPr>
  </w:style>
  <w:style w:type="paragraph" w:styleId="Heading9">
    <w:name w:val="heading 9"/>
    <w:uiPriority w:val="15"/>
    <w:qFormat/>
    <w:rsid w:val="00AA0DAA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AA0DAA"/>
  </w:style>
  <w:style w:type="paragraph" w:styleId="Title">
    <w:name w:val="Title"/>
    <w:uiPriority w:val="6"/>
    <w:qFormat/>
    <w:rsid w:val="00AA0DAA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AA0DAA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AA0DAA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AA0DAA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AA0DAA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AA0DAA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AA0DAA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AA0DAA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AA0DAA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AA0DAA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AA0DAA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AA0DAA"/>
    <w:pPr>
      <w:ind w:left="720"/>
    </w:pPr>
    <w:rPr>
      <w:rFonts w:ascii="Segoe UI" w:eastAsia="Segoe UI" w:hAnsi="Segoe UI"/>
    </w:rPr>
  </w:style>
  <w:style w:type="paragraph" w:styleId="TOCHeading">
    <w:name w:val="TOC Heading"/>
    <w:uiPriority w:val="27"/>
    <w:unhideWhenUsed/>
    <w:qFormat/>
    <w:rsid w:val="00AA0DAA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AA0DAA"/>
  </w:style>
  <w:style w:type="paragraph" w:styleId="TOC2">
    <w:name w:val="toc 2"/>
    <w:uiPriority w:val="29"/>
    <w:unhideWhenUsed/>
    <w:qFormat/>
    <w:rsid w:val="00AA0DAA"/>
    <w:pPr>
      <w:ind w:left="425"/>
    </w:pPr>
  </w:style>
  <w:style w:type="paragraph" w:styleId="TOC3">
    <w:name w:val="toc 3"/>
    <w:uiPriority w:val="30"/>
    <w:unhideWhenUsed/>
    <w:qFormat/>
    <w:rsid w:val="00AA0DAA"/>
    <w:pPr>
      <w:ind w:left="850"/>
    </w:pPr>
  </w:style>
  <w:style w:type="paragraph" w:styleId="TOC4">
    <w:name w:val="toc 4"/>
    <w:uiPriority w:val="31"/>
    <w:unhideWhenUsed/>
    <w:qFormat/>
    <w:rsid w:val="00AA0DAA"/>
    <w:pPr>
      <w:ind w:left="1275"/>
    </w:pPr>
  </w:style>
  <w:style w:type="paragraph" w:styleId="TOC5">
    <w:name w:val="toc 5"/>
    <w:uiPriority w:val="32"/>
    <w:unhideWhenUsed/>
    <w:qFormat/>
    <w:rsid w:val="00AA0DAA"/>
    <w:pPr>
      <w:ind w:left="1700"/>
    </w:pPr>
  </w:style>
  <w:style w:type="paragraph" w:styleId="TOC6">
    <w:name w:val="toc 6"/>
    <w:uiPriority w:val="33"/>
    <w:unhideWhenUsed/>
    <w:qFormat/>
    <w:rsid w:val="00AA0DAA"/>
    <w:pPr>
      <w:ind w:left="2125"/>
    </w:pPr>
  </w:style>
  <w:style w:type="paragraph" w:styleId="TOC7">
    <w:name w:val="toc 7"/>
    <w:uiPriority w:val="34"/>
    <w:unhideWhenUsed/>
    <w:qFormat/>
    <w:rsid w:val="00AA0DAA"/>
    <w:pPr>
      <w:ind w:left="2550"/>
    </w:pPr>
  </w:style>
  <w:style w:type="paragraph" w:styleId="TOC8">
    <w:name w:val="toc 8"/>
    <w:uiPriority w:val="35"/>
    <w:unhideWhenUsed/>
    <w:qFormat/>
    <w:rsid w:val="00AA0DAA"/>
    <w:pPr>
      <w:ind w:left="2975"/>
    </w:pPr>
  </w:style>
  <w:style w:type="paragraph" w:styleId="TOC9">
    <w:name w:val="toc 9"/>
    <w:uiPriority w:val="36"/>
    <w:unhideWhenUsed/>
    <w:qFormat/>
    <w:rsid w:val="00AA0DAA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7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EE7"/>
  </w:style>
  <w:style w:type="paragraph" w:styleId="Footer">
    <w:name w:val="footer"/>
    <w:basedOn w:val="Normal"/>
    <w:link w:val="FooterChar"/>
    <w:uiPriority w:val="99"/>
    <w:semiHidden/>
    <w:unhideWhenUsed/>
    <w:rsid w:val="00DE7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</Words>
  <Characters>918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Shaikh</cp:lastModifiedBy>
  <cp:revision>5</cp:revision>
  <dcterms:created xsi:type="dcterms:W3CDTF">2019-06-01T21:30:00Z</dcterms:created>
  <dcterms:modified xsi:type="dcterms:W3CDTF">2019-09-04T21:31:00Z</dcterms:modified>
</cp:coreProperties>
</file>