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Visual Statistics Appendix</w:t>
      </w:r>
    </w:p>
    <w:p>
      <w:pPr>
        <w:pStyle w:val="Heading1"/>
      </w:pPr>
      <w:r>
        <w:t>Telecom Customer Churn Intelligence</w:t>
      </w:r>
    </w:p>
    <w:p>
      <w:pPr>
        <w:jc w:val="both"/>
      </w:pPr>
      <w:r>
        <w:t>Emmanuel Onuoha — 21 August 2026</w:t>
      </w:r>
    </w:p>
    <w:p>
      <w:pPr>
        <w:jc w:val="both"/>
      </w:pPr>
      <w:r>
        <w:t>This appendix presents selected statistical and decision-support visuals from the independent technical report. The dataset is fictional. Associations are not causal, and retention economics are scenario estimates.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95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lidated_risk_differen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5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569"/>
          <w:sz w:val="17"/>
        </w:rPr>
        <w:t>Figure A1. Selected validated churn-risk differences with 95% confidence intervals.</w:t>
      </w:r>
    </w:p>
    <w:p>
      <w:pPr>
        <w:jc w:val="both"/>
      </w:pPr>
      <w:r>
        <w:t>Early tenure and month-to-month contracts show the largest absolute descriptive risk differences. Confidence intervals quantify sampling uncertainty but do not remove confounding.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064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ority_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6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569"/>
          <w:sz w:val="17"/>
        </w:rPr>
        <w:t>Figure A2. Prioritised risk segments.</w:t>
      </w:r>
    </w:p>
    <w:p>
      <w:pPr>
        <w:jc w:val="both"/>
      </w:pPr>
      <w:r>
        <w:t>The largest segments combine substantial churn exposure with meaningful active-customer value. Segments overlap and should not be summed.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876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hy_customers_chur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87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569"/>
          <w:sz w:val="17"/>
        </w:rPr>
        <w:t>Figure A3. Retrospective churn categories and recorded reasons.</w:t>
      </w:r>
    </w:p>
    <w:p>
      <w:pPr>
        <w:jc w:val="both"/>
      </w:pPr>
      <w:r>
        <w:t>Competitor-related reasons dominate retrospective records. These post-churn fields were excluded from predictive modelling.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20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oss_validated_precision_rec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2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569"/>
          <w:sz w:val="17"/>
        </w:rPr>
        <w:t>Figure A4. Cross-validated precision–recall trade-off.</w:t>
      </w:r>
    </w:p>
    <w:p>
      <w:pPr>
        <w:jc w:val="both"/>
      </w:pPr>
      <w:r>
        <w:t>Logistic regression was selected for its balance of discrimination, recall, calibration, and interpretability rather than the highest ROC-AUC alone.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562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56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569"/>
          <w:sz w:val="17"/>
        </w:rPr>
        <w:t>Figure A5. Holdout confusion matrix at threshold 0.32.</w:t>
      </w:r>
    </w:p>
    <w:p>
      <w:pPr>
        <w:jc w:val="both"/>
      </w:pPr>
      <w:r>
        <w:t>The selected operating point captured 311 of 374 holdout churners while flagging 505 of 1,409 customers.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885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tention_scen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8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569"/>
          <w:sz w:val="17"/>
        </w:rPr>
        <w:t>Figure A6. Scenario-based retention economics.</w:t>
      </w:r>
    </w:p>
    <w:p>
      <w:pPr>
        <w:jc w:val="both"/>
      </w:pPr>
      <w:r>
        <w:t>The range from negative conservative net benefit to strongly positive optimistic benefit demonstrates sensitivity to campaign assumptions.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427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cision_cent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569"/>
          <w:sz w:val="17"/>
        </w:rPr>
        <w:t>Figure A7. Implemented prescriptive Decision Centre.</w:t>
      </w:r>
    </w:p>
    <w:p>
      <w:pPr>
        <w:jc w:val="both"/>
      </w:pPr>
      <w:r>
        <w:t>The interactive implementation exposes campaign assumptions, capacity, budget, and decision objective to the user.</w:t>
      </w:r>
    </w:p>
    <w:p>
      <w:pPr>
        <w:jc w:val="center"/>
      </w:pPr>
      <w:r>
        <w:t>——————————————————</w:t>
      </w:r>
    </w:p>
    <w:p>
      <w:pPr>
        <w:jc w:val="both"/>
      </w:pPr>
      <w:r>
        <w:t>Developed and Designed by Emmanuel Onuoha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F73"/>
        <w:sz w:val="16"/>
      </w:rPr>
      <w:t xml:space="preserve">Developed and Designed by Emmanuel Onuoha  •  </w:t>
    </w:r>
    <w:r>
      <w:rPr>
        <w:color w:val="505F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73B67"/>
        <w:sz w:val="16"/>
      </w:rPr>
      <w:t>TELECOM CUSTOMER CHURN INTELLIGENCE  |  EMMANUEL ONUOHA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B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28E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B6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APPENDIX</dc:title>
  <dc:subject>Telecom customer churn, explainable modelling, and prescriptive retention analytics</dc:subject>
  <dc:creator>Emmanuel Onuoha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