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2.2. Самостоятельная работа</w:t>
      </w:r>
    </w:p>
    <w:p>
      <w:pPr>
        <w:pStyle w:val="1"/>
        <w:rPr/>
      </w:pPr>
      <w:r>
        <w:rPr/>
        <w:t>Дано:</w:t>
      </w:r>
    </w:p>
    <w:p>
      <w:pPr>
        <w:pStyle w:val="Normal"/>
        <w:rPr>
          <w:u w:val="single"/>
        </w:rPr>
      </w:pPr>
      <w:r>
        <w:rPr>
          <w:u w:val="single"/>
        </w:rPr>
        <w:t>Исходная таблица истинности: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5DCE4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2336" w:type="dxa"/>
            <w:tcBorders/>
            <w:shd w:color="auto" w:fill="D5DCE4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b</w:t>
            </w:r>
          </w:p>
        </w:tc>
        <w:tc>
          <w:tcPr>
            <w:tcW w:w="2336" w:type="dxa"/>
            <w:tcBorders/>
            <w:shd w:color="auto" w:fill="D5DCE4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</w:t>
            </w:r>
          </w:p>
        </w:tc>
        <w:tc>
          <w:tcPr>
            <w:tcW w:w="2336" w:type="dxa"/>
            <w:tcBorders/>
            <w:shd w:color="auto" w:fill="D5DCE4" w:themeFill="tex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u w:val="single"/>
        </w:rPr>
        <w:t>Тип нормальной формы оптимизированной функции:</w:t>
      </w:r>
      <w:r>
        <w:rPr/>
        <w:t xml:space="preserve"> МКНФ</w:t>
      </w:r>
    </w:p>
    <w:p>
      <w:pPr>
        <w:pStyle w:val="Normal"/>
        <w:rPr/>
      </w:pPr>
      <w:r>
        <w:rPr>
          <w:u w:val="single"/>
        </w:rPr>
        <w:t>Базис реализации: базис Пирса</w:t>
      </w:r>
      <w:r>
        <w:rPr/>
        <w:t xml:space="preserve"> (ИЛИ-НЕ)</w:t>
      </w:r>
    </w:p>
    <w:p>
      <w:pPr>
        <w:pStyle w:val="1"/>
        <w:rPr/>
      </w:pPr>
      <w:r>
        <w:rPr/>
        <w:t>Решение:</w:t>
      </w:r>
    </w:p>
    <w:p>
      <w:pPr>
        <w:pStyle w:val="Normal"/>
        <w:rPr/>
      </w:pPr>
      <w:r>
        <w:rPr>
          <w:u w:val="single"/>
        </w:rPr>
        <w:t>СКНФ: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</m:bar>
          </m:e>
        </m:d>
      </m:oMath>
    </w:p>
    <w:p>
      <w:pPr>
        <w:pStyle w:val="Normal"/>
        <w:rPr>
          <w:rFonts w:eastAsia="" w:eastAsiaTheme="minorEastAsia"/>
          <w:u w:val="single"/>
          <w:lang w:val="en-US"/>
        </w:rPr>
      </w:pPr>
      <w:r>
        <w:rPr>
          <w:rFonts w:eastAsia="" w:eastAsiaTheme="minorEastAsia"/>
          <w:u w:val="single"/>
        </w:rPr>
        <w:t>Карта Карно</w:t>
      </w:r>
      <w:r>
        <w:rPr>
          <w:rFonts w:eastAsia="" w:eastAsiaTheme="minorEastAsia"/>
          <w:u w:val="single"/>
          <w:lang w:val="en-US"/>
        </w:rPr>
        <w:t>:</w:t>
      </w:r>
    </w:p>
    <w:tbl>
      <w:tblPr>
        <w:tblW w:w="371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9"/>
        <w:gridCol w:w="1239"/>
        <w:gridCol w:w="1239"/>
      </w:tblGrid>
      <w:tr>
        <w:trPr>
          <w:trHeight w:val="365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ab\c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0 0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0 1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1 1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9D08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D9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 xml:space="preserve">1 0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9D08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rFonts w:eastAsia="" w:eastAsiaTheme="minorEastAsia"/>
        </w:rPr>
      </w:pPr>
      <w:r>
        <w:rPr>
          <w:u w:val="single"/>
        </w:rPr>
        <w:t>МКНФ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с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</m:bar>
          </m:e>
        </m:d>
      </m:oMath>
    </w:p>
    <w:p>
      <w:pPr>
        <w:pStyle w:val="Normal"/>
        <w:rPr>
          <w:rFonts w:eastAsia="" w:eastAsiaTheme="minorEastAsia"/>
        </w:rPr>
      </w:pPr>
      <w:r>
        <w:rPr>
          <w:u w:val="single"/>
        </w:rPr>
        <w:t>В базисе Пирса: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bar>
              <m:barPr>
                <m:pos m:val="top"/>
              </m:barPr>
              <m:e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с</m:t>
                    </m:r>
                  </m:e>
                </m:d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+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с</m:t>
                        </m:r>
                      </m:e>
                    </m:bar>
                  </m:e>
                </m:d>
              </m:e>
            </m:bar>
          </m:e>
        </m:bar>
      </m:oMath>
    </w:p>
    <w:p>
      <w:pPr>
        <w:pStyle w:val="Normal"/>
        <w:rPr>
          <w:u w:val="single"/>
          <w:lang w:val="en-US"/>
        </w:rPr>
      </w:pPr>
      <w:r>
        <w:rPr>
          <w:u w:val="single"/>
        </w:rPr>
        <w:t>Схема логической функции</w:t>
      </w:r>
      <w:r>
        <w:rPr>
          <w:u w:val="single"/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5940425" cy="167513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en-US"/>
        </w:rPr>
      </w:pPr>
      <w:r>
        <w:rPr>
          <w:u w:val="single"/>
        </w:rPr>
        <w:t>Simulation Report</w:t>
      </w:r>
      <w:r>
        <w:rPr>
          <w:u w:val="single"/>
          <w:lang w:val="en-US"/>
        </w:rPr>
        <w:t>: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940425" cy="9499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en-US"/>
        </w:rPr>
      </w:pPr>
      <w:r>
        <w:rPr>
          <w:u w:val="single"/>
        </w:rPr>
        <w:t>Результаты симуляции</w:t>
      </w:r>
      <w:r>
        <w:rPr>
          <w:u w:val="single"/>
          <w:lang w:val="en-US"/>
        </w:rPr>
        <w:t>:</w:t>
      </w:r>
    </w:p>
    <w:tbl>
      <w:tblPr>
        <w:tblW w:w="67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"/>
        <w:gridCol w:w="1124"/>
        <w:gridCol w:w="1155"/>
        <w:gridCol w:w="1125"/>
        <w:gridCol w:w="2221"/>
      </w:tblGrid>
      <w:tr>
        <w:trPr>
          <w:trHeight w:val="353" w:hRule="atLeast"/>
        </w:trPr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t, ns</w:t>
            </w:r>
          </w:p>
        </w:tc>
        <w:tc>
          <w:tcPr>
            <w:tcW w:w="340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Аргументы функции</w:t>
            </w:r>
          </w:p>
        </w:tc>
        <w:tc>
          <w:tcPr>
            <w:tcW w:w="222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Значение функции</w:t>
            </w:r>
          </w:p>
        </w:tc>
      </w:tr>
      <w:tr>
        <w:trPr>
          <w:trHeight w:val="353" w:hRule="atLeast"/>
        </w:trPr>
        <w:tc>
          <w:tcPr>
            <w:tcW w:w="11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000000" w:fill="D0CECE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f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  <w:tr>
        <w:trPr>
          <w:trHeight w:val="353" w:hRule="atLeast"/>
        </w:trPr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E7E6E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112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2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lang w:eastAsia="ru-RU"/>
              </w:rPr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u w:val="single"/>
        </w:rPr>
      </w:pPr>
      <w:r>
        <w:rPr>
          <w:u w:val="single"/>
        </w:rPr>
        <w:t>Заключение</w:t>
      </w:r>
    </w:p>
    <w:p>
      <w:pPr>
        <w:pStyle w:val="Normal"/>
        <w:rPr/>
      </w:pPr>
      <w:r>
        <w:rPr/>
        <w:t>Разработана схема, использовано 6 блоков базиса Пирса.</w:t>
      </w:r>
    </w:p>
    <w:p>
      <w:pPr>
        <w:pStyle w:val="Normal"/>
        <w:rPr/>
      </w:pPr>
      <w:r>
        <w:rPr/>
        <w:t>Максимальное время задержки комбинационной схемы составило 7.882 нс. Таким образом, максимальная частота составляет порядка 63 МГц.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464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24646"/>
    <w:pPr>
      <w:keepNext w:val="true"/>
      <w:keepLines/>
      <w:spacing w:before="120" w:after="120"/>
      <w:ind w:left="708" w:hanging="0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24646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246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LibreOffice/7.2.7.2$Windows_X86_64 LibreOffice_project/8d71d29d553c0f7dcbfa38fbfda25ee34cce99a2</Application>
  <AppVersion>15.0000</AppVersion>
  <Pages>3</Pages>
  <Words>162</Words>
  <Characters>556</Characters>
  <CharactersWithSpaces>610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2021-12-03T06:03:00Z</dcterms:created>
  <dc:creator>Валерьян Аббазов</dc:creator>
  <dc:description/>
  <dc:language>ru-RU</dc:language>
  <cp:lastModifiedBy>Валерьян Аббазов</cp:lastModifiedBy>
  <dcterms:modified xsi:type="dcterms:W3CDTF">2021-12-22T15:48:00Z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