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DC148" w14:textId="77777777" w:rsidR="00D77A90" w:rsidRDefault="00D77A90">
      <w:r>
        <w:t xml:space="preserve">Rows: </w:t>
      </w:r>
    </w:p>
    <w:p w14:paraId="11708497" w14:textId="0574A014" w:rsidR="003A60B9" w:rsidRDefault="00D77A90">
      <w:r w:rsidRPr="00D77A90">
        <w:t>1 ASM-primary</w:t>
      </w:r>
      <w:r w:rsidRPr="00D77A90">
        <w:br/>
        <w:t>2 ASM-secondary</w:t>
      </w:r>
      <w:r w:rsidRPr="00D77A90">
        <w:br/>
        <w:t>3 Contrast-primary</w:t>
      </w:r>
      <w:r w:rsidRPr="00D77A90">
        <w:br/>
        <w:t>4 Contrast-secondary</w:t>
      </w:r>
      <w:r w:rsidRPr="00D77A90">
        <w:br/>
        <w:t>5 Correlation-primary</w:t>
      </w:r>
      <w:r w:rsidRPr="00D77A90">
        <w:br/>
        <w:t>6 Correlation-secondary</w:t>
      </w:r>
      <w:r w:rsidRPr="00D77A90">
        <w:br/>
        <w:t>7 SumOfSquareVariance-primary</w:t>
      </w:r>
      <w:r w:rsidRPr="00D77A90">
        <w:br/>
        <w:t>8 SumOfSquareVariance-secondary</w:t>
      </w:r>
      <w:r w:rsidRPr="00D77A90">
        <w:br/>
        <w:t>9 SumAverage-primary</w:t>
      </w:r>
      <w:r w:rsidRPr="00D77A90">
        <w:br/>
        <w:t>10 SumAverage-secondary</w:t>
      </w:r>
      <w:r w:rsidRPr="00D77A90">
        <w:br/>
        <w:t>11 SumVariance-primary</w:t>
      </w:r>
      <w:r w:rsidRPr="00D77A90">
        <w:br/>
        <w:t>12 SumVariance-secondary</w:t>
      </w:r>
      <w:r w:rsidRPr="00D77A90">
        <w:br/>
        <w:t>13 SumEntropy-primary</w:t>
      </w:r>
      <w:r w:rsidRPr="00D77A90">
        <w:br/>
        <w:t>14 SumEntropy-secondary</w:t>
      </w:r>
      <w:r w:rsidRPr="00D77A90">
        <w:br/>
        <w:t>15 Entropy-primary</w:t>
      </w:r>
      <w:r w:rsidRPr="00D77A90">
        <w:br/>
        <w:t>16 Entropy-secondary</w:t>
      </w:r>
      <w:r w:rsidRPr="00D77A90">
        <w:br/>
        <w:t>17 DifferenceVariance-primary</w:t>
      </w:r>
      <w:r w:rsidRPr="00D77A90">
        <w:br/>
        <w:t>18 DifferenceVariance-secondary</w:t>
      </w:r>
      <w:r w:rsidRPr="00D77A90">
        <w:br/>
        <w:t>19 DifferenceEntropy-primary</w:t>
      </w:r>
      <w:r w:rsidRPr="00D77A90">
        <w:br/>
        <w:t>20 DifferenceEntropy-secondary</w:t>
      </w:r>
      <w:r w:rsidRPr="00D77A90">
        <w:br/>
        <w:t>21 IMC1-primary</w:t>
      </w:r>
      <w:r w:rsidRPr="00D77A90">
        <w:br/>
        <w:t>22 IMC1-secondary</w:t>
      </w:r>
      <w:r w:rsidRPr="00D77A90">
        <w:br/>
        <w:t>23 IMC2-primary</w:t>
      </w:r>
      <w:r w:rsidRPr="00D77A90">
        <w:br/>
        <w:t>24 IMC2-secondary</w:t>
      </w:r>
      <w:r w:rsidRPr="00D77A90">
        <w:br/>
        <w:t>25 MCC-primary</w:t>
      </w:r>
      <w:r w:rsidRPr="00D77A90">
        <w:br/>
        <w:t>26 MCC-secondary</w:t>
      </w:r>
    </w:p>
    <w:p w14:paraId="7810E987" w14:textId="77777777" w:rsidR="00D77A90" w:rsidRDefault="00D77A90"/>
    <w:p w14:paraId="79E3C8E9" w14:textId="66F734D2" w:rsidR="00D77A90" w:rsidRDefault="00D77A90">
      <w:r>
        <w:t xml:space="preserve">Columns </w:t>
      </w:r>
    </w:p>
    <w:p w14:paraId="60B50916" w14:textId="77777777" w:rsidR="00D77A90" w:rsidRPr="00D77A90" w:rsidRDefault="00D77A90" w:rsidP="00D77A90">
      <w:proofErr w:type="gramStart"/>
      <w:r w:rsidRPr="00D77A90">
        <w:t>  mean</w:t>
      </w:r>
      <w:proofErr w:type="gramEnd"/>
      <w:r w:rsidRPr="00D77A90">
        <w:t xml:space="preserve"> </w:t>
      </w:r>
    </w:p>
    <w:p w14:paraId="1C2A8D87" w14:textId="77777777" w:rsidR="00D77A90" w:rsidRPr="00D77A90" w:rsidRDefault="00D77A90" w:rsidP="00D77A90">
      <w:proofErr w:type="gramStart"/>
      <w:r w:rsidRPr="00D77A90">
        <w:t>  std</w:t>
      </w:r>
      <w:proofErr w:type="gramEnd"/>
      <w:r w:rsidRPr="00D77A90">
        <w:t xml:space="preserve"> </w:t>
      </w:r>
    </w:p>
    <w:p w14:paraId="2784232D" w14:textId="77777777" w:rsidR="00D77A90" w:rsidRPr="00D77A90" w:rsidRDefault="00D77A90" w:rsidP="00D77A90">
      <w:proofErr w:type="gramStart"/>
      <w:r w:rsidRPr="00D77A90">
        <w:t>  skew</w:t>
      </w:r>
      <w:proofErr w:type="gramEnd"/>
      <w:r w:rsidRPr="00D77A90">
        <w:t xml:space="preserve"> </w:t>
      </w:r>
    </w:p>
    <w:p w14:paraId="376E1826" w14:textId="1346327E" w:rsidR="00D77A90" w:rsidRDefault="00D77A90" w:rsidP="00D77A90">
      <w:proofErr w:type="gramStart"/>
      <w:r w:rsidRPr="00D77A90">
        <w:t>  kurtosis</w:t>
      </w:r>
      <w:proofErr w:type="gramEnd"/>
    </w:p>
    <w:p w14:paraId="4EF0818C" w14:textId="77777777" w:rsidR="00D77A90" w:rsidRPr="00D77A90" w:rsidRDefault="00D77A90" w:rsidP="00D77A90">
      <w:proofErr w:type="gramStart"/>
      <w:r w:rsidRPr="00D77A90">
        <w:t>So</w:t>
      </w:r>
      <w:proofErr w:type="gramEnd"/>
      <w:r w:rsidRPr="00D77A90">
        <w:t xml:space="preserve"> your 26 rows are interpreted like this:</w:t>
      </w:r>
    </w:p>
    <w:p w14:paraId="7BA6CA46" w14:textId="77777777" w:rsidR="00D77A90" w:rsidRPr="00D77A90" w:rsidRDefault="00D77A90" w:rsidP="00D77A90">
      <w:pPr>
        <w:numPr>
          <w:ilvl w:val="0"/>
          <w:numId w:val="1"/>
        </w:numPr>
      </w:pPr>
      <w:r w:rsidRPr="00D77A90">
        <w:rPr>
          <w:b/>
          <w:bCs/>
        </w:rPr>
        <w:lastRenderedPageBreak/>
        <w:t>Angular Second Moment (ASM)</w:t>
      </w:r>
      <w:r w:rsidRPr="00D77A90">
        <w:br/>
        <w:t xml:space="preserve">Think of this as </w:t>
      </w:r>
      <w:r w:rsidRPr="00D77A90">
        <w:rPr>
          <w:b/>
          <w:bCs/>
        </w:rPr>
        <w:t>orientation uniformity / orderliness</w:t>
      </w:r>
      <w:r w:rsidRPr="00D77A90">
        <w:t>.</w:t>
      </w:r>
      <w:r w:rsidRPr="00D77A90">
        <w:br/>
        <w:t xml:space="preserve">High ASM means the local orientation co-occurrence pattern is concentrated and repetitive, so the tissue looks more directionally organized. Low ASM means the orientation relationships are more spread out and less orderly. </w:t>
      </w:r>
    </w:p>
    <w:p w14:paraId="48AAC748" w14:textId="77777777" w:rsidR="00D77A90" w:rsidRPr="00D77A90" w:rsidRDefault="00D77A90" w:rsidP="00D77A90">
      <w:pPr>
        <w:numPr>
          <w:ilvl w:val="0"/>
          <w:numId w:val="1"/>
        </w:numPr>
      </w:pPr>
      <w:r w:rsidRPr="00D77A90">
        <w:rPr>
          <w:b/>
          <w:bCs/>
        </w:rPr>
        <w:t>Contrast</w:t>
      </w:r>
      <w:r w:rsidRPr="00D77A90">
        <w:br/>
      </w:r>
      <w:proofErr w:type="gramStart"/>
      <w:r w:rsidRPr="00D77A90">
        <w:t>This measures</w:t>
      </w:r>
      <w:proofErr w:type="gramEnd"/>
      <w:r w:rsidRPr="00D77A90">
        <w:t xml:space="preserve"> how different neighboring orientation bins are from each other.</w:t>
      </w:r>
      <w:r w:rsidRPr="00D77A90">
        <w:br/>
        <w:t xml:space="preserve">High contrast means nearby voxels tend to have very different local dominant directions, suggesting abrupt directional change or architectural disruption. Low contrast means smoother directional behavior. </w:t>
      </w:r>
    </w:p>
    <w:p w14:paraId="5AABE5B4" w14:textId="77777777" w:rsidR="00D77A90" w:rsidRPr="00D77A90" w:rsidRDefault="00D77A90" w:rsidP="00D77A90">
      <w:pPr>
        <w:numPr>
          <w:ilvl w:val="0"/>
          <w:numId w:val="1"/>
        </w:numPr>
      </w:pPr>
      <w:r w:rsidRPr="00D77A90">
        <w:rPr>
          <w:b/>
          <w:bCs/>
        </w:rPr>
        <w:t>Correlation</w:t>
      </w:r>
      <w:r w:rsidRPr="00D77A90">
        <w:br/>
        <w:t>This reflects how predictably paired orientation bins vary together.</w:t>
      </w:r>
      <w:r w:rsidRPr="00D77A90">
        <w:br/>
        <w:t xml:space="preserve">High correlation means neighboring orientation patterns have a more consistent relationship. Lower correlation suggests weaker directional consistency. </w:t>
      </w:r>
    </w:p>
    <w:p w14:paraId="0F980E59" w14:textId="77777777" w:rsidR="00D77A90" w:rsidRPr="00D77A90" w:rsidRDefault="00D77A90" w:rsidP="00D77A90">
      <w:pPr>
        <w:numPr>
          <w:ilvl w:val="0"/>
          <w:numId w:val="1"/>
        </w:numPr>
      </w:pPr>
      <w:r w:rsidRPr="00D77A90">
        <w:rPr>
          <w:b/>
          <w:bCs/>
        </w:rPr>
        <w:t>Sum of Square Variance</w:t>
      </w:r>
      <w:r w:rsidRPr="00D77A90">
        <w:br/>
        <w:t>This is a variance-like measure of spread in the co-occurrence distribution.</w:t>
      </w:r>
      <w:r w:rsidRPr="00D77A90">
        <w:br/>
        <w:t xml:space="preserve">High values usually mean the local orientation relationships are broadly dispersed rather than tightly clustered. In practice, it often tracks orientation heterogeneity. </w:t>
      </w:r>
    </w:p>
    <w:p w14:paraId="576B2BA5" w14:textId="77777777" w:rsidR="00D77A90" w:rsidRPr="00D77A90" w:rsidRDefault="00D77A90" w:rsidP="00D77A90">
      <w:pPr>
        <w:numPr>
          <w:ilvl w:val="0"/>
          <w:numId w:val="1"/>
        </w:numPr>
      </w:pPr>
      <w:r w:rsidRPr="00D77A90">
        <w:rPr>
          <w:b/>
          <w:bCs/>
        </w:rPr>
        <w:t>Sum Average</w:t>
      </w:r>
      <w:r w:rsidRPr="00D77A90">
        <w:br/>
        <w:t>This measures the average of the summed orientation-bin pairs.</w:t>
      </w:r>
      <w:r w:rsidRPr="00D77A90">
        <w:br/>
        <w:t xml:space="preserve">It is usually </w:t>
      </w:r>
      <w:r w:rsidRPr="00D77A90">
        <w:rPr>
          <w:b/>
          <w:bCs/>
        </w:rPr>
        <w:t>less directly interpretable biologically</w:t>
      </w:r>
      <w:r w:rsidRPr="00D77A90">
        <w:t xml:space="preserve"> than entropy or contrast, but it still reflects where the co-occurrence mass tends to sit. I usually treat it as a distribution-location feature rather than a first-choice biomarker to interpret alone. </w:t>
      </w:r>
    </w:p>
    <w:p w14:paraId="45764570" w14:textId="77777777" w:rsidR="00D77A90" w:rsidRPr="00D77A90" w:rsidRDefault="00D77A90" w:rsidP="00D77A90">
      <w:pPr>
        <w:numPr>
          <w:ilvl w:val="0"/>
          <w:numId w:val="1"/>
        </w:numPr>
      </w:pPr>
      <w:r w:rsidRPr="00D77A90">
        <w:rPr>
          <w:b/>
          <w:bCs/>
        </w:rPr>
        <w:t>Sum Variance</w:t>
      </w:r>
      <w:r w:rsidRPr="00D77A90">
        <w:br/>
        <w:t>This measures variability in the summed orientation-bin distribution.</w:t>
      </w:r>
      <w:r w:rsidRPr="00D77A90">
        <w:br/>
        <w:t xml:space="preserve">High values mean more spread in those summed directional relationships; low values mean a tighter, more stereotyped local pattern. </w:t>
      </w:r>
    </w:p>
    <w:p w14:paraId="6552B420" w14:textId="77777777" w:rsidR="00D77A90" w:rsidRPr="00D77A90" w:rsidRDefault="00D77A90" w:rsidP="00D77A90">
      <w:pPr>
        <w:numPr>
          <w:ilvl w:val="0"/>
          <w:numId w:val="1"/>
        </w:numPr>
      </w:pPr>
      <w:r w:rsidRPr="00D77A90">
        <w:rPr>
          <w:b/>
          <w:bCs/>
        </w:rPr>
        <w:t>Sum Entropy</w:t>
      </w:r>
      <w:r w:rsidRPr="00D77A90">
        <w:br/>
        <w:t>This is a randomness measure on the summed orientation distribution.</w:t>
      </w:r>
      <w:r w:rsidRPr="00D77A90">
        <w:br/>
        <w:t xml:space="preserve">High sum entropy means more disorder and irregularity in local orientation pairing. Low values mean more regular directional organization. </w:t>
      </w:r>
    </w:p>
    <w:p w14:paraId="30D512AE" w14:textId="77777777" w:rsidR="00D77A90" w:rsidRPr="00D77A90" w:rsidRDefault="00D77A90" w:rsidP="00D77A90">
      <w:pPr>
        <w:numPr>
          <w:ilvl w:val="0"/>
          <w:numId w:val="1"/>
        </w:numPr>
      </w:pPr>
      <w:r w:rsidRPr="00D77A90">
        <w:rPr>
          <w:b/>
          <w:bCs/>
        </w:rPr>
        <w:t>Entropy</w:t>
      </w:r>
      <w:r w:rsidRPr="00D77A90">
        <w:br/>
        <w:t>This is the most intuitive “disorder” feature.</w:t>
      </w:r>
      <w:r w:rsidRPr="00D77A90">
        <w:br/>
        <w:t xml:space="preserve">High entropy means the local gradient-orientation relationships are complex and disorganized. Low entropy means the pattern is more structured and predictable. In </w:t>
      </w:r>
      <w:r w:rsidRPr="00D77A90">
        <w:lastRenderedPageBreak/>
        <w:t xml:space="preserve">CoLlAGe-style reasoning, this is often one of the clearest markers of microarchitectural disruption. </w:t>
      </w:r>
    </w:p>
    <w:p w14:paraId="793A7BFE" w14:textId="77777777" w:rsidR="00D77A90" w:rsidRPr="00D77A90" w:rsidRDefault="00D77A90" w:rsidP="00D77A90">
      <w:pPr>
        <w:numPr>
          <w:ilvl w:val="0"/>
          <w:numId w:val="1"/>
        </w:numPr>
      </w:pPr>
      <w:r w:rsidRPr="00D77A90">
        <w:rPr>
          <w:b/>
          <w:bCs/>
        </w:rPr>
        <w:t>Difference Variance</w:t>
      </w:r>
      <w:r w:rsidRPr="00D77A90">
        <w:br/>
        <w:t>This measures variability in the differences between paired orientation bins.</w:t>
      </w:r>
      <w:r w:rsidRPr="00D77A90">
        <w:br/>
        <w:t xml:space="preserve">High values suggest unstable or widely varying directional differences across neighboring voxels. Low values suggest those differences are more consistent. The docs note that this feature has multiple interpretation conventions in Haralick implementations, so be a bit careful when comparing across toolkits. </w:t>
      </w:r>
    </w:p>
    <w:p w14:paraId="53B3B6DC" w14:textId="77777777" w:rsidR="00D77A90" w:rsidRPr="00D77A90" w:rsidRDefault="00D77A90" w:rsidP="00D77A90">
      <w:pPr>
        <w:numPr>
          <w:ilvl w:val="0"/>
          <w:numId w:val="1"/>
        </w:numPr>
      </w:pPr>
      <w:r w:rsidRPr="00D77A90">
        <w:rPr>
          <w:b/>
          <w:bCs/>
        </w:rPr>
        <w:t>Difference Entropy</w:t>
      </w:r>
      <w:r w:rsidRPr="00D77A90">
        <w:br/>
        <w:t>This measures randomness in the orientation-bin differences.</w:t>
      </w:r>
      <w:r w:rsidRPr="00D77A90">
        <w:br/>
        <w:t xml:space="preserve">High difference entropy means the directional differences between neighbors are irregular and less predictable. Low values suggest more stable directional transitions. </w:t>
      </w:r>
    </w:p>
    <w:p w14:paraId="307AEBDE" w14:textId="77777777" w:rsidR="00D77A90" w:rsidRPr="00D77A90" w:rsidRDefault="00D77A90" w:rsidP="00D77A90">
      <w:pPr>
        <w:numPr>
          <w:ilvl w:val="0"/>
          <w:numId w:val="1"/>
        </w:numPr>
      </w:pPr>
      <w:r w:rsidRPr="00D77A90">
        <w:rPr>
          <w:b/>
          <w:bCs/>
        </w:rPr>
        <w:t>Information Measure of Correlation 1 (IMC1)</w:t>
      </w:r>
      <w:r w:rsidRPr="00D77A90">
        <w:br/>
        <w:t>This is a higher-order dependence measure.</w:t>
      </w:r>
      <w:r w:rsidRPr="00D77A90">
        <w:br/>
        <w:t xml:space="preserve">Intuitively, it asks how much structural dependency exists in the orientation co-occurrence pattern beyond simpler first-order summaries. I would interpret it as a </w:t>
      </w:r>
      <w:r w:rsidRPr="00D77A90">
        <w:rPr>
          <w:b/>
          <w:bCs/>
        </w:rPr>
        <w:t xml:space="preserve">dependence/organization </w:t>
      </w:r>
      <w:proofErr w:type="gramStart"/>
      <w:r w:rsidRPr="00D77A90">
        <w:rPr>
          <w:b/>
          <w:bCs/>
        </w:rPr>
        <w:t>feature</w:t>
      </w:r>
      <w:r w:rsidRPr="00D77A90">
        <w:t>, but</w:t>
      </w:r>
      <w:proofErr w:type="gramEnd"/>
      <w:r w:rsidRPr="00D77A90">
        <w:t xml:space="preserve"> not over-interpret the sign alone without checking the exact implementation convention. </w:t>
      </w:r>
    </w:p>
    <w:p w14:paraId="76B7643C" w14:textId="77777777" w:rsidR="00D77A90" w:rsidRPr="00D77A90" w:rsidRDefault="00D77A90" w:rsidP="00D77A90">
      <w:pPr>
        <w:numPr>
          <w:ilvl w:val="0"/>
          <w:numId w:val="1"/>
        </w:numPr>
      </w:pPr>
      <w:r w:rsidRPr="00D77A90">
        <w:rPr>
          <w:b/>
          <w:bCs/>
        </w:rPr>
        <w:t>Information Measure of Correlation 2 (IMC2)</w:t>
      </w:r>
      <w:r w:rsidRPr="00D77A90">
        <w:br/>
        <w:t>This is another higher-order dependence feature related to mutual dependence in the co-occurrence matrix.</w:t>
      </w:r>
      <w:r w:rsidRPr="00D77A90">
        <w:br/>
        <w:t xml:space="preserve">In practice, I read it similarly to IMC1: it is about how strongly the orientation relationships are statistically organized rather than random. </w:t>
      </w:r>
    </w:p>
    <w:p w14:paraId="748D41A9" w14:textId="77777777" w:rsidR="00D77A90" w:rsidRPr="00D77A90" w:rsidRDefault="00D77A90" w:rsidP="00D77A90">
      <w:pPr>
        <w:numPr>
          <w:ilvl w:val="0"/>
          <w:numId w:val="1"/>
        </w:numPr>
      </w:pPr>
      <w:r w:rsidRPr="00D77A90">
        <w:rPr>
          <w:b/>
          <w:bCs/>
        </w:rPr>
        <w:t>Maximal Correlation Coefficient (MCC)</w:t>
      </w:r>
      <w:r w:rsidRPr="00D77A90">
        <w:br/>
        <w:t>This tries to capture complex correlation structure in the co-occurrence matrix.</w:t>
      </w:r>
      <w:r w:rsidRPr="00D77A90">
        <w:br/>
        <w:t xml:space="preserve">Intuitively, higher values suggest a stronger underlying organized dependency pattern in the local orientation field. It is often treated as a more abstract structural-complexity feature. </w:t>
      </w:r>
    </w:p>
    <w:p w14:paraId="6A1CF7F0" w14:textId="77777777" w:rsidR="00D77A90" w:rsidRPr="00D77A90" w:rsidRDefault="00D77A90" w:rsidP="00D77A90">
      <w:r w:rsidRPr="00D77A90">
        <w:t xml:space="preserve">Now for the </w:t>
      </w:r>
      <w:r w:rsidRPr="00D77A90">
        <w:rPr>
          <w:b/>
          <w:bCs/>
        </w:rPr>
        <w:t>2 orientations</w:t>
      </w:r>
      <w:r w:rsidRPr="00D77A90">
        <w:t>:</w:t>
      </w:r>
    </w:p>
    <w:p w14:paraId="7460A2A7" w14:textId="77777777" w:rsidR="00D77A90" w:rsidRPr="00D77A90" w:rsidRDefault="00D77A90" w:rsidP="00D77A90">
      <w:r w:rsidRPr="00D77A90">
        <w:t xml:space="preserve">The package documentation is explicit that for 3D CoLlAGe the last dimension is </w:t>
      </w:r>
      <w:r w:rsidRPr="00D77A90">
        <w:rPr>
          <w:b/>
          <w:bCs/>
        </w:rPr>
        <w:t>primary angle (0)</w:t>
      </w:r>
      <w:r w:rsidRPr="00D77A90">
        <w:t xml:space="preserve"> and </w:t>
      </w:r>
      <w:r w:rsidRPr="00D77A90">
        <w:rPr>
          <w:b/>
          <w:bCs/>
        </w:rPr>
        <w:t>secondary angle (1)</w:t>
      </w:r>
      <w:r w:rsidRPr="00D77A90">
        <w:t xml:space="preserve">, and the docs also say svd_radius is used for the dominant-angle calculation. The paper says dominant local orientations are computed with </w:t>
      </w:r>
      <w:r w:rsidRPr="00D77A90">
        <w:rPr>
          <w:b/>
          <w:bCs/>
        </w:rPr>
        <w:t>SVD</w:t>
      </w:r>
      <w:r w:rsidRPr="00D77A90">
        <w:t xml:space="preserve">. The docs do </w:t>
      </w:r>
      <w:r w:rsidRPr="00D77A90">
        <w:rPr>
          <w:b/>
          <w:bCs/>
        </w:rPr>
        <w:t>not</w:t>
      </w:r>
      <w:r w:rsidRPr="00D77A90">
        <w:t xml:space="preserve"> give a more clinical definition than that, so the most defensible interpretation </w:t>
      </w:r>
      <w:proofErr w:type="gramStart"/>
      <w:r w:rsidRPr="00D77A90">
        <w:t>is:</w:t>
      </w:r>
      <w:proofErr w:type="gramEnd"/>
      <w:r w:rsidRPr="00D77A90">
        <w:t xml:space="preserve"> </w:t>
      </w:r>
      <w:r w:rsidRPr="00D77A90">
        <w:rPr>
          <w:b/>
          <w:bCs/>
        </w:rPr>
        <w:t>primary = dominant local gradient direction</w:t>
      </w:r>
      <w:r w:rsidRPr="00D77A90">
        <w:t xml:space="preserve">, </w:t>
      </w:r>
      <w:r w:rsidRPr="00D77A90">
        <w:rPr>
          <w:b/>
          <w:bCs/>
        </w:rPr>
        <w:t xml:space="preserve">secondary = second local </w:t>
      </w:r>
      <w:r w:rsidRPr="00D77A90">
        <w:rPr>
          <w:b/>
          <w:bCs/>
        </w:rPr>
        <w:lastRenderedPageBreak/>
        <w:t>direction captured by the 3D SVD-based orientation model</w:t>
      </w:r>
      <w:r w:rsidRPr="00D77A90">
        <w:t xml:space="preserve">. In other words, primary reflects the main directional axis in the neighborhood, while secondary reflects an additional orthogonal/subordinate directional mode that helps describe more complex 3D structure. </w:t>
      </w:r>
    </w:p>
    <w:p w14:paraId="44C7451E" w14:textId="77777777" w:rsidR="00D77A90" w:rsidRDefault="00D77A90" w:rsidP="00D77A90"/>
    <w:sectPr w:rsidR="00D77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71AA6"/>
    <w:multiLevelType w:val="multilevel"/>
    <w:tmpl w:val="117A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61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B9"/>
    <w:rsid w:val="003A60B9"/>
    <w:rsid w:val="00B92FE6"/>
    <w:rsid w:val="00D7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C691"/>
  <w15:chartTrackingRefBased/>
  <w15:docId w15:val="{2BB8A4D9-DE9D-40CB-AAF9-A1E7C74DA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0B9"/>
    <w:rPr>
      <w:rFonts w:eastAsiaTheme="majorEastAsia" w:cstheme="majorBidi"/>
      <w:color w:val="272727" w:themeColor="text1" w:themeTint="D8"/>
    </w:rPr>
  </w:style>
  <w:style w:type="paragraph" w:styleId="Title">
    <w:name w:val="Title"/>
    <w:basedOn w:val="Normal"/>
    <w:next w:val="Normal"/>
    <w:link w:val="TitleChar"/>
    <w:uiPriority w:val="10"/>
    <w:qFormat/>
    <w:rsid w:val="003A6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0B9"/>
    <w:pPr>
      <w:spacing w:before="160"/>
      <w:jc w:val="center"/>
    </w:pPr>
    <w:rPr>
      <w:i/>
      <w:iCs/>
      <w:color w:val="404040" w:themeColor="text1" w:themeTint="BF"/>
    </w:rPr>
  </w:style>
  <w:style w:type="character" w:customStyle="1" w:styleId="QuoteChar">
    <w:name w:val="Quote Char"/>
    <w:basedOn w:val="DefaultParagraphFont"/>
    <w:link w:val="Quote"/>
    <w:uiPriority w:val="29"/>
    <w:rsid w:val="003A60B9"/>
    <w:rPr>
      <w:i/>
      <w:iCs/>
      <w:color w:val="404040" w:themeColor="text1" w:themeTint="BF"/>
    </w:rPr>
  </w:style>
  <w:style w:type="paragraph" w:styleId="ListParagraph">
    <w:name w:val="List Paragraph"/>
    <w:basedOn w:val="Normal"/>
    <w:uiPriority w:val="34"/>
    <w:qFormat/>
    <w:rsid w:val="003A60B9"/>
    <w:pPr>
      <w:ind w:left="720"/>
      <w:contextualSpacing/>
    </w:pPr>
  </w:style>
  <w:style w:type="character" w:styleId="IntenseEmphasis">
    <w:name w:val="Intense Emphasis"/>
    <w:basedOn w:val="DefaultParagraphFont"/>
    <w:uiPriority w:val="21"/>
    <w:qFormat/>
    <w:rsid w:val="003A60B9"/>
    <w:rPr>
      <w:i/>
      <w:iCs/>
      <w:color w:val="0F4761" w:themeColor="accent1" w:themeShade="BF"/>
    </w:rPr>
  </w:style>
  <w:style w:type="paragraph" w:styleId="IntenseQuote">
    <w:name w:val="Intense Quote"/>
    <w:basedOn w:val="Normal"/>
    <w:next w:val="Normal"/>
    <w:link w:val="IntenseQuoteChar"/>
    <w:uiPriority w:val="30"/>
    <w:qFormat/>
    <w:rsid w:val="003A6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0B9"/>
    <w:rPr>
      <w:i/>
      <w:iCs/>
      <w:color w:val="0F4761" w:themeColor="accent1" w:themeShade="BF"/>
    </w:rPr>
  </w:style>
  <w:style w:type="character" w:styleId="IntenseReference">
    <w:name w:val="Intense Reference"/>
    <w:basedOn w:val="DefaultParagraphFont"/>
    <w:uiPriority w:val="32"/>
    <w:qFormat/>
    <w:rsid w:val="003A6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Ozyoruk, Kutsev Bengisu</dc:creator>
  <cp:keywords/>
  <dc:description/>
  <cp:lastModifiedBy>Ozyoruk, Kutsev Bengisu</cp:lastModifiedBy>
  <cp:revision>2</cp:revision>
  <dcterms:created xsi:type="dcterms:W3CDTF">2026-04-22T03:27:00Z</dcterms:created>
  <dcterms:modified xsi:type="dcterms:W3CDTF">2026-04-22T03:28:00Z</dcterms:modified>
</cp:coreProperties>
</file>