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40" w:after="360"/>
        <w:jc w:val="center"/>
      </w:pPr>
      <w:r>
        <w:rPr>
          <w:rFonts w:ascii="Calibri" w:hAnsi="Calibri" w:eastAsia="Calibri"/>
          <w:b/>
          <w:color w:val="9B7B2F"/>
          <w:sz w:val="20"/>
        </w:rPr>
        <w:t>MARKET &amp; COMPETITOR RESEARCH</w:t>
      </w:r>
    </w:p>
    <w:p>
      <w:pPr>
        <w:spacing w:after="200"/>
        <w:jc w:val="center"/>
      </w:pPr>
      <w:r>
        <w:rPr>
          <w:rFonts w:ascii="Calibri" w:hAnsi="Calibri" w:eastAsia="Calibri"/>
          <w:b/>
          <w:color w:val="0B2545"/>
          <w:sz w:val="60"/>
        </w:rPr>
        <w:t>Alternatives to</w:t>
        <w:br/>
        <w:t>Emotional Life Support</w:t>
      </w:r>
    </w:p>
    <w:p>
      <w:pPr>
        <w:spacing w:after="520"/>
        <w:jc w:val="center"/>
      </w:pPr>
      <w:r>
        <w:rPr>
          <w:rFonts w:ascii="Calibri" w:hAnsi="Calibri" w:eastAsia="Calibri"/>
          <w:color w:val="1F4D78"/>
          <w:sz w:val="30"/>
        </w:rPr>
        <w:t>UK competitive landscape, public pricing and launch implications</w:t>
      </w:r>
    </w:p>
    <w:p>
      <w:pPr>
        <w:spacing w:after="1440"/>
        <w:jc w:val="center"/>
      </w:pPr>
      <w:r>
        <w:rPr>
          <w:rFonts w:ascii="Calibri" w:hAnsi="Calibri" w:eastAsia="Calibri"/>
          <w:i/>
          <w:color w:val="5F6B76"/>
          <w:sz w:val="21"/>
        </w:rPr>
        <w:t>Scope: adults rebuilding after major life disruption, with separation and divorce as the provisional beachhead</w:t>
      </w:r>
    </w:p>
    <w:p>
      <w:pPr>
        <w:spacing w:after="100"/>
        <w:jc w:val="center"/>
      </w:pPr>
      <w:r>
        <w:rPr>
          <w:rFonts w:ascii="Calibri" w:hAnsi="Calibri" w:eastAsia="Calibri"/>
          <w:b/>
          <w:color w:val="0B2545"/>
          <w:sz w:val="22"/>
        </w:rPr>
        <w:t>Prepared for Chris</w:t>
      </w:r>
    </w:p>
    <w:p>
      <w:pPr>
        <w:spacing w:after="0"/>
        <w:jc w:val="center"/>
      </w:pPr>
      <w:r>
        <w:rPr>
          <w:rFonts w:ascii="Calibri" w:hAnsi="Calibri" w:eastAsia="Calibri"/>
          <w:color w:val="5F6B76"/>
          <w:sz w:val="20"/>
        </w:rPr>
        <w:t>Research snapshot: 15 August 2026</w:t>
      </w:r>
    </w:p>
    <w:p>
      <w:pPr>
        <w:spacing w:before="880" w:after="0"/>
        <w:jc w:val="center"/>
      </w:pPr>
      <w:r>
        <w:rPr>
          <w:rFonts w:ascii="Calibri" w:hAnsi="Calibri" w:eastAsia="Calibri"/>
          <w:i/>
          <w:color w:val="5F6B76"/>
          <w:sz w:val="17"/>
        </w:rPr>
        <w:t>Prices are public list prices and may change. Provider claims are not independent outcome evidence.</w:t>
      </w:r>
    </w:p>
    <w:p>
      <w:r>
        <w:br w:type="page"/>
      </w:r>
    </w:p>
    <w:p>
      <w:pPr>
        <w:pStyle w:val="Heading1"/>
        <w:keepNext/>
      </w:pPr>
      <w:r>
        <w:t>Executive summary</w:t>
      </w:r>
    </w:p>
    <w:p>
      <w:pPr>
        <w:spacing w:before="160" w:after="200" w:line="264" w:lineRule="auto"/>
        <w:ind w:left="230" w:right="173"/>
        <w:shd w:fill="EAF2F8" w:val="clear"/>
        <w:pBdr>
          <w:left w:val="single" w:sz="18" w:space="8" w:color="2E74B5"/>
        </w:pBdr>
        <w:keepLines/>
      </w:pPr>
      <w:r>
        <w:rPr>
          <w:rFonts w:ascii="Calibri" w:hAnsi="Calibri" w:eastAsia="Calibri"/>
          <w:b/>
          <w:color w:val="2E74B5"/>
          <w:sz w:val="19"/>
        </w:rPr>
        <w:t xml:space="preserve">BOTTOM LINE  </w:t>
      </w:r>
      <w:r>
        <w:rPr>
          <w:rFonts w:ascii="Calibri" w:hAnsi="Calibri" w:eastAsia="Calibri"/>
          <w:color w:val="0B2545"/>
          <w:sz w:val="21"/>
        </w:rPr>
        <w:t>There is a credible gap for one trusted human who combines emotional steadiness, transition clarity, practical organisation and follow-through. The gap is not empty, however: customers can assemble much of the value from a therapist, a divorce or life coach, friends, a virtual assistant and specialist advisers. Emotional Life Support must therefore sell the integration and navigation—not claim to replace regulated expertise.</w:t>
      </w:r>
    </w:p>
    <w:p>
      <w:pPr>
        <w:numPr>
          <w:ilvl w:val="0"/>
          <w:numId w:val="10"/>
        </w:numPr>
        <w:spacing w:after="80" w:line="280" w:lineRule="auto"/>
        <w:keepLines/>
      </w:pPr>
      <w:r>
        <w:rPr>
          <w:rFonts w:ascii="Calibri" w:hAnsi="Calibri" w:eastAsia="Calibri"/>
        </w:rPr>
        <w:t>The closest direct alternative in a separation/divorce beachhead is a divorce coach. Public examples range from about £58–£160 per one-hour session, with ongoing high-access packages at roughly £375–£800 per month. [9–12]</w:t>
      </w:r>
    </w:p>
    <w:p>
      <w:pPr>
        <w:numPr>
          <w:ilvl w:val="0"/>
          <w:numId w:val="10"/>
        </w:numPr>
        <w:spacing w:after="80" w:line="280" w:lineRule="auto"/>
        <w:keepLines/>
      </w:pPr>
      <w:r>
        <w:rPr>
          <w:rFonts w:ascii="Calibri" w:hAnsi="Calibri" w:eastAsia="Calibri"/>
        </w:rPr>
        <w:t>Private counselling is the strongest substitute for emotional depth and safety. More than half of BACP-directory listings advertise £40–£60 per session, while Counselling Directory reported a January 2026 database average of £60.60—about £263 per month at weekly frequency. [3–4]</w:t>
      </w:r>
    </w:p>
    <w:p>
      <w:pPr>
        <w:numPr>
          <w:ilvl w:val="0"/>
          <w:numId w:val="10"/>
        </w:numPr>
        <w:spacing w:after="80" w:line="280" w:lineRule="auto"/>
        <w:keepLines/>
      </w:pPr>
      <w:r>
        <w:rPr>
          <w:rFonts w:ascii="Calibri" w:hAnsi="Calibri" w:eastAsia="Calibri"/>
        </w:rPr>
        <w:t>Low-cost substitutes are abundant: friends and family (£0), NHS Talking Therapies (£0 for eligible users), crisis listening (£0), online communities, £20-per-month memberships and AI/self-help tools. [2,17,25–28]</w:t>
      </w:r>
    </w:p>
    <w:p>
      <w:pPr>
        <w:numPr>
          <w:ilvl w:val="0"/>
          <w:numId w:val="10"/>
        </w:numPr>
        <w:spacing w:after="80" w:line="280" w:lineRule="auto"/>
        <w:keepLines/>
      </w:pPr>
      <w:r>
        <w:rPr>
          <w:rFonts w:ascii="Calibri" w:hAnsi="Calibri" w:eastAsia="Calibri"/>
        </w:rPr>
        <w:t>Specialists solve narrower but urgent jobs. A divorce application in England and Wales costs £628; a MIAM is usually around £120; and comprehensive amicable legal/negotiation services list from £1,200 to £5,910. [19–21]</w:t>
      </w:r>
    </w:p>
    <w:p>
      <w:pPr>
        <w:numPr>
          <w:ilvl w:val="0"/>
          <w:numId w:val="10"/>
        </w:numPr>
        <w:spacing w:after="80" w:line="280" w:lineRule="auto"/>
        <w:keepLines/>
      </w:pPr>
      <w:r>
        <w:rPr>
          <w:rFonts w:ascii="Calibri" w:hAnsi="Calibri" w:eastAsia="Calibri"/>
        </w:rPr>
        <w:t>£1,000 per month is not impossible, but it is a premium price. It sits above common weekly coaching and therapy, near the upper end of published divorce-coaching retainers, and below a small ultra-premium life-coaching market. It needs visibly more than four conversations.</w:t>
      </w:r>
    </w:p>
    <w:p>
      <w:pPr>
        <w:numPr>
          <w:ilvl w:val="0"/>
          <w:numId w:val="10"/>
        </w:numPr>
        <w:spacing w:after="80" w:line="280" w:lineRule="auto"/>
        <w:keepLines/>
      </w:pPr>
      <w:r>
        <w:rPr>
          <w:rFonts w:ascii="Calibri" w:hAnsi="Calibri" w:eastAsia="Calibri"/>
        </w:rPr>
        <w:t>The biggest commercial risk is category confusion. Life coaching is not regulated in the UK, while the proposed service sits close to therapy, crisis support, legal guidance and domestic-abuse safeguarding. Trust architecture is part of the product, not compliance copy added later. [5–6]</w:t>
      </w:r>
    </w:p>
    <w:p>
      <w:pPr>
        <w:pStyle w:val="Caption"/>
        <w:keepNext/>
      </w:pPr>
      <w:r>
        <w:t>Table 1. Price anchors a prospective customer may encounter (public list prices, observed 15 August 2026)</w:t>
      </w:r>
    </w:p>
    <w:tbl>
      <w:tblPr>
        <w:tblW w:type="dxa" w:w="9360"/>
        <w:tblLayout w:type="fixed"/>
        <w:tblLook w:firstColumn="1" w:firstRow="1" w:lastColumn="0" w:lastRow="0" w:noHBand="0" w:noVBand="1" w:val="04A0"/>
        <w:jc w:val="left"/>
        <w:tblInd w:w="120" w:type="dxa"/>
      </w:tblPr>
      <w:tblGrid>
        <w:gridCol w:w="1700"/>
        <w:gridCol w:w="1950"/>
        <w:gridCol w:w="2880"/>
        <w:gridCol w:w="2830"/>
      </w:tblGrid>
      <w:tr>
        <w:trPr>
          <w:cantSplit/>
          <w:tblHeader w:val="true"/>
        </w:trPr>
        <w:tc>
          <w:tcPr>
            <w:tcW w:type="dxa" w:w="1700"/>
            <w:tcMar>
              <w:top w:w="80" w:type="dxa"/>
              <w:start w:w="120" w:type="dxa"/>
              <w:bottom w:w="80" w:type="dxa"/>
              <w:end w:w="120" w:type="dxa"/>
            </w:tcMar>
            <w:tcBorders>
              <w:top w:val="single" w:sz="4" w:space="0" w:color="D9E0E7"/>
              <w:left w:val="single" w:sz="4" w:space="0" w:color="D9E0E7"/>
              <w:bottom w:val="single" w:sz="4" w:space="0" w:color="D9E0E7"/>
              <w:right w:val="single" w:sz="4" w:space="0" w:color="D9E0E7"/>
              <w:insideH w:val="single" w:sz="4" w:space="0" w:color="D9E0E7"/>
              <w:insideV w:val="single" w:sz="4" w:space="0" w:color="D9E0E7"/>
            </w:tcBorders>
            <w:vAlign w:val="center"/>
            <w:shd w:fill="F2F4F7" w:val="clear"/>
          </w:tcPr>
          <w:p>
            <w:pPr>
              <w:spacing w:before="0" w:after="0" w:line="240" w:lineRule="auto"/>
              <w:jc w:val="left"/>
            </w:pPr>
            <w:r>
              <w:rPr>
                <w:rFonts w:ascii="Calibri" w:hAnsi="Calibri" w:eastAsia="Calibri"/>
                <w:b/>
                <w:color w:val="0B2545"/>
                <w:sz w:val="17"/>
              </w:rPr>
              <w:t>Alternative</w:t>
            </w:r>
          </w:p>
        </w:tc>
        <w:tc>
          <w:tcPr>
            <w:tcW w:type="dxa" w:w="1950"/>
            <w:tcMar>
              <w:top w:w="80" w:type="dxa"/>
              <w:start w:w="120" w:type="dxa"/>
              <w:bottom w:w="80" w:type="dxa"/>
              <w:end w:w="120" w:type="dxa"/>
            </w:tcMar>
            <w:tcBorders>
              <w:top w:val="single" w:sz="4" w:space="0" w:color="D9E0E7"/>
              <w:left w:val="single" w:sz="4" w:space="0" w:color="D9E0E7"/>
              <w:bottom w:val="single" w:sz="4" w:space="0" w:color="D9E0E7"/>
              <w:right w:val="single" w:sz="4" w:space="0" w:color="D9E0E7"/>
              <w:insideH w:val="single" w:sz="4" w:space="0" w:color="D9E0E7"/>
              <w:insideV w:val="single" w:sz="4" w:space="0" w:color="D9E0E7"/>
            </w:tcBorders>
            <w:vAlign w:val="center"/>
            <w:shd w:fill="F2F4F7" w:val="clear"/>
          </w:tcPr>
          <w:p>
            <w:pPr>
              <w:spacing w:before="0" w:after="0" w:line="240" w:lineRule="auto"/>
              <w:jc w:val="left"/>
            </w:pPr>
            <w:r>
              <w:rPr>
                <w:rFonts w:ascii="Calibri" w:hAnsi="Calibri" w:eastAsia="Calibri"/>
                <w:b/>
                <w:color w:val="0B2545"/>
                <w:sz w:val="17"/>
              </w:rPr>
              <w:t>Public price anchor</w:t>
            </w:r>
          </w:p>
        </w:tc>
        <w:tc>
          <w:tcPr>
            <w:tcW w:type="dxa" w:w="2880"/>
            <w:tcMar>
              <w:top w:w="80" w:type="dxa"/>
              <w:start w:w="120" w:type="dxa"/>
              <w:bottom w:w="80" w:type="dxa"/>
              <w:end w:w="120" w:type="dxa"/>
            </w:tcMar>
            <w:tcBorders>
              <w:top w:val="single" w:sz="4" w:space="0" w:color="D9E0E7"/>
              <w:left w:val="single" w:sz="4" w:space="0" w:color="D9E0E7"/>
              <w:bottom w:val="single" w:sz="4" w:space="0" w:color="D9E0E7"/>
              <w:right w:val="single" w:sz="4" w:space="0" w:color="D9E0E7"/>
              <w:insideH w:val="single" w:sz="4" w:space="0" w:color="D9E0E7"/>
              <w:insideV w:val="single" w:sz="4" w:space="0" w:color="D9E0E7"/>
            </w:tcBorders>
            <w:vAlign w:val="center"/>
            <w:shd w:fill="F2F4F7" w:val="clear"/>
          </w:tcPr>
          <w:p>
            <w:pPr>
              <w:spacing w:before="0" w:after="0" w:line="240" w:lineRule="auto"/>
              <w:jc w:val="left"/>
            </w:pPr>
            <w:r>
              <w:rPr>
                <w:rFonts w:ascii="Calibri" w:hAnsi="Calibri" w:eastAsia="Calibri"/>
                <w:b/>
                <w:color w:val="0B2545"/>
                <w:sz w:val="17"/>
              </w:rPr>
              <w:t>What that usually buys</w:t>
            </w:r>
          </w:p>
        </w:tc>
        <w:tc>
          <w:tcPr>
            <w:tcW w:type="dxa" w:w="2830"/>
            <w:tcMar>
              <w:top w:w="80" w:type="dxa"/>
              <w:start w:w="120" w:type="dxa"/>
              <w:bottom w:w="80" w:type="dxa"/>
              <w:end w:w="120" w:type="dxa"/>
            </w:tcMar>
            <w:tcBorders>
              <w:top w:val="single" w:sz="4" w:space="0" w:color="D9E0E7"/>
              <w:left w:val="single" w:sz="4" w:space="0" w:color="D9E0E7"/>
              <w:bottom w:val="single" w:sz="4" w:space="0" w:color="D9E0E7"/>
              <w:right w:val="single" w:sz="4" w:space="0" w:color="D9E0E7"/>
              <w:insideH w:val="single" w:sz="4" w:space="0" w:color="D9E0E7"/>
              <w:insideV w:val="single" w:sz="4" w:space="0" w:color="D9E0E7"/>
            </w:tcBorders>
            <w:vAlign w:val="center"/>
            <w:shd w:fill="F2F4F7" w:val="clear"/>
          </w:tcPr>
          <w:p>
            <w:pPr>
              <w:spacing w:before="0" w:after="0" w:line="240" w:lineRule="auto"/>
              <w:jc w:val="left"/>
            </w:pPr>
            <w:r>
              <w:rPr>
                <w:rFonts w:ascii="Calibri" w:hAnsi="Calibri" w:eastAsia="Calibri"/>
                <w:b/>
                <w:color w:val="0B2545"/>
                <w:sz w:val="17"/>
              </w:rPr>
              <w:t>Competitive implication</w:t>
            </w:r>
          </w:p>
        </w:tc>
      </w:tr>
      <w:tr>
        <w:trPr>
          <w:cantSplit/>
        </w:trPr>
        <w:tc>
          <w:tcPr>
            <w:tcW w:type="dxa" w:w="1700"/>
            <w:tcMar>
              <w:top w:w="80" w:type="dxa"/>
              <w:start w:w="120" w:type="dxa"/>
              <w:bottom w:w="80" w:type="dxa"/>
              <w:end w:w="120" w:type="dxa"/>
            </w:tcMar>
            <w:tcBorders>
              <w:top w:val="single" w:sz="4" w:space="0" w:color="D9E0E7"/>
              <w:left w:val="single" w:sz="4" w:space="0" w:color="D9E0E7"/>
              <w:bottom w:val="single" w:sz="4" w:space="0" w:color="D9E0E7"/>
              <w:right w:val="single" w:sz="4" w:space="0" w:color="D9E0E7"/>
              <w:insideH w:val="single" w:sz="4" w:space="0" w:color="D9E0E7"/>
              <w:insideV w:val="single" w:sz="4" w:space="0" w:color="D9E0E7"/>
            </w:tcBorders>
            <w:vAlign w:val="center"/>
          </w:tcPr>
          <w:p>
            <w:pPr>
              <w:spacing w:before="0" w:after="0" w:line="252" w:lineRule="auto"/>
            </w:pPr>
            <w:r>
              <w:rPr>
                <w:rFonts w:ascii="Calibri" w:hAnsi="Calibri" w:eastAsia="Calibri"/>
                <w:b/>
                <w:color w:val="1A1A1A"/>
                <w:sz w:val="17"/>
              </w:rPr>
              <w:t>Free / informal</w:t>
            </w:r>
          </w:p>
        </w:tc>
        <w:tc>
          <w:tcPr>
            <w:tcW w:type="dxa" w:w="1950"/>
            <w:tcMar>
              <w:top w:w="80" w:type="dxa"/>
              <w:start w:w="120" w:type="dxa"/>
              <w:bottom w:w="80" w:type="dxa"/>
              <w:end w:w="120" w:type="dxa"/>
            </w:tcMar>
            <w:tcBorders>
              <w:top w:val="single" w:sz="4" w:space="0" w:color="D9E0E7"/>
              <w:left w:val="single" w:sz="4" w:space="0" w:color="D9E0E7"/>
              <w:bottom w:val="single" w:sz="4" w:space="0" w:color="D9E0E7"/>
              <w:right w:val="single" w:sz="4" w:space="0" w:color="D9E0E7"/>
              <w:insideH w:val="single" w:sz="4" w:space="0" w:color="D9E0E7"/>
              <w:insideV w:val="single" w:sz="4" w:space="0" w:color="D9E0E7"/>
            </w:tcBorders>
            <w:vAlign w:val="center"/>
          </w:tcPr>
          <w:p>
            <w:pPr>
              <w:spacing w:before="0" w:after="0" w:line="252" w:lineRule="auto"/>
            </w:pPr>
            <w:r>
              <w:rPr>
                <w:rFonts w:ascii="Calibri" w:hAnsi="Calibri" w:eastAsia="Calibri"/>
                <w:b w:val="0"/>
                <w:color w:val="1A1A1A"/>
                <w:sz w:val="17"/>
              </w:rPr>
              <w:t>£0</w:t>
            </w:r>
          </w:p>
        </w:tc>
        <w:tc>
          <w:tcPr>
            <w:tcW w:type="dxa" w:w="2880"/>
            <w:tcMar>
              <w:top w:w="80" w:type="dxa"/>
              <w:start w:w="120" w:type="dxa"/>
              <w:bottom w:w="80" w:type="dxa"/>
              <w:end w:w="120" w:type="dxa"/>
            </w:tcMar>
            <w:tcBorders>
              <w:top w:val="single" w:sz="4" w:space="0" w:color="D9E0E7"/>
              <w:left w:val="single" w:sz="4" w:space="0" w:color="D9E0E7"/>
              <w:bottom w:val="single" w:sz="4" w:space="0" w:color="D9E0E7"/>
              <w:right w:val="single" w:sz="4" w:space="0" w:color="D9E0E7"/>
              <w:insideH w:val="single" w:sz="4" w:space="0" w:color="D9E0E7"/>
              <w:insideV w:val="single" w:sz="4" w:space="0" w:color="D9E0E7"/>
            </w:tcBorders>
            <w:vAlign w:val="center"/>
          </w:tcPr>
          <w:p>
            <w:pPr>
              <w:spacing w:before="0" w:after="0" w:line="252" w:lineRule="auto"/>
            </w:pPr>
            <w:r>
              <w:rPr>
                <w:rFonts w:ascii="Calibri" w:hAnsi="Calibri" w:eastAsia="Calibri"/>
                <w:b w:val="0"/>
                <w:color w:val="1A1A1A"/>
                <w:sz w:val="17"/>
              </w:rPr>
              <w:t>Friends, family, NHS, charities, helplines, forums</w:t>
            </w:r>
          </w:p>
        </w:tc>
        <w:tc>
          <w:tcPr>
            <w:tcW w:type="dxa" w:w="2830"/>
            <w:tcMar>
              <w:top w:w="80" w:type="dxa"/>
              <w:start w:w="120" w:type="dxa"/>
              <w:bottom w:w="80" w:type="dxa"/>
              <w:end w:w="120" w:type="dxa"/>
            </w:tcMar>
            <w:tcBorders>
              <w:top w:val="single" w:sz="4" w:space="0" w:color="D9E0E7"/>
              <w:left w:val="single" w:sz="4" w:space="0" w:color="D9E0E7"/>
              <w:bottom w:val="single" w:sz="4" w:space="0" w:color="D9E0E7"/>
              <w:right w:val="single" w:sz="4" w:space="0" w:color="D9E0E7"/>
              <w:insideH w:val="single" w:sz="4" w:space="0" w:color="D9E0E7"/>
              <w:insideV w:val="single" w:sz="4" w:space="0" w:color="D9E0E7"/>
            </w:tcBorders>
            <w:vAlign w:val="center"/>
          </w:tcPr>
          <w:p>
            <w:pPr>
              <w:spacing w:before="0" w:after="0" w:line="252" w:lineRule="auto"/>
            </w:pPr>
            <w:r>
              <w:rPr>
                <w:rFonts w:ascii="Calibri" w:hAnsi="Calibri" w:eastAsia="Calibri"/>
                <w:b w:val="0"/>
                <w:color w:val="1A1A1A"/>
                <w:sz w:val="17"/>
              </w:rPr>
              <w:t>Always the default competitor</w:t>
            </w:r>
          </w:p>
        </w:tc>
      </w:tr>
      <w:tr>
        <w:trPr>
          <w:cantSplit/>
        </w:trPr>
        <w:tc>
          <w:tcPr>
            <w:tcW w:type="dxa" w:w="1700"/>
            <w:shd w:fill="F7F9FB" w:val="clear"/>
            <w:tcMar>
              <w:top w:w="80" w:type="dxa"/>
              <w:start w:w="120" w:type="dxa"/>
              <w:bottom w:w="80" w:type="dxa"/>
              <w:end w:w="120" w:type="dxa"/>
            </w:tcMar>
            <w:tcBorders>
              <w:top w:val="single" w:sz="4" w:space="0" w:color="D9E0E7"/>
              <w:left w:val="single" w:sz="4" w:space="0" w:color="D9E0E7"/>
              <w:bottom w:val="single" w:sz="4" w:space="0" w:color="D9E0E7"/>
              <w:right w:val="single" w:sz="4" w:space="0" w:color="D9E0E7"/>
              <w:insideH w:val="single" w:sz="4" w:space="0" w:color="D9E0E7"/>
              <w:insideV w:val="single" w:sz="4" w:space="0" w:color="D9E0E7"/>
            </w:tcBorders>
            <w:vAlign w:val="center"/>
          </w:tcPr>
          <w:p>
            <w:pPr>
              <w:spacing w:before="0" w:after="0" w:line="252" w:lineRule="auto"/>
            </w:pPr>
            <w:r>
              <w:rPr>
                <w:rFonts w:ascii="Calibri" w:hAnsi="Calibri" w:eastAsia="Calibri"/>
                <w:b/>
                <w:color w:val="1A1A1A"/>
                <w:sz w:val="17"/>
              </w:rPr>
              <w:t>Private therapy</w:t>
            </w:r>
          </w:p>
        </w:tc>
        <w:tc>
          <w:tcPr>
            <w:tcW w:type="dxa" w:w="1950"/>
            <w:shd w:fill="F7F9FB" w:val="clear"/>
            <w:tcMar>
              <w:top w:w="80" w:type="dxa"/>
              <w:start w:w="120" w:type="dxa"/>
              <w:bottom w:w="80" w:type="dxa"/>
              <w:end w:w="120" w:type="dxa"/>
            </w:tcMar>
            <w:tcBorders>
              <w:top w:val="single" w:sz="4" w:space="0" w:color="D9E0E7"/>
              <w:left w:val="single" w:sz="4" w:space="0" w:color="D9E0E7"/>
              <w:bottom w:val="single" w:sz="4" w:space="0" w:color="D9E0E7"/>
              <w:right w:val="single" w:sz="4" w:space="0" w:color="D9E0E7"/>
              <w:insideH w:val="single" w:sz="4" w:space="0" w:color="D9E0E7"/>
              <w:insideV w:val="single" w:sz="4" w:space="0" w:color="D9E0E7"/>
            </w:tcBorders>
            <w:vAlign w:val="center"/>
          </w:tcPr>
          <w:p>
            <w:pPr>
              <w:spacing w:before="0" w:after="0" w:line="252" w:lineRule="auto"/>
            </w:pPr>
            <w:r>
              <w:rPr>
                <w:rFonts w:ascii="Calibri" w:hAnsi="Calibri" w:eastAsia="Calibri"/>
                <w:b w:val="0"/>
                <w:color w:val="1A1A1A"/>
                <w:sz w:val="17"/>
              </w:rPr>
              <w:t>Often £40–£60/session; £60.60 database average</w:t>
            </w:r>
          </w:p>
        </w:tc>
        <w:tc>
          <w:tcPr>
            <w:tcW w:type="dxa" w:w="2880"/>
            <w:shd w:fill="F7F9FB" w:val="clear"/>
            <w:tcMar>
              <w:top w:w="80" w:type="dxa"/>
              <w:start w:w="120" w:type="dxa"/>
              <w:bottom w:w="80" w:type="dxa"/>
              <w:end w:w="120" w:type="dxa"/>
            </w:tcMar>
            <w:tcBorders>
              <w:top w:val="single" w:sz="4" w:space="0" w:color="D9E0E7"/>
              <w:left w:val="single" w:sz="4" w:space="0" w:color="D9E0E7"/>
              <w:bottom w:val="single" w:sz="4" w:space="0" w:color="D9E0E7"/>
              <w:right w:val="single" w:sz="4" w:space="0" w:color="D9E0E7"/>
              <w:insideH w:val="single" w:sz="4" w:space="0" w:color="D9E0E7"/>
              <w:insideV w:val="single" w:sz="4" w:space="0" w:color="D9E0E7"/>
            </w:tcBorders>
            <w:vAlign w:val="center"/>
          </w:tcPr>
          <w:p>
            <w:pPr>
              <w:spacing w:before="0" w:after="0" w:line="252" w:lineRule="auto"/>
            </w:pPr>
            <w:r>
              <w:rPr>
                <w:rFonts w:ascii="Calibri" w:hAnsi="Calibri" w:eastAsia="Calibri"/>
                <w:b w:val="0"/>
                <w:color w:val="1A1A1A"/>
                <w:sz w:val="17"/>
              </w:rPr>
              <w:t>Usually one 50–60 minute session; weekly ≈ £173–£263/month</w:t>
            </w:r>
          </w:p>
        </w:tc>
        <w:tc>
          <w:tcPr>
            <w:tcW w:type="dxa" w:w="2830"/>
            <w:shd w:fill="F7F9FB" w:val="clear"/>
            <w:tcMar>
              <w:top w:w="80" w:type="dxa"/>
              <w:start w:w="120" w:type="dxa"/>
              <w:bottom w:w="80" w:type="dxa"/>
              <w:end w:w="120" w:type="dxa"/>
            </w:tcMar>
            <w:tcBorders>
              <w:top w:val="single" w:sz="4" w:space="0" w:color="D9E0E7"/>
              <w:left w:val="single" w:sz="4" w:space="0" w:color="D9E0E7"/>
              <w:bottom w:val="single" w:sz="4" w:space="0" w:color="D9E0E7"/>
              <w:right w:val="single" w:sz="4" w:space="0" w:color="D9E0E7"/>
              <w:insideH w:val="single" w:sz="4" w:space="0" w:color="D9E0E7"/>
              <w:insideV w:val="single" w:sz="4" w:space="0" w:color="D9E0E7"/>
            </w:tcBorders>
            <w:vAlign w:val="center"/>
          </w:tcPr>
          <w:p>
            <w:pPr>
              <w:spacing w:before="0" w:after="0" w:line="252" w:lineRule="auto"/>
            </w:pPr>
            <w:r>
              <w:rPr>
                <w:rFonts w:ascii="Calibri" w:hAnsi="Calibri" w:eastAsia="Calibri"/>
                <w:b w:val="0"/>
                <w:color w:val="1A1A1A"/>
                <w:sz w:val="17"/>
              </w:rPr>
              <w:t>Strong emotional and professional trust benchmark</w:t>
            </w:r>
          </w:p>
        </w:tc>
      </w:tr>
      <w:tr>
        <w:trPr>
          <w:cantSplit/>
        </w:trPr>
        <w:tc>
          <w:tcPr>
            <w:tcW w:type="dxa" w:w="1700"/>
            <w:tcMar>
              <w:top w:w="80" w:type="dxa"/>
              <w:start w:w="120" w:type="dxa"/>
              <w:bottom w:w="80" w:type="dxa"/>
              <w:end w:w="120" w:type="dxa"/>
            </w:tcMar>
            <w:tcBorders>
              <w:top w:val="single" w:sz="4" w:space="0" w:color="D9E0E7"/>
              <w:left w:val="single" w:sz="4" w:space="0" w:color="D9E0E7"/>
              <w:bottom w:val="single" w:sz="4" w:space="0" w:color="D9E0E7"/>
              <w:right w:val="single" w:sz="4" w:space="0" w:color="D9E0E7"/>
              <w:insideH w:val="single" w:sz="4" w:space="0" w:color="D9E0E7"/>
              <w:insideV w:val="single" w:sz="4" w:space="0" w:color="D9E0E7"/>
            </w:tcBorders>
            <w:vAlign w:val="center"/>
          </w:tcPr>
          <w:p>
            <w:pPr>
              <w:spacing w:before="0" w:after="0" w:line="252" w:lineRule="auto"/>
            </w:pPr>
            <w:r>
              <w:rPr>
                <w:rFonts w:ascii="Calibri" w:hAnsi="Calibri" w:eastAsia="Calibri"/>
                <w:b/>
                <w:color w:val="1A1A1A"/>
                <w:sz w:val="17"/>
              </w:rPr>
              <w:t>Divorce coaching</w:t>
            </w:r>
          </w:p>
        </w:tc>
        <w:tc>
          <w:tcPr>
            <w:tcW w:type="dxa" w:w="1950"/>
            <w:tcMar>
              <w:top w:w="80" w:type="dxa"/>
              <w:start w:w="120" w:type="dxa"/>
              <w:bottom w:w="80" w:type="dxa"/>
              <w:end w:w="120" w:type="dxa"/>
            </w:tcMar>
            <w:tcBorders>
              <w:top w:val="single" w:sz="4" w:space="0" w:color="D9E0E7"/>
              <w:left w:val="single" w:sz="4" w:space="0" w:color="D9E0E7"/>
              <w:bottom w:val="single" w:sz="4" w:space="0" w:color="D9E0E7"/>
              <w:right w:val="single" w:sz="4" w:space="0" w:color="D9E0E7"/>
              <w:insideH w:val="single" w:sz="4" w:space="0" w:color="D9E0E7"/>
              <w:insideV w:val="single" w:sz="4" w:space="0" w:color="D9E0E7"/>
            </w:tcBorders>
            <w:vAlign w:val="center"/>
          </w:tcPr>
          <w:p>
            <w:pPr>
              <w:spacing w:before="0" w:after="0" w:line="252" w:lineRule="auto"/>
            </w:pPr>
            <w:r>
              <w:rPr>
                <w:rFonts w:ascii="Calibri" w:hAnsi="Calibri" w:eastAsia="Calibri"/>
                <w:b w:val="0"/>
                <w:color w:val="1A1A1A"/>
                <w:sz w:val="17"/>
              </w:rPr>
              <w:t>≈ £58–£160/session; £375–£800/month</w:t>
            </w:r>
          </w:p>
        </w:tc>
        <w:tc>
          <w:tcPr>
            <w:tcW w:type="dxa" w:w="2880"/>
            <w:tcMar>
              <w:top w:w="80" w:type="dxa"/>
              <w:start w:w="120" w:type="dxa"/>
              <w:bottom w:w="80" w:type="dxa"/>
              <w:end w:w="120" w:type="dxa"/>
            </w:tcMar>
            <w:tcBorders>
              <w:top w:val="single" w:sz="4" w:space="0" w:color="D9E0E7"/>
              <w:left w:val="single" w:sz="4" w:space="0" w:color="D9E0E7"/>
              <w:bottom w:val="single" w:sz="4" w:space="0" w:color="D9E0E7"/>
              <w:right w:val="single" w:sz="4" w:space="0" w:color="D9E0E7"/>
              <w:insideH w:val="single" w:sz="4" w:space="0" w:color="D9E0E7"/>
              <w:insideV w:val="single" w:sz="4" w:space="0" w:color="D9E0E7"/>
            </w:tcBorders>
            <w:vAlign w:val="center"/>
          </w:tcPr>
          <w:p>
            <w:pPr>
              <w:spacing w:before="0" w:after="0" w:line="252" w:lineRule="auto"/>
            </w:pPr>
            <w:r>
              <w:rPr>
                <w:rFonts w:ascii="Calibri" w:hAnsi="Calibri" w:eastAsia="Calibri"/>
                <w:b w:val="0"/>
                <w:color w:val="1A1A1A"/>
                <w:sz w:val="17"/>
              </w:rPr>
              <w:t>1:1 support, planning and sometimes messaging</w:t>
            </w:r>
          </w:p>
        </w:tc>
        <w:tc>
          <w:tcPr>
            <w:tcW w:type="dxa" w:w="2830"/>
            <w:tcMar>
              <w:top w:w="80" w:type="dxa"/>
              <w:start w:w="120" w:type="dxa"/>
              <w:bottom w:w="80" w:type="dxa"/>
              <w:end w:w="120" w:type="dxa"/>
            </w:tcMar>
            <w:tcBorders>
              <w:top w:val="single" w:sz="4" w:space="0" w:color="D9E0E7"/>
              <w:left w:val="single" w:sz="4" w:space="0" w:color="D9E0E7"/>
              <w:bottom w:val="single" w:sz="4" w:space="0" w:color="D9E0E7"/>
              <w:right w:val="single" w:sz="4" w:space="0" w:color="D9E0E7"/>
              <w:insideH w:val="single" w:sz="4" w:space="0" w:color="D9E0E7"/>
              <w:insideV w:val="single" w:sz="4" w:space="0" w:color="D9E0E7"/>
            </w:tcBorders>
            <w:vAlign w:val="center"/>
          </w:tcPr>
          <w:p>
            <w:pPr>
              <w:spacing w:before="0" w:after="0" w:line="252" w:lineRule="auto"/>
            </w:pPr>
            <w:r>
              <w:rPr>
                <w:rFonts w:ascii="Calibri" w:hAnsi="Calibri" w:eastAsia="Calibri"/>
                <w:b w:val="0"/>
                <w:color w:val="1A1A1A"/>
                <w:sz w:val="17"/>
              </w:rPr>
              <w:t>Closest direct comparator for the beachhead</w:t>
            </w:r>
          </w:p>
        </w:tc>
      </w:tr>
      <w:tr>
        <w:trPr>
          <w:cantSplit/>
        </w:trPr>
        <w:tc>
          <w:tcPr>
            <w:tcW w:type="dxa" w:w="1700"/>
            <w:shd w:fill="F7F9FB" w:val="clear"/>
            <w:tcMar>
              <w:top w:w="80" w:type="dxa"/>
              <w:start w:w="120" w:type="dxa"/>
              <w:bottom w:w="80" w:type="dxa"/>
              <w:end w:w="120" w:type="dxa"/>
            </w:tcMar>
            <w:tcBorders>
              <w:top w:val="single" w:sz="4" w:space="0" w:color="D9E0E7"/>
              <w:left w:val="single" w:sz="4" w:space="0" w:color="D9E0E7"/>
              <w:bottom w:val="single" w:sz="4" w:space="0" w:color="D9E0E7"/>
              <w:right w:val="single" w:sz="4" w:space="0" w:color="D9E0E7"/>
              <w:insideH w:val="single" w:sz="4" w:space="0" w:color="D9E0E7"/>
              <w:insideV w:val="single" w:sz="4" w:space="0" w:color="D9E0E7"/>
            </w:tcBorders>
            <w:vAlign w:val="center"/>
          </w:tcPr>
          <w:p>
            <w:pPr>
              <w:spacing w:before="0" w:after="0" w:line="252" w:lineRule="auto"/>
            </w:pPr>
            <w:r>
              <w:rPr>
                <w:rFonts w:ascii="Calibri" w:hAnsi="Calibri" w:eastAsia="Calibri"/>
                <w:b/>
                <w:color w:val="1A1A1A"/>
                <w:sz w:val="17"/>
              </w:rPr>
              <w:t>Groups / courses</w:t>
            </w:r>
          </w:p>
        </w:tc>
        <w:tc>
          <w:tcPr>
            <w:tcW w:type="dxa" w:w="1950"/>
            <w:shd w:fill="F7F9FB" w:val="clear"/>
            <w:tcMar>
              <w:top w:w="80" w:type="dxa"/>
              <w:start w:w="120" w:type="dxa"/>
              <w:bottom w:w="80" w:type="dxa"/>
              <w:end w:w="120" w:type="dxa"/>
            </w:tcMar>
            <w:tcBorders>
              <w:top w:val="single" w:sz="4" w:space="0" w:color="D9E0E7"/>
              <w:left w:val="single" w:sz="4" w:space="0" w:color="D9E0E7"/>
              <w:bottom w:val="single" w:sz="4" w:space="0" w:color="D9E0E7"/>
              <w:right w:val="single" w:sz="4" w:space="0" w:color="D9E0E7"/>
              <w:insideH w:val="single" w:sz="4" w:space="0" w:color="D9E0E7"/>
              <w:insideV w:val="single" w:sz="4" w:space="0" w:color="D9E0E7"/>
            </w:tcBorders>
            <w:vAlign w:val="center"/>
          </w:tcPr>
          <w:p>
            <w:pPr>
              <w:spacing w:before="0" w:after="0" w:line="252" w:lineRule="auto"/>
            </w:pPr>
            <w:r>
              <w:rPr>
                <w:rFonts w:ascii="Calibri" w:hAnsi="Calibri" w:eastAsia="Calibri"/>
                <w:b w:val="0"/>
                <w:color w:val="1A1A1A"/>
                <w:sz w:val="17"/>
              </w:rPr>
              <w:t>£20/month to £1,099 programme</w:t>
            </w:r>
          </w:p>
        </w:tc>
        <w:tc>
          <w:tcPr>
            <w:tcW w:type="dxa" w:w="2880"/>
            <w:shd w:fill="F7F9FB" w:val="clear"/>
            <w:tcMar>
              <w:top w:w="80" w:type="dxa"/>
              <w:start w:w="120" w:type="dxa"/>
              <w:bottom w:w="80" w:type="dxa"/>
              <w:end w:w="120" w:type="dxa"/>
            </w:tcMar>
            <w:tcBorders>
              <w:top w:val="single" w:sz="4" w:space="0" w:color="D9E0E7"/>
              <w:left w:val="single" w:sz="4" w:space="0" w:color="D9E0E7"/>
              <w:bottom w:val="single" w:sz="4" w:space="0" w:color="D9E0E7"/>
              <w:right w:val="single" w:sz="4" w:space="0" w:color="D9E0E7"/>
              <w:insideH w:val="single" w:sz="4" w:space="0" w:color="D9E0E7"/>
              <w:insideV w:val="single" w:sz="4" w:space="0" w:color="D9E0E7"/>
            </w:tcBorders>
            <w:vAlign w:val="center"/>
          </w:tcPr>
          <w:p>
            <w:pPr>
              <w:spacing w:before="0" w:after="0" w:line="252" w:lineRule="auto"/>
            </w:pPr>
            <w:r>
              <w:rPr>
                <w:rFonts w:ascii="Calibri" w:hAnsi="Calibri" w:eastAsia="Calibri"/>
                <w:b w:val="0"/>
                <w:color w:val="1A1A1A"/>
                <w:sz w:val="17"/>
              </w:rPr>
              <w:t>Community, curriculum, group calls; some 1:1 upgrades</w:t>
            </w:r>
          </w:p>
        </w:tc>
        <w:tc>
          <w:tcPr>
            <w:tcW w:type="dxa" w:w="2830"/>
            <w:shd w:fill="F7F9FB" w:val="clear"/>
            <w:tcMar>
              <w:top w:w="80" w:type="dxa"/>
              <w:start w:w="120" w:type="dxa"/>
              <w:bottom w:w="80" w:type="dxa"/>
              <w:end w:w="120" w:type="dxa"/>
            </w:tcMar>
            <w:tcBorders>
              <w:top w:val="single" w:sz="4" w:space="0" w:color="D9E0E7"/>
              <w:left w:val="single" w:sz="4" w:space="0" w:color="D9E0E7"/>
              <w:bottom w:val="single" w:sz="4" w:space="0" w:color="D9E0E7"/>
              <w:right w:val="single" w:sz="4" w:space="0" w:color="D9E0E7"/>
              <w:insideH w:val="single" w:sz="4" w:space="0" w:color="D9E0E7"/>
              <w:insideV w:val="single" w:sz="4" w:space="0" w:color="D9E0E7"/>
            </w:tcBorders>
            <w:vAlign w:val="center"/>
          </w:tcPr>
          <w:p>
            <w:pPr>
              <w:spacing w:before="0" w:after="0" w:line="252" w:lineRule="auto"/>
            </w:pPr>
            <w:r>
              <w:rPr>
                <w:rFonts w:ascii="Calibri" w:hAnsi="Calibri" w:eastAsia="Calibri"/>
                <w:b w:val="0"/>
                <w:color w:val="1A1A1A"/>
                <w:sz w:val="17"/>
              </w:rPr>
              <w:t>Far cheaper scalability and belonging</w:t>
            </w:r>
          </w:p>
        </w:tc>
      </w:tr>
      <w:tr>
        <w:trPr>
          <w:cantSplit/>
        </w:trPr>
        <w:tc>
          <w:tcPr>
            <w:tcW w:type="dxa" w:w="1700"/>
            <w:tcMar>
              <w:top w:w="80" w:type="dxa"/>
              <w:start w:w="120" w:type="dxa"/>
              <w:bottom w:w="80" w:type="dxa"/>
              <w:end w:w="120" w:type="dxa"/>
            </w:tcMar>
            <w:tcBorders>
              <w:top w:val="single" w:sz="4" w:space="0" w:color="D9E0E7"/>
              <w:left w:val="single" w:sz="4" w:space="0" w:color="D9E0E7"/>
              <w:bottom w:val="single" w:sz="4" w:space="0" w:color="D9E0E7"/>
              <w:right w:val="single" w:sz="4" w:space="0" w:color="D9E0E7"/>
              <w:insideH w:val="single" w:sz="4" w:space="0" w:color="D9E0E7"/>
              <w:insideV w:val="single" w:sz="4" w:space="0" w:color="D9E0E7"/>
            </w:tcBorders>
            <w:vAlign w:val="center"/>
          </w:tcPr>
          <w:p>
            <w:pPr>
              <w:spacing w:before="0" w:after="0" w:line="252" w:lineRule="auto"/>
            </w:pPr>
            <w:r>
              <w:rPr>
                <w:rFonts w:ascii="Calibri" w:hAnsi="Calibri" w:eastAsia="Calibri"/>
                <w:b/>
                <w:color w:val="1A1A1A"/>
                <w:sz w:val="17"/>
              </w:rPr>
              <w:t>Accountability / PA</w:t>
            </w:r>
          </w:p>
        </w:tc>
        <w:tc>
          <w:tcPr>
            <w:tcW w:type="dxa" w:w="1950"/>
            <w:tcMar>
              <w:top w:w="80" w:type="dxa"/>
              <w:start w:w="120" w:type="dxa"/>
              <w:bottom w:w="80" w:type="dxa"/>
              <w:end w:w="120" w:type="dxa"/>
            </w:tcMar>
            <w:tcBorders>
              <w:top w:val="single" w:sz="4" w:space="0" w:color="D9E0E7"/>
              <w:left w:val="single" w:sz="4" w:space="0" w:color="D9E0E7"/>
              <w:bottom w:val="single" w:sz="4" w:space="0" w:color="D9E0E7"/>
              <w:right w:val="single" w:sz="4" w:space="0" w:color="D9E0E7"/>
              <w:insideH w:val="single" w:sz="4" w:space="0" w:color="D9E0E7"/>
              <w:insideV w:val="single" w:sz="4" w:space="0" w:color="D9E0E7"/>
            </w:tcBorders>
            <w:vAlign w:val="center"/>
          </w:tcPr>
          <w:p>
            <w:pPr>
              <w:spacing w:before="0" w:after="0" w:line="252" w:lineRule="auto"/>
            </w:pPr>
            <w:r>
              <w:rPr>
                <w:rFonts w:ascii="Calibri" w:hAnsi="Calibri" w:eastAsia="Calibri"/>
                <w:b w:val="0"/>
                <w:color w:val="1A1A1A"/>
                <w:sz w:val="17"/>
              </w:rPr>
              <w:t>£129–£590/month; VA £40/hour + VAT</w:t>
            </w:r>
          </w:p>
        </w:tc>
        <w:tc>
          <w:tcPr>
            <w:tcW w:type="dxa" w:w="2880"/>
            <w:tcMar>
              <w:top w:w="80" w:type="dxa"/>
              <w:start w:w="120" w:type="dxa"/>
              <w:bottom w:w="80" w:type="dxa"/>
              <w:end w:w="120" w:type="dxa"/>
            </w:tcMar>
            <w:tcBorders>
              <w:top w:val="single" w:sz="4" w:space="0" w:color="D9E0E7"/>
              <w:left w:val="single" w:sz="4" w:space="0" w:color="D9E0E7"/>
              <w:bottom w:val="single" w:sz="4" w:space="0" w:color="D9E0E7"/>
              <w:right w:val="single" w:sz="4" w:space="0" w:color="D9E0E7"/>
              <w:insideH w:val="single" w:sz="4" w:space="0" w:color="D9E0E7"/>
              <w:insideV w:val="single" w:sz="4" w:space="0" w:color="D9E0E7"/>
            </w:tcBorders>
            <w:vAlign w:val="center"/>
          </w:tcPr>
          <w:p>
            <w:pPr>
              <w:spacing w:before="0" w:after="0" w:line="252" w:lineRule="auto"/>
            </w:pPr>
            <w:r>
              <w:rPr>
                <w:rFonts w:ascii="Calibri" w:hAnsi="Calibri" w:eastAsia="Calibri"/>
                <w:b w:val="0"/>
                <w:color w:val="1A1A1A"/>
                <w:sz w:val="17"/>
              </w:rPr>
              <w:t>Check-ins, execution, reminders or delegated admin</w:t>
            </w:r>
          </w:p>
        </w:tc>
        <w:tc>
          <w:tcPr>
            <w:tcW w:type="dxa" w:w="2830"/>
            <w:tcMar>
              <w:top w:w="80" w:type="dxa"/>
              <w:start w:w="120" w:type="dxa"/>
              <w:bottom w:w="80" w:type="dxa"/>
              <w:end w:w="120" w:type="dxa"/>
            </w:tcMar>
            <w:tcBorders>
              <w:top w:val="single" w:sz="4" w:space="0" w:color="D9E0E7"/>
              <w:left w:val="single" w:sz="4" w:space="0" w:color="D9E0E7"/>
              <w:bottom w:val="single" w:sz="4" w:space="0" w:color="D9E0E7"/>
              <w:right w:val="single" w:sz="4" w:space="0" w:color="D9E0E7"/>
              <w:insideH w:val="single" w:sz="4" w:space="0" w:color="D9E0E7"/>
              <w:insideV w:val="single" w:sz="4" w:space="0" w:color="D9E0E7"/>
            </w:tcBorders>
            <w:vAlign w:val="center"/>
          </w:tcPr>
          <w:p>
            <w:pPr>
              <w:spacing w:before="0" w:after="0" w:line="252" w:lineRule="auto"/>
            </w:pPr>
            <w:r>
              <w:rPr>
                <w:rFonts w:ascii="Calibri" w:hAnsi="Calibri" w:eastAsia="Calibri"/>
                <w:b w:val="0"/>
                <w:color w:val="1A1A1A"/>
                <w:sz w:val="17"/>
              </w:rPr>
              <w:t>Strong on follow-through, weak on emotional depth</w:t>
            </w:r>
          </w:p>
        </w:tc>
      </w:tr>
      <w:tr>
        <w:trPr>
          <w:cantSplit/>
        </w:trPr>
        <w:tc>
          <w:tcPr>
            <w:tcW w:type="dxa" w:w="1700"/>
            <w:shd w:fill="F7F9FB" w:val="clear"/>
            <w:tcMar>
              <w:top w:w="80" w:type="dxa"/>
              <w:start w:w="120" w:type="dxa"/>
              <w:bottom w:w="80" w:type="dxa"/>
              <w:end w:w="120" w:type="dxa"/>
            </w:tcMar>
            <w:tcBorders>
              <w:top w:val="single" w:sz="4" w:space="0" w:color="D9E0E7"/>
              <w:left w:val="single" w:sz="4" w:space="0" w:color="D9E0E7"/>
              <w:bottom w:val="single" w:sz="4" w:space="0" w:color="D9E0E7"/>
              <w:right w:val="single" w:sz="4" w:space="0" w:color="D9E0E7"/>
              <w:insideH w:val="single" w:sz="4" w:space="0" w:color="D9E0E7"/>
              <w:insideV w:val="single" w:sz="4" w:space="0" w:color="D9E0E7"/>
            </w:tcBorders>
            <w:vAlign w:val="center"/>
          </w:tcPr>
          <w:p>
            <w:pPr>
              <w:spacing w:before="0" w:after="0" w:line="252" w:lineRule="auto"/>
            </w:pPr>
            <w:r>
              <w:rPr>
                <w:rFonts w:ascii="Calibri" w:hAnsi="Calibri" w:eastAsia="Calibri"/>
                <w:b/>
                <w:color w:val="1A1A1A"/>
                <w:sz w:val="17"/>
              </w:rPr>
              <w:t>Legal / mediation</w:t>
            </w:r>
          </w:p>
        </w:tc>
        <w:tc>
          <w:tcPr>
            <w:tcW w:type="dxa" w:w="1950"/>
            <w:shd w:fill="F7F9FB" w:val="clear"/>
            <w:tcMar>
              <w:top w:w="80" w:type="dxa"/>
              <w:start w:w="120" w:type="dxa"/>
              <w:bottom w:w="80" w:type="dxa"/>
              <w:end w:w="120" w:type="dxa"/>
            </w:tcMar>
            <w:tcBorders>
              <w:top w:val="single" w:sz="4" w:space="0" w:color="D9E0E7"/>
              <w:left w:val="single" w:sz="4" w:space="0" w:color="D9E0E7"/>
              <w:bottom w:val="single" w:sz="4" w:space="0" w:color="D9E0E7"/>
              <w:right w:val="single" w:sz="4" w:space="0" w:color="D9E0E7"/>
              <w:insideH w:val="single" w:sz="4" w:space="0" w:color="D9E0E7"/>
              <w:insideV w:val="single" w:sz="4" w:space="0" w:color="D9E0E7"/>
            </w:tcBorders>
            <w:vAlign w:val="center"/>
          </w:tcPr>
          <w:p>
            <w:pPr>
              <w:spacing w:before="0" w:after="0" w:line="252" w:lineRule="auto"/>
            </w:pPr>
            <w:r>
              <w:rPr>
                <w:rFonts w:ascii="Calibri" w:hAnsi="Calibri" w:eastAsia="Calibri"/>
                <w:b w:val="0"/>
                <w:color w:val="1A1A1A"/>
                <w:sz w:val="17"/>
              </w:rPr>
              <w:t>MIAM ≈ £120; services £1,200–£5,910</w:t>
            </w:r>
          </w:p>
        </w:tc>
        <w:tc>
          <w:tcPr>
            <w:tcW w:type="dxa" w:w="2880"/>
            <w:shd w:fill="F7F9FB" w:val="clear"/>
            <w:tcMar>
              <w:top w:w="80" w:type="dxa"/>
              <w:start w:w="120" w:type="dxa"/>
              <w:bottom w:w="80" w:type="dxa"/>
              <w:end w:w="120" w:type="dxa"/>
            </w:tcMar>
            <w:tcBorders>
              <w:top w:val="single" w:sz="4" w:space="0" w:color="D9E0E7"/>
              <w:left w:val="single" w:sz="4" w:space="0" w:color="D9E0E7"/>
              <w:bottom w:val="single" w:sz="4" w:space="0" w:color="D9E0E7"/>
              <w:right w:val="single" w:sz="4" w:space="0" w:color="D9E0E7"/>
              <w:insideH w:val="single" w:sz="4" w:space="0" w:color="D9E0E7"/>
              <w:insideV w:val="single" w:sz="4" w:space="0" w:color="D9E0E7"/>
            </w:tcBorders>
            <w:vAlign w:val="center"/>
          </w:tcPr>
          <w:p>
            <w:pPr>
              <w:spacing w:before="0" w:after="0" w:line="252" w:lineRule="auto"/>
            </w:pPr>
            <w:r>
              <w:rPr>
                <w:rFonts w:ascii="Calibri" w:hAnsi="Calibri" w:eastAsia="Calibri"/>
                <w:b w:val="0"/>
                <w:color w:val="1A1A1A"/>
                <w:sz w:val="17"/>
              </w:rPr>
              <w:t>Regulated or accredited problem-solving</w:t>
            </w:r>
          </w:p>
        </w:tc>
        <w:tc>
          <w:tcPr>
            <w:tcW w:type="dxa" w:w="2830"/>
            <w:shd w:fill="F7F9FB" w:val="clear"/>
            <w:tcMar>
              <w:top w:w="80" w:type="dxa"/>
              <w:start w:w="120" w:type="dxa"/>
              <w:bottom w:w="80" w:type="dxa"/>
              <w:end w:w="120" w:type="dxa"/>
            </w:tcMar>
            <w:tcBorders>
              <w:top w:val="single" w:sz="4" w:space="0" w:color="D9E0E7"/>
              <w:left w:val="single" w:sz="4" w:space="0" w:color="D9E0E7"/>
              <w:bottom w:val="single" w:sz="4" w:space="0" w:color="D9E0E7"/>
              <w:right w:val="single" w:sz="4" w:space="0" w:color="D9E0E7"/>
              <w:insideH w:val="single" w:sz="4" w:space="0" w:color="D9E0E7"/>
              <w:insideV w:val="single" w:sz="4" w:space="0" w:color="D9E0E7"/>
            </w:tcBorders>
            <w:vAlign w:val="center"/>
          </w:tcPr>
          <w:p>
            <w:pPr>
              <w:spacing w:before="0" w:after="0" w:line="252" w:lineRule="auto"/>
            </w:pPr>
            <w:r>
              <w:rPr>
                <w:rFonts w:ascii="Calibri" w:hAnsi="Calibri" w:eastAsia="Calibri"/>
                <w:b w:val="0"/>
                <w:color w:val="1A1A1A"/>
                <w:sz w:val="17"/>
              </w:rPr>
              <w:t>High urgency and authority, but narrow scope</w:t>
            </w:r>
          </w:p>
        </w:tc>
      </w:tr>
    </w:tbl>
    <w:p>
      <w:pPr>
        <w:pStyle w:val="Heading2"/>
        <w:keepNext/>
      </w:pPr>
      <w:r>
        <w:t>Recommendation in one sentence</w:t>
      </w:r>
    </w:p>
    <w:p>
      <w:pPr>
        <w:keepLines/>
      </w:pPr>
      <w:r>
        <w:rPr>
          <w:rFonts w:ascii="Calibri" w:hAnsi="Calibri" w:eastAsia="Calibri"/>
          <w:i w:val="0"/>
        </w:rPr>
        <w:t>Test Emotional Life Support as a bounded, high-trust ‘life rebuild navigator’ for people who are functional enough for coaching but overwhelmed by the emotional, practical and identity consequences of separation—using a stepped offer around £550–£700 per month and reserving £850–£1,100 for a genuinely intensive tier with explicit practical-support capacity.</w:t>
      </w:r>
    </w:p>
    <w:p>
      <w:pPr>
        <w:pStyle w:val="Heading1"/>
        <w:keepNext/>
      </w:pPr>
      <w:r>
        <w:t>1. Scope, definitions and method</w:t>
      </w:r>
    </w:p>
    <w:p>
      <w:pPr>
        <w:pStyle w:val="Heading2"/>
        <w:keepNext/>
      </w:pPr>
      <w:r>
        <w:t>1.1 What is being compared</w:t>
      </w:r>
    </w:p>
    <w:p>
      <w:pPr>
        <w:keepLines/>
      </w:pPr>
      <w:r>
        <w:rPr>
          <w:rFonts w:ascii="Calibri" w:hAnsi="Calibri" w:eastAsia="Calibri"/>
          <w:i w:val="0"/>
        </w:rPr>
        <w:t>The working concept is a premium, non-clinical, one-to-one service for adults whose old life has been disrupted and who feel lost about what comes next. The intended mechanism combines emotional support, self-understanding, practical sparring, hands-on organisation, accountability and specialist navigation. Separation/divorce is treated as the leading test segment, not a permanent niche. [1]</w:t>
      </w:r>
    </w:p>
    <w:p>
      <w:pPr>
        <w:keepLines/>
      </w:pPr>
      <w:r>
        <w:rPr>
          <w:rFonts w:ascii="Calibri" w:hAnsi="Calibri" w:eastAsia="Calibri"/>
          <w:i w:val="0"/>
        </w:rPr>
        <w:t>An ‘alternative’ is anything a customer may hire, access or rely on to make progress on the same job. This includes direct competitors, adjacent professionals, free services, informal support and doing nothing. It does not imply equivalence. A therapist, mediator and virtual assistant solve different problems and should not be collapsed into one category.</w:t>
      </w:r>
    </w:p>
    <w:p>
      <w:pPr>
        <w:pStyle w:val="Heading2"/>
        <w:keepNext/>
      </w:pPr>
      <w:r>
        <w:t>1.2 Evidence labels</w:t>
      </w:r>
    </w:p>
    <w:p>
      <w:pPr>
        <w:numPr>
          <w:ilvl w:val="0"/>
          <w:numId w:val="10"/>
        </w:numPr>
        <w:spacing w:after="80" w:line="280" w:lineRule="auto"/>
        <w:keepLines/>
      </w:pPr>
      <w:r>
        <w:rPr>
          <w:rFonts w:ascii="Calibri" w:hAnsi="Calibri" w:eastAsia="Calibri"/>
        </w:rPr>
        <w:t>Evidence: current public prices, official scope statements, professional-body guidance and published research.</w:t>
      </w:r>
    </w:p>
    <w:p>
      <w:pPr>
        <w:numPr>
          <w:ilvl w:val="0"/>
          <w:numId w:val="10"/>
        </w:numPr>
        <w:spacing w:after="80" w:line="280" w:lineRule="auto"/>
        <w:keepLines/>
      </w:pPr>
      <w:r>
        <w:rPr>
          <w:rFonts w:ascii="Calibri" w:hAnsi="Calibri" w:eastAsia="Calibri"/>
        </w:rPr>
        <w:t>Inference: what those offerings are likely to mean for customer choice and market positioning.</w:t>
      </w:r>
    </w:p>
    <w:p>
      <w:pPr>
        <w:numPr>
          <w:ilvl w:val="0"/>
          <w:numId w:val="10"/>
        </w:numPr>
        <w:spacing w:after="80" w:line="280" w:lineRule="auto"/>
        <w:keepLines/>
      </w:pPr>
      <w:r>
        <w:rPr>
          <w:rFonts w:ascii="Calibri" w:hAnsi="Calibri" w:eastAsia="Calibri"/>
        </w:rPr>
        <w:t>Estimate: normalised monthly costs, job-coverage scores and proposed pricing ranges calculated for this report.</w:t>
      </w:r>
    </w:p>
    <w:p>
      <w:pPr>
        <w:numPr>
          <w:ilvl w:val="0"/>
          <w:numId w:val="10"/>
        </w:numPr>
        <w:spacing w:after="80" w:line="280" w:lineRule="auto"/>
        <w:keepLines/>
      </w:pPr>
      <w:r>
        <w:rPr>
          <w:rFonts w:ascii="Calibri" w:hAnsi="Calibri" w:eastAsia="Calibri"/>
        </w:rPr>
        <w:t>Hypothesis: what Emotional Life Support could offer or charge; none of these hypotheses is validated demand.</w:t>
      </w:r>
    </w:p>
    <w:p>
      <w:pPr>
        <w:pStyle w:val="Heading2"/>
        <w:keepNext/>
      </w:pPr>
      <w:r>
        <w:t>1.3 Research limitations</w:t>
      </w:r>
    </w:p>
    <w:p>
      <w:pPr>
        <w:numPr>
          <w:ilvl w:val="0"/>
          <w:numId w:val="10"/>
        </w:numPr>
        <w:spacing w:after="80" w:line="280" w:lineRule="auto"/>
        <w:keepLines/>
      </w:pPr>
      <w:r>
        <w:rPr>
          <w:rFonts w:ascii="Calibri" w:hAnsi="Calibri" w:eastAsia="Calibri"/>
        </w:rPr>
        <w:t>This is a directional UK desk-research snapshot, not a census of the market. Public-pricing samples overrepresent providers that publish prices.</w:t>
      </w:r>
    </w:p>
    <w:p>
      <w:pPr>
        <w:numPr>
          <w:ilvl w:val="0"/>
          <w:numId w:val="10"/>
        </w:numPr>
        <w:spacing w:after="80" w:line="280" w:lineRule="auto"/>
        <w:keepLines/>
      </w:pPr>
      <w:r>
        <w:rPr>
          <w:rFonts w:ascii="Calibri" w:hAnsi="Calibri" w:eastAsia="Calibri"/>
        </w:rPr>
        <w:t>Provider websites establish what is offered and claimed, not whether outcomes are achieved. Testimonials were not treated as independent proof.</w:t>
      </w:r>
    </w:p>
    <w:p>
      <w:pPr>
        <w:numPr>
          <w:ilvl w:val="0"/>
          <w:numId w:val="10"/>
        </w:numPr>
        <w:spacing w:after="80" w:line="280" w:lineRule="auto"/>
        <w:keepLines/>
      </w:pPr>
      <w:r>
        <w:rPr>
          <w:rFonts w:ascii="Calibri" w:hAnsi="Calibri" w:eastAsia="Calibri"/>
        </w:rPr>
        <w:t>Prices may exclude VAT, court fees, travel, assessments, add-ons or specialist work. One-off packages have not been forced into monthly equivalents when duration is unclear.</w:t>
      </w:r>
    </w:p>
    <w:p>
      <w:pPr>
        <w:numPr>
          <w:ilvl w:val="0"/>
          <w:numId w:val="10"/>
        </w:numPr>
        <w:spacing w:after="80" w:line="280" w:lineRule="auto"/>
        <w:keepLines/>
      </w:pPr>
      <w:r>
        <w:rPr>
          <w:rFonts w:ascii="Calibri" w:hAnsi="Calibri" w:eastAsia="Calibri"/>
        </w:rPr>
        <w:t>The evidence base for generic life coaching remains limited and heterogeneous. A review found only five eligible intervention studies, two randomised, and concluded that only tendencies could be identified. [7]</w:t>
      </w:r>
    </w:p>
    <w:p>
      <w:pPr>
        <w:numPr>
          <w:ilvl w:val="0"/>
          <w:numId w:val="10"/>
        </w:numPr>
        <w:spacing w:after="80" w:line="280" w:lineRule="auto"/>
        <w:keepLines/>
      </w:pPr>
      <w:r>
        <w:rPr>
          <w:rFonts w:ascii="Calibri" w:hAnsi="Calibri" w:eastAsia="Calibri"/>
        </w:rPr>
        <w:t>A 2011 meta-analysis reported a moderate mean effect across separation/divorce interventions, but these were heterogeneous programmes; it does not validate the commercial category of divorce coaching or the proposed service. [8]</w:t>
      </w:r>
    </w:p>
    <w:p>
      <w:pPr>
        <w:spacing w:before="160" w:after="200" w:line="264" w:lineRule="auto"/>
        <w:ind w:left="230" w:right="173"/>
        <w:shd w:fill="FFF7E6" w:val="clear"/>
        <w:pBdr>
          <w:left w:val="single" w:sz="18" w:space="8" w:color="9B7B2F"/>
        </w:pBdr>
        <w:keepLines/>
      </w:pPr>
      <w:r>
        <w:rPr>
          <w:rFonts w:ascii="Calibri" w:hAnsi="Calibri" w:eastAsia="Calibri"/>
          <w:b/>
          <w:color w:val="9B7B2F"/>
          <w:sz w:val="19"/>
        </w:rPr>
        <w:t xml:space="preserve">IMPORTANT BOUNDARY  </w:t>
      </w:r>
      <w:r>
        <w:rPr>
          <w:rFonts w:ascii="Calibri" w:hAnsi="Calibri" w:eastAsia="Calibri"/>
          <w:color w:val="0B2545"/>
          <w:sz w:val="21"/>
        </w:rPr>
        <w:t>This report compares purchasing alternatives. It does not recommend substituting Emotional Life Support for therapy, crisis response, safeguarding, legal advice, financial advice or medical care.</w:t>
      </w:r>
    </w:p>
    <w:p>
      <w:pPr>
        <w:pStyle w:val="Heading1"/>
        <w:keepNext/>
      </w:pPr>
      <w:r>
        <w:t>2. The alternative landscape</w:t>
      </w:r>
    </w:p>
    <w:p>
      <w:pPr>
        <w:keepLines/>
      </w:pPr>
      <w:r>
        <w:rPr>
          <w:rFonts w:ascii="Calibri" w:hAnsi="Calibri" w:eastAsia="Calibri"/>
          <w:i w:val="0"/>
        </w:rPr>
        <w:t>Customers are not choosing between neat categories. They are trying to complete several overlapping jobs, often under time pressure:</w:t>
      </w:r>
    </w:p>
    <w:p>
      <w:pPr>
        <w:numPr>
          <w:ilvl w:val="0"/>
          <w:numId w:val="10"/>
        </w:numPr>
        <w:spacing w:after="80" w:line="280" w:lineRule="auto"/>
        <w:keepLines/>
      </w:pPr>
      <w:r>
        <w:rPr>
          <w:rFonts w:ascii="Calibri" w:hAnsi="Calibri" w:eastAsia="Calibri"/>
        </w:rPr>
        <w:t>Feel heard, less alone and sufficiently steady to think.</w:t>
      </w:r>
    </w:p>
    <w:p>
      <w:pPr>
        <w:numPr>
          <w:ilvl w:val="0"/>
          <w:numId w:val="10"/>
        </w:numPr>
        <w:spacing w:after="80" w:line="280" w:lineRule="auto"/>
        <w:keepLines/>
      </w:pPr>
      <w:r>
        <w:rPr>
          <w:rFonts w:ascii="Calibri" w:hAnsi="Calibri" w:eastAsia="Calibri"/>
        </w:rPr>
        <w:t>Understand what has happened, who they are now and what they want next.</w:t>
      </w:r>
    </w:p>
    <w:p>
      <w:pPr>
        <w:numPr>
          <w:ilvl w:val="0"/>
          <w:numId w:val="10"/>
        </w:numPr>
        <w:spacing w:after="80" w:line="280" w:lineRule="auto"/>
        <w:keepLines/>
      </w:pPr>
      <w:r>
        <w:rPr>
          <w:rFonts w:ascii="Calibri" w:hAnsi="Calibri" w:eastAsia="Calibri"/>
        </w:rPr>
        <w:t>Make decisions and convert them into manageable actions.</w:t>
      </w:r>
    </w:p>
    <w:p>
      <w:pPr>
        <w:numPr>
          <w:ilvl w:val="0"/>
          <w:numId w:val="10"/>
        </w:numPr>
        <w:spacing w:after="80" w:line="280" w:lineRule="auto"/>
        <w:keepLines/>
      </w:pPr>
      <w:r>
        <w:rPr>
          <w:rFonts w:ascii="Calibri" w:hAnsi="Calibri" w:eastAsia="Calibri"/>
        </w:rPr>
        <w:t>Organise documents, appointments, research, routines and competing demands.</w:t>
      </w:r>
    </w:p>
    <w:p>
      <w:pPr>
        <w:numPr>
          <w:ilvl w:val="0"/>
          <w:numId w:val="10"/>
        </w:numPr>
        <w:spacing w:after="80" w:line="280" w:lineRule="auto"/>
        <w:keepLines/>
      </w:pPr>
      <w:r>
        <w:rPr>
          <w:rFonts w:ascii="Calibri" w:hAnsi="Calibri" w:eastAsia="Calibri"/>
        </w:rPr>
        <w:t>Get qualified answers on mental health, law, money, health or safety.</w:t>
      </w:r>
    </w:p>
    <w:p>
      <w:pPr>
        <w:numPr>
          <w:ilvl w:val="0"/>
          <w:numId w:val="10"/>
        </w:numPr>
        <w:spacing w:after="80" w:line="280" w:lineRule="auto"/>
        <w:keepLines/>
      </w:pPr>
      <w:r>
        <w:rPr>
          <w:rFonts w:ascii="Calibri" w:hAnsi="Calibri" w:eastAsia="Calibri"/>
        </w:rPr>
        <w:t>Sustain momentum without becoming dependent on a helper.</w:t>
      </w:r>
    </w:p>
    <w:p>
      <w:pPr>
        <w:pStyle w:val="Caption"/>
        <w:keepNext/>
      </w:pPr>
      <w:r>
        <w:t>Table 2. Estimated job coverage by service model (1 = weak, 5 = strong). These are analyst estimates based on delivery model, not measured outcomes.</w:t>
      </w:r>
    </w:p>
    <w:tbl>
      <w:tblPr>
        <w:tblW w:type="dxa" w:w="9360"/>
        <w:tblLayout w:type="fixed"/>
        <w:tblLook w:firstColumn="1" w:firstRow="1" w:lastColumn="0" w:lastRow="0" w:noHBand="0" w:noVBand="1" w:val="04A0"/>
        <w:jc w:val="left"/>
        <w:tblInd w:w="120" w:type="dxa"/>
      </w:tblPr>
      <w:tblGrid>
        <w:gridCol w:w="2460"/>
        <w:gridCol w:w="1050"/>
        <w:gridCol w:w="1050"/>
        <w:gridCol w:w="1050"/>
        <w:gridCol w:w="1050"/>
        <w:gridCol w:w="1350"/>
        <w:gridCol w:w="1350"/>
      </w:tblGrid>
      <w:tr>
        <w:trPr>
          <w:cantSplit/>
          <w:tblHeader w:val="true"/>
        </w:trPr>
        <w:tc>
          <w:tcPr>
            <w:tcW w:type="dxa" w:w="2460"/>
            <w:tcMar>
              <w:top w:w="80" w:type="dxa"/>
              <w:start w:w="120" w:type="dxa"/>
              <w:bottom w:w="80" w:type="dxa"/>
              <w:end w:w="120" w:type="dxa"/>
            </w:tcMar>
            <w:tcBorders>
              <w:top w:val="single" w:sz="4" w:space="0" w:color="D9E0E7"/>
              <w:left w:val="single" w:sz="4" w:space="0" w:color="D9E0E7"/>
              <w:bottom w:val="single" w:sz="4" w:space="0" w:color="D9E0E7"/>
              <w:right w:val="single" w:sz="4" w:space="0" w:color="D9E0E7"/>
              <w:insideH w:val="single" w:sz="4" w:space="0" w:color="D9E0E7"/>
              <w:insideV w:val="single" w:sz="4" w:space="0" w:color="D9E0E7"/>
            </w:tcBorders>
            <w:vAlign w:val="center"/>
            <w:shd w:fill="F2F4F7" w:val="clear"/>
          </w:tcPr>
          <w:p>
            <w:pPr>
              <w:spacing w:before="0" w:after="0" w:line="240" w:lineRule="auto"/>
              <w:jc w:val="left"/>
            </w:pPr>
            <w:r>
              <w:rPr>
                <w:rFonts w:ascii="Calibri" w:hAnsi="Calibri" w:eastAsia="Calibri"/>
                <w:b/>
                <w:color w:val="0B2545"/>
                <w:sz w:val="17"/>
              </w:rPr>
              <w:t>Alternative</w:t>
            </w:r>
          </w:p>
        </w:tc>
        <w:tc>
          <w:tcPr>
            <w:tcW w:type="dxa" w:w="1050"/>
            <w:tcMar>
              <w:top w:w="80" w:type="dxa"/>
              <w:start w:w="120" w:type="dxa"/>
              <w:bottom w:w="80" w:type="dxa"/>
              <w:end w:w="120" w:type="dxa"/>
            </w:tcMar>
            <w:tcBorders>
              <w:top w:val="single" w:sz="4" w:space="0" w:color="D9E0E7"/>
              <w:left w:val="single" w:sz="4" w:space="0" w:color="D9E0E7"/>
              <w:bottom w:val="single" w:sz="4" w:space="0" w:color="D9E0E7"/>
              <w:right w:val="single" w:sz="4" w:space="0" w:color="D9E0E7"/>
              <w:insideH w:val="single" w:sz="4" w:space="0" w:color="D9E0E7"/>
              <w:insideV w:val="single" w:sz="4" w:space="0" w:color="D9E0E7"/>
            </w:tcBorders>
            <w:vAlign w:val="center"/>
            <w:shd w:fill="F2F4F7" w:val="clear"/>
          </w:tcPr>
          <w:p>
            <w:pPr>
              <w:spacing w:before="0" w:after="0" w:line="240" w:lineRule="auto"/>
              <w:jc w:val="center"/>
            </w:pPr>
            <w:r>
              <w:rPr>
                <w:rFonts w:ascii="Calibri" w:hAnsi="Calibri" w:eastAsia="Calibri"/>
                <w:b/>
                <w:color w:val="0B2545"/>
                <w:sz w:val="17"/>
              </w:rPr>
              <w:t>Emotional</w:t>
            </w:r>
          </w:p>
        </w:tc>
        <w:tc>
          <w:tcPr>
            <w:tcW w:type="dxa" w:w="1050"/>
            <w:tcMar>
              <w:top w:w="80" w:type="dxa"/>
              <w:start w:w="120" w:type="dxa"/>
              <w:bottom w:w="80" w:type="dxa"/>
              <w:end w:w="120" w:type="dxa"/>
            </w:tcMar>
            <w:tcBorders>
              <w:top w:val="single" w:sz="4" w:space="0" w:color="D9E0E7"/>
              <w:left w:val="single" w:sz="4" w:space="0" w:color="D9E0E7"/>
              <w:bottom w:val="single" w:sz="4" w:space="0" w:color="D9E0E7"/>
              <w:right w:val="single" w:sz="4" w:space="0" w:color="D9E0E7"/>
              <w:insideH w:val="single" w:sz="4" w:space="0" w:color="D9E0E7"/>
              <w:insideV w:val="single" w:sz="4" w:space="0" w:color="D9E0E7"/>
            </w:tcBorders>
            <w:vAlign w:val="center"/>
            <w:shd w:fill="F2F4F7" w:val="clear"/>
          </w:tcPr>
          <w:p>
            <w:pPr>
              <w:spacing w:before="0" w:after="0" w:line="240" w:lineRule="auto"/>
              <w:jc w:val="center"/>
            </w:pPr>
            <w:r>
              <w:rPr>
                <w:rFonts w:ascii="Calibri" w:hAnsi="Calibri" w:eastAsia="Calibri"/>
                <w:b/>
                <w:color w:val="0B2545"/>
                <w:sz w:val="17"/>
              </w:rPr>
              <w:t>Clarity</w:t>
            </w:r>
          </w:p>
        </w:tc>
        <w:tc>
          <w:tcPr>
            <w:tcW w:type="dxa" w:w="1050"/>
            <w:tcMar>
              <w:top w:w="80" w:type="dxa"/>
              <w:start w:w="120" w:type="dxa"/>
              <w:bottom w:w="80" w:type="dxa"/>
              <w:end w:w="120" w:type="dxa"/>
            </w:tcMar>
            <w:tcBorders>
              <w:top w:val="single" w:sz="4" w:space="0" w:color="D9E0E7"/>
              <w:left w:val="single" w:sz="4" w:space="0" w:color="D9E0E7"/>
              <w:bottom w:val="single" w:sz="4" w:space="0" w:color="D9E0E7"/>
              <w:right w:val="single" w:sz="4" w:space="0" w:color="D9E0E7"/>
              <w:insideH w:val="single" w:sz="4" w:space="0" w:color="D9E0E7"/>
              <w:insideV w:val="single" w:sz="4" w:space="0" w:color="D9E0E7"/>
            </w:tcBorders>
            <w:vAlign w:val="center"/>
            <w:shd w:fill="F2F4F7" w:val="clear"/>
          </w:tcPr>
          <w:p>
            <w:pPr>
              <w:spacing w:before="0" w:after="0" w:line="240" w:lineRule="auto"/>
              <w:jc w:val="center"/>
            </w:pPr>
            <w:r>
              <w:rPr>
                <w:rFonts w:ascii="Calibri" w:hAnsi="Calibri" w:eastAsia="Calibri"/>
                <w:b/>
                <w:color w:val="0B2545"/>
                <w:sz w:val="17"/>
              </w:rPr>
              <w:t>Action</w:t>
            </w:r>
          </w:p>
        </w:tc>
        <w:tc>
          <w:tcPr>
            <w:tcW w:type="dxa" w:w="1050"/>
            <w:tcMar>
              <w:top w:w="80" w:type="dxa"/>
              <w:start w:w="120" w:type="dxa"/>
              <w:bottom w:w="80" w:type="dxa"/>
              <w:end w:w="120" w:type="dxa"/>
            </w:tcMar>
            <w:tcBorders>
              <w:top w:val="single" w:sz="4" w:space="0" w:color="D9E0E7"/>
              <w:left w:val="single" w:sz="4" w:space="0" w:color="D9E0E7"/>
              <w:bottom w:val="single" w:sz="4" w:space="0" w:color="D9E0E7"/>
              <w:right w:val="single" w:sz="4" w:space="0" w:color="D9E0E7"/>
              <w:insideH w:val="single" w:sz="4" w:space="0" w:color="D9E0E7"/>
              <w:insideV w:val="single" w:sz="4" w:space="0" w:color="D9E0E7"/>
            </w:tcBorders>
            <w:vAlign w:val="center"/>
            <w:shd w:fill="F2F4F7" w:val="clear"/>
          </w:tcPr>
          <w:p>
            <w:pPr>
              <w:spacing w:before="0" w:after="0" w:line="240" w:lineRule="auto"/>
              <w:jc w:val="center"/>
            </w:pPr>
            <w:r>
              <w:rPr>
                <w:rFonts w:ascii="Calibri" w:hAnsi="Calibri" w:eastAsia="Calibri"/>
                <w:b/>
                <w:color w:val="0B2545"/>
                <w:sz w:val="17"/>
              </w:rPr>
              <w:t>Practical</w:t>
            </w:r>
          </w:p>
        </w:tc>
        <w:tc>
          <w:tcPr>
            <w:tcW w:type="dxa" w:w="1350"/>
            <w:tcMar>
              <w:top w:w="80" w:type="dxa"/>
              <w:start w:w="120" w:type="dxa"/>
              <w:bottom w:w="80" w:type="dxa"/>
              <w:end w:w="120" w:type="dxa"/>
            </w:tcMar>
            <w:tcBorders>
              <w:top w:val="single" w:sz="4" w:space="0" w:color="D9E0E7"/>
              <w:left w:val="single" w:sz="4" w:space="0" w:color="D9E0E7"/>
              <w:bottom w:val="single" w:sz="4" w:space="0" w:color="D9E0E7"/>
              <w:right w:val="single" w:sz="4" w:space="0" w:color="D9E0E7"/>
              <w:insideH w:val="single" w:sz="4" w:space="0" w:color="D9E0E7"/>
              <w:insideV w:val="single" w:sz="4" w:space="0" w:color="D9E0E7"/>
            </w:tcBorders>
            <w:vAlign w:val="center"/>
            <w:shd w:fill="F2F4F7" w:val="clear"/>
          </w:tcPr>
          <w:p>
            <w:pPr>
              <w:spacing w:before="0" w:after="0" w:line="240" w:lineRule="auto"/>
              <w:jc w:val="center"/>
            </w:pPr>
            <w:r>
              <w:rPr>
                <w:rFonts w:ascii="Calibri" w:hAnsi="Calibri" w:eastAsia="Calibri"/>
                <w:b/>
                <w:color w:val="0B2545"/>
                <w:sz w:val="17"/>
              </w:rPr>
              <w:t>Specialist</w:t>
            </w:r>
          </w:p>
        </w:tc>
        <w:tc>
          <w:tcPr>
            <w:tcW w:type="dxa" w:w="1350"/>
            <w:tcMar>
              <w:top w:w="80" w:type="dxa"/>
              <w:start w:w="120" w:type="dxa"/>
              <w:bottom w:w="80" w:type="dxa"/>
              <w:end w:w="120" w:type="dxa"/>
            </w:tcMar>
            <w:tcBorders>
              <w:top w:val="single" w:sz="4" w:space="0" w:color="D9E0E7"/>
              <w:left w:val="single" w:sz="4" w:space="0" w:color="D9E0E7"/>
              <w:bottom w:val="single" w:sz="4" w:space="0" w:color="D9E0E7"/>
              <w:right w:val="single" w:sz="4" w:space="0" w:color="D9E0E7"/>
              <w:insideH w:val="single" w:sz="4" w:space="0" w:color="D9E0E7"/>
              <w:insideV w:val="single" w:sz="4" w:space="0" w:color="D9E0E7"/>
            </w:tcBorders>
            <w:vAlign w:val="center"/>
            <w:shd w:fill="F2F4F7" w:val="clear"/>
          </w:tcPr>
          <w:p>
            <w:pPr>
              <w:spacing w:before="0" w:after="0" w:line="240" w:lineRule="auto"/>
              <w:jc w:val="center"/>
            </w:pPr>
            <w:r>
              <w:rPr>
                <w:rFonts w:ascii="Calibri" w:hAnsi="Calibri" w:eastAsia="Calibri"/>
                <w:b/>
                <w:color w:val="0B2545"/>
                <w:sz w:val="17"/>
              </w:rPr>
              <w:t>Continuity</w:t>
            </w:r>
          </w:p>
        </w:tc>
      </w:tr>
      <w:tr>
        <w:trPr>
          <w:cantSplit/>
        </w:trPr>
        <w:tc>
          <w:tcPr>
            <w:tcW w:type="dxa" w:w="2460"/>
            <w:tcMar>
              <w:top w:w="80" w:type="dxa"/>
              <w:start w:w="120" w:type="dxa"/>
              <w:bottom w:w="80" w:type="dxa"/>
              <w:end w:w="120" w:type="dxa"/>
            </w:tcMar>
            <w:tcBorders>
              <w:top w:val="single" w:sz="4" w:space="0" w:color="D9E0E7"/>
              <w:left w:val="single" w:sz="4" w:space="0" w:color="D9E0E7"/>
              <w:bottom w:val="single" w:sz="4" w:space="0" w:color="D9E0E7"/>
              <w:right w:val="single" w:sz="4" w:space="0" w:color="D9E0E7"/>
              <w:insideH w:val="single" w:sz="4" w:space="0" w:color="D9E0E7"/>
              <w:insideV w:val="single" w:sz="4" w:space="0" w:color="D9E0E7"/>
            </w:tcBorders>
            <w:vAlign w:val="center"/>
          </w:tcPr>
          <w:p>
            <w:pPr>
              <w:spacing w:before="0" w:after="0" w:line="252" w:lineRule="auto"/>
            </w:pPr>
            <w:r>
              <w:rPr>
                <w:rFonts w:ascii="Calibri" w:hAnsi="Calibri" w:eastAsia="Calibri"/>
                <w:b/>
                <w:color w:val="1A1A1A"/>
                <w:sz w:val="17"/>
              </w:rPr>
              <w:t>Self / friends &amp; family</w:t>
            </w:r>
          </w:p>
        </w:tc>
        <w:tc>
          <w:tcPr>
            <w:tcW w:type="dxa" w:w="1050"/>
            <w:tcMar>
              <w:top w:w="80" w:type="dxa"/>
              <w:start w:w="120" w:type="dxa"/>
              <w:bottom w:w="80" w:type="dxa"/>
              <w:end w:w="120" w:type="dxa"/>
            </w:tcMar>
            <w:tcBorders>
              <w:top w:val="single" w:sz="4" w:space="0" w:color="D9E0E7"/>
              <w:left w:val="single" w:sz="4" w:space="0" w:color="D9E0E7"/>
              <w:bottom w:val="single" w:sz="4" w:space="0" w:color="D9E0E7"/>
              <w:right w:val="single" w:sz="4" w:space="0" w:color="D9E0E7"/>
              <w:insideH w:val="single" w:sz="4" w:space="0" w:color="D9E0E7"/>
              <w:insideV w:val="single" w:sz="4" w:space="0" w:color="D9E0E7"/>
            </w:tcBorders>
            <w:vAlign w:val="center"/>
          </w:tcPr>
          <w:p>
            <w:pPr>
              <w:spacing w:before="0" w:after="0" w:line="252" w:lineRule="auto"/>
              <w:jc w:val="center"/>
            </w:pPr>
            <w:r>
              <w:rPr>
                <w:rFonts w:ascii="Calibri" w:hAnsi="Calibri" w:eastAsia="Calibri"/>
                <w:b w:val="0"/>
                <w:color w:val="1A1A1A"/>
                <w:sz w:val="17"/>
              </w:rPr>
              <w:t>4</w:t>
            </w:r>
          </w:p>
        </w:tc>
        <w:tc>
          <w:tcPr>
            <w:tcW w:type="dxa" w:w="1050"/>
            <w:tcMar>
              <w:top w:w="80" w:type="dxa"/>
              <w:start w:w="120" w:type="dxa"/>
              <w:bottom w:w="80" w:type="dxa"/>
              <w:end w:w="120" w:type="dxa"/>
            </w:tcMar>
            <w:tcBorders>
              <w:top w:val="single" w:sz="4" w:space="0" w:color="D9E0E7"/>
              <w:left w:val="single" w:sz="4" w:space="0" w:color="D9E0E7"/>
              <w:bottom w:val="single" w:sz="4" w:space="0" w:color="D9E0E7"/>
              <w:right w:val="single" w:sz="4" w:space="0" w:color="D9E0E7"/>
              <w:insideH w:val="single" w:sz="4" w:space="0" w:color="D9E0E7"/>
              <w:insideV w:val="single" w:sz="4" w:space="0" w:color="D9E0E7"/>
            </w:tcBorders>
            <w:vAlign w:val="center"/>
          </w:tcPr>
          <w:p>
            <w:pPr>
              <w:spacing w:before="0" w:after="0" w:line="252" w:lineRule="auto"/>
              <w:jc w:val="center"/>
            </w:pPr>
            <w:r>
              <w:rPr>
                <w:rFonts w:ascii="Calibri" w:hAnsi="Calibri" w:eastAsia="Calibri"/>
                <w:b w:val="0"/>
                <w:color w:val="1A1A1A"/>
                <w:sz w:val="17"/>
              </w:rPr>
              <w:t>2</w:t>
            </w:r>
          </w:p>
        </w:tc>
        <w:tc>
          <w:tcPr>
            <w:tcW w:type="dxa" w:w="1050"/>
            <w:tcMar>
              <w:top w:w="80" w:type="dxa"/>
              <w:start w:w="120" w:type="dxa"/>
              <w:bottom w:w="80" w:type="dxa"/>
              <w:end w:w="120" w:type="dxa"/>
            </w:tcMar>
            <w:tcBorders>
              <w:top w:val="single" w:sz="4" w:space="0" w:color="D9E0E7"/>
              <w:left w:val="single" w:sz="4" w:space="0" w:color="D9E0E7"/>
              <w:bottom w:val="single" w:sz="4" w:space="0" w:color="D9E0E7"/>
              <w:right w:val="single" w:sz="4" w:space="0" w:color="D9E0E7"/>
              <w:insideH w:val="single" w:sz="4" w:space="0" w:color="D9E0E7"/>
              <w:insideV w:val="single" w:sz="4" w:space="0" w:color="D9E0E7"/>
            </w:tcBorders>
            <w:vAlign w:val="center"/>
          </w:tcPr>
          <w:p>
            <w:pPr>
              <w:spacing w:before="0" w:after="0" w:line="252" w:lineRule="auto"/>
              <w:jc w:val="center"/>
            </w:pPr>
            <w:r>
              <w:rPr>
                <w:rFonts w:ascii="Calibri" w:hAnsi="Calibri" w:eastAsia="Calibri"/>
                <w:b w:val="0"/>
                <w:color w:val="1A1A1A"/>
                <w:sz w:val="17"/>
              </w:rPr>
              <w:t>2</w:t>
            </w:r>
          </w:p>
        </w:tc>
        <w:tc>
          <w:tcPr>
            <w:tcW w:type="dxa" w:w="1050"/>
            <w:tcMar>
              <w:top w:w="80" w:type="dxa"/>
              <w:start w:w="120" w:type="dxa"/>
              <w:bottom w:w="80" w:type="dxa"/>
              <w:end w:w="120" w:type="dxa"/>
            </w:tcMar>
            <w:tcBorders>
              <w:top w:val="single" w:sz="4" w:space="0" w:color="D9E0E7"/>
              <w:left w:val="single" w:sz="4" w:space="0" w:color="D9E0E7"/>
              <w:bottom w:val="single" w:sz="4" w:space="0" w:color="D9E0E7"/>
              <w:right w:val="single" w:sz="4" w:space="0" w:color="D9E0E7"/>
              <w:insideH w:val="single" w:sz="4" w:space="0" w:color="D9E0E7"/>
              <w:insideV w:val="single" w:sz="4" w:space="0" w:color="D9E0E7"/>
            </w:tcBorders>
            <w:vAlign w:val="center"/>
          </w:tcPr>
          <w:p>
            <w:pPr>
              <w:spacing w:before="0" w:after="0" w:line="252" w:lineRule="auto"/>
              <w:jc w:val="center"/>
            </w:pPr>
            <w:r>
              <w:rPr>
                <w:rFonts w:ascii="Calibri" w:hAnsi="Calibri" w:eastAsia="Calibri"/>
                <w:b w:val="0"/>
                <w:color w:val="1A1A1A"/>
                <w:sz w:val="17"/>
              </w:rPr>
              <w:t>2</w:t>
            </w:r>
          </w:p>
        </w:tc>
        <w:tc>
          <w:tcPr>
            <w:tcW w:type="dxa" w:w="1350"/>
            <w:tcMar>
              <w:top w:w="80" w:type="dxa"/>
              <w:start w:w="120" w:type="dxa"/>
              <w:bottom w:w="80" w:type="dxa"/>
              <w:end w:w="120" w:type="dxa"/>
            </w:tcMar>
            <w:tcBorders>
              <w:top w:val="single" w:sz="4" w:space="0" w:color="D9E0E7"/>
              <w:left w:val="single" w:sz="4" w:space="0" w:color="D9E0E7"/>
              <w:bottom w:val="single" w:sz="4" w:space="0" w:color="D9E0E7"/>
              <w:right w:val="single" w:sz="4" w:space="0" w:color="D9E0E7"/>
              <w:insideH w:val="single" w:sz="4" w:space="0" w:color="D9E0E7"/>
              <w:insideV w:val="single" w:sz="4" w:space="0" w:color="D9E0E7"/>
            </w:tcBorders>
            <w:vAlign w:val="center"/>
          </w:tcPr>
          <w:p>
            <w:pPr>
              <w:spacing w:before="0" w:after="0" w:line="252" w:lineRule="auto"/>
              <w:jc w:val="center"/>
            </w:pPr>
            <w:r>
              <w:rPr>
                <w:rFonts w:ascii="Calibri" w:hAnsi="Calibri" w:eastAsia="Calibri"/>
                <w:b w:val="0"/>
                <w:color w:val="1A1A1A"/>
                <w:sz w:val="17"/>
              </w:rPr>
              <w:t>1</w:t>
            </w:r>
          </w:p>
        </w:tc>
        <w:tc>
          <w:tcPr>
            <w:tcW w:type="dxa" w:w="1350"/>
            <w:tcMar>
              <w:top w:w="80" w:type="dxa"/>
              <w:start w:w="120" w:type="dxa"/>
              <w:bottom w:w="80" w:type="dxa"/>
              <w:end w:w="120" w:type="dxa"/>
            </w:tcMar>
            <w:tcBorders>
              <w:top w:val="single" w:sz="4" w:space="0" w:color="D9E0E7"/>
              <w:left w:val="single" w:sz="4" w:space="0" w:color="D9E0E7"/>
              <w:bottom w:val="single" w:sz="4" w:space="0" w:color="D9E0E7"/>
              <w:right w:val="single" w:sz="4" w:space="0" w:color="D9E0E7"/>
              <w:insideH w:val="single" w:sz="4" w:space="0" w:color="D9E0E7"/>
              <w:insideV w:val="single" w:sz="4" w:space="0" w:color="D9E0E7"/>
            </w:tcBorders>
            <w:vAlign w:val="center"/>
          </w:tcPr>
          <w:p>
            <w:pPr>
              <w:spacing w:before="0" w:after="0" w:line="252" w:lineRule="auto"/>
              <w:jc w:val="center"/>
            </w:pPr>
            <w:r>
              <w:rPr>
                <w:rFonts w:ascii="Calibri" w:hAnsi="Calibri" w:eastAsia="Calibri"/>
                <w:b w:val="0"/>
                <w:color w:val="1A1A1A"/>
                <w:sz w:val="17"/>
              </w:rPr>
              <w:t>2</w:t>
            </w:r>
          </w:p>
        </w:tc>
      </w:tr>
      <w:tr>
        <w:trPr>
          <w:cantSplit/>
        </w:trPr>
        <w:tc>
          <w:tcPr>
            <w:tcW w:type="dxa" w:w="2460"/>
            <w:shd w:fill="F7F9FB" w:val="clear"/>
            <w:tcMar>
              <w:top w:w="80" w:type="dxa"/>
              <w:start w:w="120" w:type="dxa"/>
              <w:bottom w:w="80" w:type="dxa"/>
              <w:end w:w="120" w:type="dxa"/>
            </w:tcMar>
            <w:tcBorders>
              <w:top w:val="single" w:sz="4" w:space="0" w:color="D9E0E7"/>
              <w:left w:val="single" w:sz="4" w:space="0" w:color="D9E0E7"/>
              <w:bottom w:val="single" w:sz="4" w:space="0" w:color="D9E0E7"/>
              <w:right w:val="single" w:sz="4" w:space="0" w:color="D9E0E7"/>
              <w:insideH w:val="single" w:sz="4" w:space="0" w:color="D9E0E7"/>
              <w:insideV w:val="single" w:sz="4" w:space="0" w:color="D9E0E7"/>
            </w:tcBorders>
            <w:vAlign w:val="center"/>
          </w:tcPr>
          <w:p>
            <w:pPr>
              <w:spacing w:before="0" w:after="0" w:line="252" w:lineRule="auto"/>
            </w:pPr>
            <w:r>
              <w:rPr>
                <w:rFonts w:ascii="Calibri" w:hAnsi="Calibri" w:eastAsia="Calibri"/>
                <w:b/>
                <w:color w:val="1A1A1A"/>
                <w:sz w:val="17"/>
              </w:rPr>
              <w:t>NHS / charity / helpline</w:t>
            </w:r>
          </w:p>
        </w:tc>
        <w:tc>
          <w:tcPr>
            <w:tcW w:type="dxa" w:w="1050"/>
            <w:shd w:fill="F7F9FB" w:val="clear"/>
            <w:tcMar>
              <w:top w:w="80" w:type="dxa"/>
              <w:start w:w="120" w:type="dxa"/>
              <w:bottom w:w="80" w:type="dxa"/>
              <w:end w:w="120" w:type="dxa"/>
            </w:tcMar>
            <w:tcBorders>
              <w:top w:val="single" w:sz="4" w:space="0" w:color="D9E0E7"/>
              <w:left w:val="single" w:sz="4" w:space="0" w:color="D9E0E7"/>
              <w:bottom w:val="single" w:sz="4" w:space="0" w:color="D9E0E7"/>
              <w:right w:val="single" w:sz="4" w:space="0" w:color="D9E0E7"/>
              <w:insideH w:val="single" w:sz="4" w:space="0" w:color="D9E0E7"/>
              <w:insideV w:val="single" w:sz="4" w:space="0" w:color="D9E0E7"/>
            </w:tcBorders>
            <w:vAlign w:val="center"/>
          </w:tcPr>
          <w:p>
            <w:pPr>
              <w:spacing w:before="0" w:after="0" w:line="252" w:lineRule="auto"/>
              <w:jc w:val="center"/>
            </w:pPr>
            <w:r>
              <w:rPr>
                <w:rFonts w:ascii="Calibri" w:hAnsi="Calibri" w:eastAsia="Calibri"/>
                <w:b w:val="0"/>
                <w:color w:val="1A1A1A"/>
                <w:sz w:val="17"/>
              </w:rPr>
              <w:t>3</w:t>
            </w:r>
          </w:p>
        </w:tc>
        <w:tc>
          <w:tcPr>
            <w:tcW w:type="dxa" w:w="1050"/>
            <w:shd w:fill="F7F9FB" w:val="clear"/>
            <w:tcMar>
              <w:top w:w="80" w:type="dxa"/>
              <w:start w:w="120" w:type="dxa"/>
              <w:bottom w:w="80" w:type="dxa"/>
              <w:end w:w="120" w:type="dxa"/>
            </w:tcMar>
            <w:tcBorders>
              <w:top w:val="single" w:sz="4" w:space="0" w:color="D9E0E7"/>
              <w:left w:val="single" w:sz="4" w:space="0" w:color="D9E0E7"/>
              <w:bottom w:val="single" w:sz="4" w:space="0" w:color="D9E0E7"/>
              <w:right w:val="single" w:sz="4" w:space="0" w:color="D9E0E7"/>
              <w:insideH w:val="single" w:sz="4" w:space="0" w:color="D9E0E7"/>
              <w:insideV w:val="single" w:sz="4" w:space="0" w:color="D9E0E7"/>
            </w:tcBorders>
            <w:vAlign w:val="center"/>
          </w:tcPr>
          <w:p>
            <w:pPr>
              <w:spacing w:before="0" w:after="0" w:line="252" w:lineRule="auto"/>
              <w:jc w:val="center"/>
            </w:pPr>
            <w:r>
              <w:rPr>
                <w:rFonts w:ascii="Calibri" w:hAnsi="Calibri" w:eastAsia="Calibri"/>
                <w:b w:val="0"/>
                <w:color w:val="1A1A1A"/>
                <w:sz w:val="17"/>
              </w:rPr>
              <w:t>2</w:t>
            </w:r>
          </w:p>
        </w:tc>
        <w:tc>
          <w:tcPr>
            <w:tcW w:type="dxa" w:w="1050"/>
            <w:shd w:fill="F7F9FB" w:val="clear"/>
            <w:tcMar>
              <w:top w:w="80" w:type="dxa"/>
              <w:start w:w="120" w:type="dxa"/>
              <w:bottom w:w="80" w:type="dxa"/>
              <w:end w:w="120" w:type="dxa"/>
            </w:tcMar>
            <w:tcBorders>
              <w:top w:val="single" w:sz="4" w:space="0" w:color="D9E0E7"/>
              <w:left w:val="single" w:sz="4" w:space="0" w:color="D9E0E7"/>
              <w:bottom w:val="single" w:sz="4" w:space="0" w:color="D9E0E7"/>
              <w:right w:val="single" w:sz="4" w:space="0" w:color="D9E0E7"/>
              <w:insideH w:val="single" w:sz="4" w:space="0" w:color="D9E0E7"/>
              <w:insideV w:val="single" w:sz="4" w:space="0" w:color="D9E0E7"/>
            </w:tcBorders>
            <w:vAlign w:val="center"/>
          </w:tcPr>
          <w:p>
            <w:pPr>
              <w:spacing w:before="0" w:after="0" w:line="252" w:lineRule="auto"/>
              <w:jc w:val="center"/>
            </w:pPr>
            <w:r>
              <w:rPr>
                <w:rFonts w:ascii="Calibri" w:hAnsi="Calibri" w:eastAsia="Calibri"/>
                <w:b w:val="0"/>
                <w:color w:val="1A1A1A"/>
                <w:sz w:val="17"/>
              </w:rPr>
              <w:t>1</w:t>
            </w:r>
          </w:p>
        </w:tc>
        <w:tc>
          <w:tcPr>
            <w:tcW w:type="dxa" w:w="1050"/>
            <w:shd w:fill="F7F9FB" w:val="clear"/>
            <w:tcMar>
              <w:top w:w="80" w:type="dxa"/>
              <w:start w:w="120" w:type="dxa"/>
              <w:bottom w:w="80" w:type="dxa"/>
              <w:end w:w="120" w:type="dxa"/>
            </w:tcMar>
            <w:tcBorders>
              <w:top w:val="single" w:sz="4" w:space="0" w:color="D9E0E7"/>
              <w:left w:val="single" w:sz="4" w:space="0" w:color="D9E0E7"/>
              <w:bottom w:val="single" w:sz="4" w:space="0" w:color="D9E0E7"/>
              <w:right w:val="single" w:sz="4" w:space="0" w:color="D9E0E7"/>
              <w:insideH w:val="single" w:sz="4" w:space="0" w:color="D9E0E7"/>
              <w:insideV w:val="single" w:sz="4" w:space="0" w:color="D9E0E7"/>
            </w:tcBorders>
            <w:vAlign w:val="center"/>
          </w:tcPr>
          <w:p>
            <w:pPr>
              <w:spacing w:before="0" w:after="0" w:line="252" w:lineRule="auto"/>
              <w:jc w:val="center"/>
            </w:pPr>
            <w:r>
              <w:rPr>
                <w:rFonts w:ascii="Calibri" w:hAnsi="Calibri" w:eastAsia="Calibri"/>
                <w:b w:val="0"/>
                <w:color w:val="1A1A1A"/>
                <w:sz w:val="17"/>
              </w:rPr>
              <w:t>1</w:t>
            </w:r>
          </w:p>
        </w:tc>
        <w:tc>
          <w:tcPr>
            <w:tcW w:type="dxa" w:w="1350"/>
            <w:shd w:fill="F7F9FB" w:val="clear"/>
            <w:tcMar>
              <w:top w:w="80" w:type="dxa"/>
              <w:start w:w="120" w:type="dxa"/>
              <w:bottom w:w="80" w:type="dxa"/>
              <w:end w:w="120" w:type="dxa"/>
            </w:tcMar>
            <w:tcBorders>
              <w:top w:val="single" w:sz="4" w:space="0" w:color="D9E0E7"/>
              <w:left w:val="single" w:sz="4" w:space="0" w:color="D9E0E7"/>
              <w:bottom w:val="single" w:sz="4" w:space="0" w:color="D9E0E7"/>
              <w:right w:val="single" w:sz="4" w:space="0" w:color="D9E0E7"/>
              <w:insideH w:val="single" w:sz="4" w:space="0" w:color="D9E0E7"/>
              <w:insideV w:val="single" w:sz="4" w:space="0" w:color="D9E0E7"/>
            </w:tcBorders>
            <w:vAlign w:val="center"/>
          </w:tcPr>
          <w:p>
            <w:pPr>
              <w:spacing w:before="0" w:after="0" w:line="252" w:lineRule="auto"/>
              <w:jc w:val="center"/>
            </w:pPr>
            <w:r>
              <w:rPr>
                <w:rFonts w:ascii="Calibri" w:hAnsi="Calibri" w:eastAsia="Calibri"/>
                <w:b w:val="0"/>
                <w:color w:val="1A1A1A"/>
                <w:sz w:val="17"/>
              </w:rPr>
              <w:t>4</w:t>
            </w:r>
          </w:p>
        </w:tc>
        <w:tc>
          <w:tcPr>
            <w:tcW w:type="dxa" w:w="1350"/>
            <w:shd w:fill="F7F9FB" w:val="clear"/>
            <w:tcMar>
              <w:top w:w="80" w:type="dxa"/>
              <w:start w:w="120" w:type="dxa"/>
              <w:bottom w:w="80" w:type="dxa"/>
              <w:end w:w="120" w:type="dxa"/>
            </w:tcMar>
            <w:tcBorders>
              <w:top w:val="single" w:sz="4" w:space="0" w:color="D9E0E7"/>
              <w:left w:val="single" w:sz="4" w:space="0" w:color="D9E0E7"/>
              <w:bottom w:val="single" w:sz="4" w:space="0" w:color="D9E0E7"/>
              <w:right w:val="single" w:sz="4" w:space="0" w:color="D9E0E7"/>
              <w:insideH w:val="single" w:sz="4" w:space="0" w:color="D9E0E7"/>
              <w:insideV w:val="single" w:sz="4" w:space="0" w:color="D9E0E7"/>
            </w:tcBorders>
            <w:vAlign w:val="center"/>
          </w:tcPr>
          <w:p>
            <w:pPr>
              <w:spacing w:before="0" w:after="0" w:line="252" w:lineRule="auto"/>
              <w:jc w:val="center"/>
            </w:pPr>
            <w:r>
              <w:rPr>
                <w:rFonts w:ascii="Calibri" w:hAnsi="Calibri" w:eastAsia="Calibri"/>
                <w:b w:val="0"/>
                <w:color w:val="1A1A1A"/>
                <w:sz w:val="17"/>
              </w:rPr>
              <w:t>1</w:t>
            </w:r>
          </w:p>
        </w:tc>
      </w:tr>
      <w:tr>
        <w:trPr>
          <w:cantSplit/>
        </w:trPr>
        <w:tc>
          <w:tcPr>
            <w:tcW w:type="dxa" w:w="2460"/>
            <w:tcMar>
              <w:top w:w="80" w:type="dxa"/>
              <w:start w:w="120" w:type="dxa"/>
              <w:bottom w:w="80" w:type="dxa"/>
              <w:end w:w="120" w:type="dxa"/>
            </w:tcMar>
            <w:tcBorders>
              <w:top w:val="single" w:sz="4" w:space="0" w:color="D9E0E7"/>
              <w:left w:val="single" w:sz="4" w:space="0" w:color="D9E0E7"/>
              <w:bottom w:val="single" w:sz="4" w:space="0" w:color="D9E0E7"/>
              <w:right w:val="single" w:sz="4" w:space="0" w:color="D9E0E7"/>
              <w:insideH w:val="single" w:sz="4" w:space="0" w:color="D9E0E7"/>
              <w:insideV w:val="single" w:sz="4" w:space="0" w:color="D9E0E7"/>
            </w:tcBorders>
            <w:vAlign w:val="center"/>
          </w:tcPr>
          <w:p>
            <w:pPr>
              <w:spacing w:before="0" w:after="0" w:line="252" w:lineRule="auto"/>
            </w:pPr>
            <w:r>
              <w:rPr>
                <w:rFonts w:ascii="Calibri" w:hAnsi="Calibri" w:eastAsia="Calibri"/>
                <w:b/>
                <w:color w:val="1A1A1A"/>
                <w:sz w:val="17"/>
              </w:rPr>
              <w:t>Private therapy</w:t>
            </w:r>
          </w:p>
        </w:tc>
        <w:tc>
          <w:tcPr>
            <w:tcW w:type="dxa" w:w="1050"/>
            <w:tcMar>
              <w:top w:w="80" w:type="dxa"/>
              <w:start w:w="120" w:type="dxa"/>
              <w:bottom w:w="80" w:type="dxa"/>
              <w:end w:w="120" w:type="dxa"/>
            </w:tcMar>
            <w:tcBorders>
              <w:top w:val="single" w:sz="4" w:space="0" w:color="D9E0E7"/>
              <w:left w:val="single" w:sz="4" w:space="0" w:color="D9E0E7"/>
              <w:bottom w:val="single" w:sz="4" w:space="0" w:color="D9E0E7"/>
              <w:right w:val="single" w:sz="4" w:space="0" w:color="D9E0E7"/>
              <w:insideH w:val="single" w:sz="4" w:space="0" w:color="D9E0E7"/>
              <w:insideV w:val="single" w:sz="4" w:space="0" w:color="D9E0E7"/>
            </w:tcBorders>
            <w:vAlign w:val="center"/>
          </w:tcPr>
          <w:p>
            <w:pPr>
              <w:spacing w:before="0" w:after="0" w:line="252" w:lineRule="auto"/>
              <w:jc w:val="center"/>
            </w:pPr>
            <w:r>
              <w:rPr>
                <w:rFonts w:ascii="Calibri" w:hAnsi="Calibri" w:eastAsia="Calibri"/>
                <w:b w:val="0"/>
                <w:color w:val="1A1A1A"/>
                <w:sz w:val="17"/>
              </w:rPr>
              <w:t>5</w:t>
            </w:r>
          </w:p>
        </w:tc>
        <w:tc>
          <w:tcPr>
            <w:tcW w:type="dxa" w:w="1050"/>
            <w:tcMar>
              <w:top w:w="80" w:type="dxa"/>
              <w:start w:w="120" w:type="dxa"/>
              <w:bottom w:w="80" w:type="dxa"/>
              <w:end w:w="120" w:type="dxa"/>
            </w:tcMar>
            <w:tcBorders>
              <w:top w:val="single" w:sz="4" w:space="0" w:color="D9E0E7"/>
              <w:left w:val="single" w:sz="4" w:space="0" w:color="D9E0E7"/>
              <w:bottom w:val="single" w:sz="4" w:space="0" w:color="D9E0E7"/>
              <w:right w:val="single" w:sz="4" w:space="0" w:color="D9E0E7"/>
              <w:insideH w:val="single" w:sz="4" w:space="0" w:color="D9E0E7"/>
              <w:insideV w:val="single" w:sz="4" w:space="0" w:color="D9E0E7"/>
            </w:tcBorders>
            <w:vAlign w:val="center"/>
          </w:tcPr>
          <w:p>
            <w:pPr>
              <w:spacing w:before="0" w:after="0" w:line="252" w:lineRule="auto"/>
              <w:jc w:val="center"/>
            </w:pPr>
            <w:r>
              <w:rPr>
                <w:rFonts w:ascii="Calibri" w:hAnsi="Calibri" w:eastAsia="Calibri"/>
                <w:b w:val="0"/>
                <w:color w:val="1A1A1A"/>
                <w:sz w:val="17"/>
              </w:rPr>
              <w:t>4</w:t>
            </w:r>
          </w:p>
        </w:tc>
        <w:tc>
          <w:tcPr>
            <w:tcW w:type="dxa" w:w="1050"/>
            <w:tcMar>
              <w:top w:w="80" w:type="dxa"/>
              <w:start w:w="120" w:type="dxa"/>
              <w:bottom w:w="80" w:type="dxa"/>
              <w:end w:w="120" w:type="dxa"/>
            </w:tcMar>
            <w:tcBorders>
              <w:top w:val="single" w:sz="4" w:space="0" w:color="D9E0E7"/>
              <w:left w:val="single" w:sz="4" w:space="0" w:color="D9E0E7"/>
              <w:bottom w:val="single" w:sz="4" w:space="0" w:color="D9E0E7"/>
              <w:right w:val="single" w:sz="4" w:space="0" w:color="D9E0E7"/>
              <w:insideH w:val="single" w:sz="4" w:space="0" w:color="D9E0E7"/>
              <w:insideV w:val="single" w:sz="4" w:space="0" w:color="D9E0E7"/>
            </w:tcBorders>
            <w:vAlign w:val="center"/>
          </w:tcPr>
          <w:p>
            <w:pPr>
              <w:spacing w:before="0" w:after="0" w:line="252" w:lineRule="auto"/>
              <w:jc w:val="center"/>
            </w:pPr>
            <w:r>
              <w:rPr>
                <w:rFonts w:ascii="Calibri" w:hAnsi="Calibri" w:eastAsia="Calibri"/>
                <w:b w:val="0"/>
                <w:color w:val="1A1A1A"/>
                <w:sz w:val="17"/>
              </w:rPr>
              <w:t>2</w:t>
            </w:r>
          </w:p>
        </w:tc>
        <w:tc>
          <w:tcPr>
            <w:tcW w:type="dxa" w:w="1050"/>
            <w:tcMar>
              <w:top w:w="80" w:type="dxa"/>
              <w:start w:w="120" w:type="dxa"/>
              <w:bottom w:w="80" w:type="dxa"/>
              <w:end w:w="120" w:type="dxa"/>
            </w:tcMar>
            <w:tcBorders>
              <w:top w:val="single" w:sz="4" w:space="0" w:color="D9E0E7"/>
              <w:left w:val="single" w:sz="4" w:space="0" w:color="D9E0E7"/>
              <w:bottom w:val="single" w:sz="4" w:space="0" w:color="D9E0E7"/>
              <w:right w:val="single" w:sz="4" w:space="0" w:color="D9E0E7"/>
              <w:insideH w:val="single" w:sz="4" w:space="0" w:color="D9E0E7"/>
              <w:insideV w:val="single" w:sz="4" w:space="0" w:color="D9E0E7"/>
            </w:tcBorders>
            <w:vAlign w:val="center"/>
          </w:tcPr>
          <w:p>
            <w:pPr>
              <w:spacing w:before="0" w:after="0" w:line="252" w:lineRule="auto"/>
              <w:jc w:val="center"/>
            </w:pPr>
            <w:r>
              <w:rPr>
                <w:rFonts w:ascii="Calibri" w:hAnsi="Calibri" w:eastAsia="Calibri"/>
                <w:b w:val="0"/>
                <w:color w:val="1A1A1A"/>
                <w:sz w:val="17"/>
              </w:rPr>
              <w:t>1</w:t>
            </w:r>
          </w:p>
        </w:tc>
        <w:tc>
          <w:tcPr>
            <w:tcW w:type="dxa" w:w="1350"/>
            <w:tcMar>
              <w:top w:w="80" w:type="dxa"/>
              <w:start w:w="120" w:type="dxa"/>
              <w:bottom w:w="80" w:type="dxa"/>
              <w:end w:w="120" w:type="dxa"/>
            </w:tcMar>
            <w:tcBorders>
              <w:top w:val="single" w:sz="4" w:space="0" w:color="D9E0E7"/>
              <w:left w:val="single" w:sz="4" w:space="0" w:color="D9E0E7"/>
              <w:bottom w:val="single" w:sz="4" w:space="0" w:color="D9E0E7"/>
              <w:right w:val="single" w:sz="4" w:space="0" w:color="D9E0E7"/>
              <w:insideH w:val="single" w:sz="4" w:space="0" w:color="D9E0E7"/>
              <w:insideV w:val="single" w:sz="4" w:space="0" w:color="D9E0E7"/>
            </w:tcBorders>
            <w:vAlign w:val="center"/>
          </w:tcPr>
          <w:p>
            <w:pPr>
              <w:spacing w:before="0" w:after="0" w:line="252" w:lineRule="auto"/>
              <w:jc w:val="center"/>
            </w:pPr>
            <w:r>
              <w:rPr>
                <w:rFonts w:ascii="Calibri" w:hAnsi="Calibri" w:eastAsia="Calibri"/>
                <w:b w:val="0"/>
                <w:color w:val="1A1A1A"/>
                <w:sz w:val="17"/>
              </w:rPr>
              <w:t>4</w:t>
            </w:r>
          </w:p>
        </w:tc>
        <w:tc>
          <w:tcPr>
            <w:tcW w:type="dxa" w:w="1350"/>
            <w:tcMar>
              <w:top w:w="80" w:type="dxa"/>
              <w:start w:w="120" w:type="dxa"/>
              <w:bottom w:w="80" w:type="dxa"/>
              <w:end w:w="120" w:type="dxa"/>
            </w:tcMar>
            <w:tcBorders>
              <w:top w:val="single" w:sz="4" w:space="0" w:color="D9E0E7"/>
              <w:left w:val="single" w:sz="4" w:space="0" w:color="D9E0E7"/>
              <w:bottom w:val="single" w:sz="4" w:space="0" w:color="D9E0E7"/>
              <w:right w:val="single" w:sz="4" w:space="0" w:color="D9E0E7"/>
              <w:insideH w:val="single" w:sz="4" w:space="0" w:color="D9E0E7"/>
              <w:insideV w:val="single" w:sz="4" w:space="0" w:color="D9E0E7"/>
            </w:tcBorders>
            <w:vAlign w:val="center"/>
          </w:tcPr>
          <w:p>
            <w:pPr>
              <w:spacing w:before="0" w:after="0" w:line="252" w:lineRule="auto"/>
              <w:jc w:val="center"/>
            </w:pPr>
            <w:r>
              <w:rPr>
                <w:rFonts w:ascii="Calibri" w:hAnsi="Calibri" w:eastAsia="Calibri"/>
                <w:b w:val="0"/>
                <w:color w:val="1A1A1A"/>
                <w:sz w:val="17"/>
              </w:rPr>
              <w:t>3</w:t>
            </w:r>
          </w:p>
        </w:tc>
      </w:tr>
      <w:tr>
        <w:trPr>
          <w:cantSplit/>
        </w:trPr>
        <w:tc>
          <w:tcPr>
            <w:tcW w:type="dxa" w:w="2460"/>
            <w:shd w:fill="F7F9FB" w:val="clear"/>
            <w:tcMar>
              <w:top w:w="80" w:type="dxa"/>
              <w:start w:w="120" w:type="dxa"/>
              <w:bottom w:w="80" w:type="dxa"/>
              <w:end w:w="120" w:type="dxa"/>
            </w:tcMar>
            <w:tcBorders>
              <w:top w:val="single" w:sz="4" w:space="0" w:color="D9E0E7"/>
              <w:left w:val="single" w:sz="4" w:space="0" w:color="D9E0E7"/>
              <w:bottom w:val="single" w:sz="4" w:space="0" w:color="D9E0E7"/>
              <w:right w:val="single" w:sz="4" w:space="0" w:color="D9E0E7"/>
              <w:insideH w:val="single" w:sz="4" w:space="0" w:color="D9E0E7"/>
              <w:insideV w:val="single" w:sz="4" w:space="0" w:color="D9E0E7"/>
            </w:tcBorders>
            <w:vAlign w:val="center"/>
          </w:tcPr>
          <w:p>
            <w:pPr>
              <w:spacing w:before="0" w:after="0" w:line="252" w:lineRule="auto"/>
            </w:pPr>
            <w:r>
              <w:rPr>
                <w:rFonts w:ascii="Calibri" w:hAnsi="Calibri" w:eastAsia="Calibri"/>
                <w:b/>
                <w:color w:val="1A1A1A"/>
                <w:sz w:val="17"/>
              </w:rPr>
              <w:t>Divorce coaching</w:t>
            </w:r>
          </w:p>
        </w:tc>
        <w:tc>
          <w:tcPr>
            <w:tcW w:type="dxa" w:w="1050"/>
            <w:shd w:fill="F7F9FB" w:val="clear"/>
            <w:tcMar>
              <w:top w:w="80" w:type="dxa"/>
              <w:start w:w="120" w:type="dxa"/>
              <w:bottom w:w="80" w:type="dxa"/>
              <w:end w:w="120" w:type="dxa"/>
            </w:tcMar>
            <w:tcBorders>
              <w:top w:val="single" w:sz="4" w:space="0" w:color="D9E0E7"/>
              <w:left w:val="single" w:sz="4" w:space="0" w:color="D9E0E7"/>
              <w:bottom w:val="single" w:sz="4" w:space="0" w:color="D9E0E7"/>
              <w:right w:val="single" w:sz="4" w:space="0" w:color="D9E0E7"/>
              <w:insideH w:val="single" w:sz="4" w:space="0" w:color="D9E0E7"/>
              <w:insideV w:val="single" w:sz="4" w:space="0" w:color="D9E0E7"/>
            </w:tcBorders>
            <w:vAlign w:val="center"/>
          </w:tcPr>
          <w:p>
            <w:pPr>
              <w:spacing w:before="0" w:after="0" w:line="252" w:lineRule="auto"/>
              <w:jc w:val="center"/>
            </w:pPr>
            <w:r>
              <w:rPr>
                <w:rFonts w:ascii="Calibri" w:hAnsi="Calibri" w:eastAsia="Calibri"/>
                <w:b w:val="0"/>
                <w:color w:val="1A1A1A"/>
                <w:sz w:val="17"/>
              </w:rPr>
              <w:t>4</w:t>
            </w:r>
          </w:p>
        </w:tc>
        <w:tc>
          <w:tcPr>
            <w:tcW w:type="dxa" w:w="1050"/>
            <w:shd w:fill="F7F9FB" w:val="clear"/>
            <w:tcMar>
              <w:top w:w="80" w:type="dxa"/>
              <w:start w:w="120" w:type="dxa"/>
              <w:bottom w:w="80" w:type="dxa"/>
              <w:end w:w="120" w:type="dxa"/>
            </w:tcMar>
            <w:tcBorders>
              <w:top w:val="single" w:sz="4" w:space="0" w:color="D9E0E7"/>
              <w:left w:val="single" w:sz="4" w:space="0" w:color="D9E0E7"/>
              <w:bottom w:val="single" w:sz="4" w:space="0" w:color="D9E0E7"/>
              <w:right w:val="single" w:sz="4" w:space="0" w:color="D9E0E7"/>
              <w:insideH w:val="single" w:sz="4" w:space="0" w:color="D9E0E7"/>
              <w:insideV w:val="single" w:sz="4" w:space="0" w:color="D9E0E7"/>
            </w:tcBorders>
            <w:vAlign w:val="center"/>
          </w:tcPr>
          <w:p>
            <w:pPr>
              <w:spacing w:before="0" w:after="0" w:line="252" w:lineRule="auto"/>
              <w:jc w:val="center"/>
            </w:pPr>
            <w:r>
              <w:rPr>
                <w:rFonts w:ascii="Calibri" w:hAnsi="Calibri" w:eastAsia="Calibri"/>
                <w:b w:val="0"/>
                <w:color w:val="1A1A1A"/>
                <w:sz w:val="17"/>
              </w:rPr>
              <w:t>4</w:t>
            </w:r>
          </w:p>
        </w:tc>
        <w:tc>
          <w:tcPr>
            <w:tcW w:type="dxa" w:w="1050"/>
            <w:shd w:fill="F7F9FB" w:val="clear"/>
            <w:tcMar>
              <w:top w:w="80" w:type="dxa"/>
              <w:start w:w="120" w:type="dxa"/>
              <w:bottom w:w="80" w:type="dxa"/>
              <w:end w:w="120" w:type="dxa"/>
            </w:tcMar>
            <w:tcBorders>
              <w:top w:val="single" w:sz="4" w:space="0" w:color="D9E0E7"/>
              <w:left w:val="single" w:sz="4" w:space="0" w:color="D9E0E7"/>
              <w:bottom w:val="single" w:sz="4" w:space="0" w:color="D9E0E7"/>
              <w:right w:val="single" w:sz="4" w:space="0" w:color="D9E0E7"/>
              <w:insideH w:val="single" w:sz="4" w:space="0" w:color="D9E0E7"/>
              <w:insideV w:val="single" w:sz="4" w:space="0" w:color="D9E0E7"/>
            </w:tcBorders>
            <w:vAlign w:val="center"/>
          </w:tcPr>
          <w:p>
            <w:pPr>
              <w:spacing w:before="0" w:after="0" w:line="252" w:lineRule="auto"/>
              <w:jc w:val="center"/>
            </w:pPr>
            <w:r>
              <w:rPr>
                <w:rFonts w:ascii="Calibri" w:hAnsi="Calibri" w:eastAsia="Calibri"/>
                <w:b w:val="0"/>
                <w:color w:val="1A1A1A"/>
                <w:sz w:val="17"/>
              </w:rPr>
              <w:t>4</w:t>
            </w:r>
          </w:p>
        </w:tc>
        <w:tc>
          <w:tcPr>
            <w:tcW w:type="dxa" w:w="1050"/>
            <w:shd w:fill="F7F9FB" w:val="clear"/>
            <w:tcMar>
              <w:top w:w="80" w:type="dxa"/>
              <w:start w:w="120" w:type="dxa"/>
              <w:bottom w:w="80" w:type="dxa"/>
              <w:end w:w="120" w:type="dxa"/>
            </w:tcMar>
            <w:tcBorders>
              <w:top w:val="single" w:sz="4" w:space="0" w:color="D9E0E7"/>
              <w:left w:val="single" w:sz="4" w:space="0" w:color="D9E0E7"/>
              <w:bottom w:val="single" w:sz="4" w:space="0" w:color="D9E0E7"/>
              <w:right w:val="single" w:sz="4" w:space="0" w:color="D9E0E7"/>
              <w:insideH w:val="single" w:sz="4" w:space="0" w:color="D9E0E7"/>
              <w:insideV w:val="single" w:sz="4" w:space="0" w:color="D9E0E7"/>
            </w:tcBorders>
            <w:vAlign w:val="center"/>
          </w:tcPr>
          <w:p>
            <w:pPr>
              <w:spacing w:before="0" w:after="0" w:line="252" w:lineRule="auto"/>
              <w:jc w:val="center"/>
            </w:pPr>
            <w:r>
              <w:rPr>
                <w:rFonts w:ascii="Calibri" w:hAnsi="Calibri" w:eastAsia="Calibri"/>
                <w:b w:val="0"/>
                <w:color w:val="1A1A1A"/>
                <w:sz w:val="17"/>
              </w:rPr>
              <w:t>3</w:t>
            </w:r>
          </w:p>
        </w:tc>
        <w:tc>
          <w:tcPr>
            <w:tcW w:type="dxa" w:w="1350"/>
            <w:shd w:fill="F7F9FB" w:val="clear"/>
            <w:tcMar>
              <w:top w:w="80" w:type="dxa"/>
              <w:start w:w="120" w:type="dxa"/>
              <w:bottom w:w="80" w:type="dxa"/>
              <w:end w:w="120" w:type="dxa"/>
            </w:tcMar>
            <w:tcBorders>
              <w:top w:val="single" w:sz="4" w:space="0" w:color="D9E0E7"/>
              <w:left w:val="single" w:sz="4" w:space="0" w:color="D9E0E7"/>
              <w:bottom w:val="single" w:sz="4" w:space="0" w:color="D9E0E7"/>
              <w:right w:val="single" w:sz="4" w:space="0" w:color="D9E0E7"/>
              <w:insideH w:val="single" w:sz="4" w:space="0" w:color="D9E0E7"/>
              <w:insideV w:val="single" w:sz="4" w:space="0" w:color="D9E0E7"/>
            </w:tcBorders>
            <w:vAlign w:val="center"/>
          </w:tcPr>
          <w:p>
            <w:pPr>
              <w:spacing w:before="0" w:after="0" w:line="252" w:lineRule="auto"/>
              <w:jc w:val="center"/>
            </w:pPr>
            <w:r>
              <w:rPr>
                <w:rFonts w:ascii="Calibri" w:hAnsi="Calibri" w:eastAsia="Calibri"/>
                <w:b w:val="0"/>
                <w:color w:val="1A1A1A"/>
                <w:sz w:val="17"/>
              </w:rPr>
              <w:t>2</w:t>
            </w:r>
          </w:p>
        </w:tc>
        <w:tc>
          <w:tcPr>
            <w:tcW w:type="dxa" w:w="1350"/>
            <w:shd w:fill="F7F9FB" w:val="clear"/>
            <w:tcMar>
              <w:top w:w="80" w:type="dxa"/>
              <w:start w:w="120" w:type="dxa"/>
              <w:bottom w:w="80" w:type="dxa"/>
              <w:end w:w="120" w:type="dxa"/>
            </w:tcMar>
            <w:tcBorders>
              <w:top w:val="single" w:sz="4" w:space="0" w:color="D9E0E7"/>
              <w:left w:val="single" w:sz="4" w:space="0" w:color="D9E0E7"/>
              <w:bottom w:val="single" w:sz="4" w:space="0" w:color="D9E0E7"/>
              <w:right w:val="single" w:sz="4" w:space="0" w:color="D9E0E7"/>
              <w:insideH w:val="single" w:sz="4" w:space="0" w:color="D9E0E7"/>
              <w:insideV w:val="single" w:sz="4" w:space="0" w:color="D9E0E7"/>
            </w:tcBorders>
            <w:vAlign w:val="center"/>
          </w:tcPr>
          <w:p>
            <w:pPr>
              <w:spacing w:before="0" w:after="0" w:line="252" w:lineRule="auto"/>
              <w:jc w:val="center"/>
            </w:pPr>
            <w:r>
              <w:rPr>
                <w:rFonts w:ascii="Calibri" w:hAnsi="Calibri" w:eastAsia="Calibri"/>
                <w:b w:val="0"/>
                <w:color w:val="1A1A1A"/>
                <w:sz w:val="17"/>
              </w:rPr>
              <w:t>4</w:t>
            </w:r>
          </w:p>
        </w:tc>
      </w:tr>
      <w:tr>
        <w:trPr>
          <w:cantSplit/>
        </w:trPr>
        <w:tc>
          <w:tcPr>
            <w:tcW w:type="dxa" w:w="2460"/>
            <w:tcMar>
              <w:top w:w="80" w:type="dxa"/>
              <w:start w:w="120" w:type="dxa"/>
              <w:bottom w:w="80" w:type="dxa"/>
              <w:end w:w="120" w:type="dxa"/>
            </w:tcMar>
            <w:tcBorders>
              <w:top w:val="single" w:sz="4" w:space="0" w:color="D9E0E7"/>
              <w:left w:val="single" w:sz="4" w:space="0" w:color="D9E0E7"/>
              <w:bottom w:val="single" w:sz="4" w:space="0" w:color="D9E0E7"/>
              <w:right w:val="single" w:sz="4" w:space="0" w:color="D9E0E7"/>
              <w:insideH w:val="single" w:sz="4" w:space="0" w:color="D9E0E7"/>
              <w:insideV w:val="single" w:sz="4" w:space="0" w:color="D9E0E7"/>
            </w:tcBorders>
            <w:vAlign w:val="center"/>
          </w:tcPr>
          <w:p>
            <w:pPr>
              <w:spacing w:before="0" w:after="0" w:line="252" w:lineRule="auto"/>
            </w:pPr>
            <w:r>
              <w:rPr>
                <w:rFonts w:ascii="Calibri" w:hAnsi="Calibri" w:eastAsia="Calibri"/>
                <w:b/>
                <w:color w:val="1A1A1A"/>
                <w:sz w:val="17"/>
              </w:rPr>
              <w:t>General transition coaching</w:t>
            </w:r>
          </w:p>
        </w:tc>
        <w:tc>
          <w:tcPr>
            <w:tcW w:type="dxa" w:w="1050"/>
            <w:tcMar>
              <w:top w:w="80" w:type="dxa"/>
              <w:start w:w="120" w:type="dxa"/>
              <w:bottom w:w="80" w:type="dxa"/>
              <w:end w:w="120" w:type="dxa"/>
            </w:tcMar>
            <w:tcBorders>
              <w:top w:val="single" w:sz="4" w:space="0" w:color="D9E0E7"/>
              <w:left w:val="single" w:sz="4" w:space="0" w:color="D9E0E7"/>
              <w:bottom w:val="single" w:sz="4" w:space="0" w:color="D9E0E7"/>
              <w:right w:val="single" w:sz="4" w:space="0" w:color="D9E0E7"/>
              <w:insideH w:val="single" w:sz="4" w:space="0" w:color="D9E0E7"/>
              <w:insideV w:val="single" w:sz="4" w:space="0" w:color="D9E0E7"/>
            </w:tcBorders>
            <w:vAlign w:val="center"/>
          </w:tcPr>
          <w:p>
            <w:pPr>
              <w:spacing w:before="0" w:after="0" w:line="252" w:lineRule="auto"/>
              <w:jc w:val="center"/>
            </w:pPr>
            <w:r>
              <w:rPr>
                <w:rFonts w:ascii="Calibri" w:hAnsi="Calibri" w:eastAsia="Calibri"/>
                <w:b w:val="0"/>
                <w:color w:val="1A1A1A"/>
                <w:sz w:val="17"/>
              </w:rPr>
              <w:t>3</w:t>
            </w:r>
          </w:p>
        </w:tc>
        <w:tc>
          <w:tcPr>
            <w:tcW w:type="dxa" w:w="1050"/>
            <w:tcMar>
              <w:top w:w="80" w:type="dxa"/>
              <w:start w:w="120" w:type="dxa"/>
              <w:bottom w:w="80" w:type="dxa"/>
              <w:end w:w="120" w:type="dxa"/>
            </w:tcMar>
            <w:tcBorders>
              <w:top w:val="single" w:sz="4" w:space="0" w:color="D9E0E7"/>
              <w:left w:val="single" w:sz="4" w:space="0" w:color="D9E0E7"/>
              <w:bottom w:val="single" w:sz="4" w:space="0" w:color="D9E0E7"/>
              <w:right w:val="single" w:sz="4" w:space="0" w:color="D9E0E7"/>
              <w:insideH w:val="single" w:sz="4" w:space="0" w:color="D9E0E7"/>
              <w:insideV w:val="single" w:sz="4" w:space="0" w:color="D9E0E7"/>
            </w:tcBorders>
            <w:vAlign w:val="center"/>
          </w:tcPr>
          <w:p>
            <w:pPr>
              <w:spacing w:before="0" w:after="0" w:line="252" w:lineRule="auto"/>
              <w:jc w:val="center"/>
            </w:pPr>
            <w:r>
              <w:rPr>
                <w:rFonts w:ascii="Calibri" w:hAnsi="Calibri" w:eastAsia="Calibri"/>
                <w:b w:val="0"/>
                <w:color w:val="1A1A1A"/>
                <w:sz w:val="17"/>
              </w:rPr>
              <w:t>4</w:t>
            </w:r>
          </w:p>
        </w:tc>
        <w:tc>
          <w:tcPr>
            <w:tcW w:type="dxa" w:w="1050"/>
            <w:tcMar>
              <w:top w:w="80" w:type="dxa"/>
              <w:start w:w="120" w:type="dxa"/>
              <w:bottom w:w="80" w:type="dxa"/>
              <w:end w:w="120" w:type="dxa"/>
            </w:tcMar>
            <w:tcBorders>
              <w:top w:val="single" w:sz="4" w:space="0" w:color="D9E0E7"/>
              <w:left w:val="single" w:sz="4" w:space="0" w:color="D9E0E7"/>
              <w:bottom w:val="single" w:sz="4" w:space="0" w:color="D9E0E7"/>
              <w:right w:val="single" w:sz="4" w:space="0" w:color="D9E0E7"/>
              <w:insideH w:val="single" w:sz="4" w:space="0" w:color="D9E0E7"/>
              <w:insideV w:val="single" w:sz="4" w:space="0" w:color="D9E0E7"/>
            </w:tcBorders>
            <w:vAlign w:val="center"/>
          </w:tcPr>
          <w:p>
            <w:pPr>
              <w:spacing w:before="0" w:after="0" w:line="252" w:lineRule="auto"/>
              <w:jc w:val="center"/>
            </w:pPr>
            <w:r>
              <w:rPr>
                <w:rFonts w:ascii="Calibri" w:hAnsi="Calibri" w:eastAsia="Calibri"/>
                <w:b w:val="0"/>
                <w:color w:val="1A1A1A"/>
                <w:sz w:val="17"/>
              </w:rPr>
              <w:t>5</w:t>
            </w:r>
          </w:p>
        </w:tc>
        <w:tc>
          <w:tcPr>
            <w:tcW w:type="dxa" w:w="1050"/>
            <w:tcMar>
              <w:top w:w="80" w:type="dxa"/>
              <w:start w:w="120" w:type="dxa"/>
              <w:bottom w:w="80" w:type="dxa"/>
              <w:end w:w="120" w:type="dxa"/>
            </w:tcMar>
            <w:tcBorders>
              <w:top w:val="single" w:sz="4" w:space="0" w:color="D9E0E7"/>
              <w:left w:val="single" w:sz="4" w:space="0" w:color="D9E0E7"/>
              <w:bottom w:val="single" w:sz="4" w:space="0" w:color="D9E0E7"/>
              <w:right w:val="single" w:sz="4" w:space="0" w:color="D9E0E7"/>
              <w:insideH w:val="single" w:sz="4" w:space="0" w:color="D9E0E7"/>
              <w:insideV w:val="single" w:sz="4" w:space="0" w:color="D9E0E7"/>
            </w:tcBorders>
            <w:vAlign w:val="center"/>
          </w:tcPr>
          <w:p>
            <w:pPr>
              <w:spacing w:before="0" w:after="0" w:line="252" w:lineRule="auto"/>
              <w:jc w:val="center"/>
            </w:pPr>
            <w:r>
              <w:rPr>
                <w:rFonts w:ascii="Calibri" w:hAnsi="Calibri" w:eastAsia="Calibri"/>
                <w:b w:val="0"/>
                <w:color w:val="1A1A1A"/>
                <w:sz w:val="17"/>
              </w:rPr>
              <w:t>2</w:t>
            </w:r>
          </w:p>
        </w:tc>
        <w:tc>
          <w:tcPr>
            <w:tcW w:type="dxa" w:w="1350"/>
            <w:tcMar>
              <w:top w:w="80" w:type="dxa"/>
              <w:start w:w="120" w:type="dxa"/>
              <w:bottom w:w="80" w:type="dxa"/>
              <w:end w:w="120" w:type="dxa"/>
            </w:tcMar>
            <w:tcBorders>
              <w:top w:val="single" w:sz="4" w:space="0" w:color="D9E0E7"/>
              <w:left w:val="single" w:sz="4" w:space="0" w:color="D9E0E7"/>
              <w:bottom w:val="single" w:sz="4" w:space="0" w:color="D9E0E7"/>
              <w:right w:val="single" w:sz="4" w:space="0" w:color="D9E0E7"/>
              <w:insideH w:val="single" w:sz="4" w:space="0" w:color="D9E0E7"/>
              <w:insideV w:val="single" w:sz="4" w:space="0" w:color="D9E0E7"/>
            </w:tcBorders>
            <w:vAlign w:val="center"/>
          </w:tcPr>
          <w:p>
            <w:pPr>
              <w:spacing w:before="0" w:after="0" w:line="252" w:lineRule="auto"/>
              <w:jc w:val="center"/>
            </w:pPr>
            <w:r>
              <w:rPr>
                <w:rFonts w:ascii="Calibri" w:hAnsi="Calibri" w:eastAsia="Calibri"/>
                <w:b w:val="0"/>
                <w:color w:val="1A1A1A"/>
                <w:sz w:val="17"/>
              </w:rPr>
              <w:t>1</w:t>
            </w:r>
          </w:p>
        </w:tc>
        <w:tc>
          <w:tcPr>
            <w:tcW w:type="dxa" w:w="1350"/>
            <w:tcMar>
              <w:top w:w="80" w:type="dxa"/>
              <w:start w:w="120" w:type="dxa"/>
              <w:bottom w:w="80" w:type="dxa"/>
              <w:end w:w="120" w:type="dxa"/>
            </w:tcMar>
            <w:tcBorders>
              <w:top w:val="single" w:sz="4" w:space="0" w:color="D9E0E7"/>
              <w:left w:val="single" w:sz="4" w:space="0" w:color="D9E0E7"/>
              <w:bottom w:val="single" w:sz="4" w:space="0" w:color="D9E0E7"/>
              <w:right w:val="single" w:sz="4" w:space="0" w:color="D9E0E7"/>
              <w:insideH w:val="single" w:sz="4" w:space="0" w:color="D9E0E7"/>
              <w:insideV w:val="single" w:sz="4" w:space="0" w:color="D9E0E7"/>
            </w:tcBorders>
            <w:vAlign w:val="center"/>
          </w:tcPr>
          <w:p>
            <w:pPr>
              <w:spacing w:before="0" w:after="0" w:line="252" w:lineRule="auto"/>
              <w:jc w:val="center"/>
            </w:pPr>
            <w:r>
              <w:rPr>
                <w:rFonts w:ascii="Calibri" w:hAnsi="Calibri" w:eastAsia="Calibri"/>
                <w:b w:val="0"/>
                <w:color w:val="1A1A1A"/>
                <w:sz w:val="17"/>
              </w:rPr>
              <w:t>4</w:t>
            </w:r>
          </w:p>
        </w:tc>
      </w:tr>
      <w:tr>
        <w:trPr>
          <w:cantSplit/>
        </w:trPr>
        <w:tc>
          <w:tcPr>
            <w:tcW w:type="dxa" w:w="2460"/>
            <w:shd w:fill="F7F9FB" w:val="clear"/>
            <w:tcMar>
              <w:top w:w="80" w:type="dxa"/>
              <w:start w:w="120" w:type="dxa"/>
              <w:bottom w:w="80" w:type="dxa"/>
              <w:end w:w="120" w:type="dxa"/>
            </w:tcMar>
            <w:tcBorders>
              <w:top w:val="single" w:sz="4" w:space="0" w:color="D9E0E7"/>
              <w:left w:val="single" w:sz="4" w:space="0" w:color="D9E0E7"/>
              <w:bottom w:val="single" w:sz="4" w:space="0" w:color="D9E0E7"/>
              <w:right w:val="single" w:sz="4" w:space="0" w:color="D9E0E7"/>
              <w:insideH w:val="single" w:sz="4" w:space="0" w:color="D9E0E7"/>
              <w:insideV w:val="single" w:sz="4" w:space="0" w:color="D9E0E7"/>
            </w:tcBorders>
            <w:vAlign w:val="center"/>
          </w:tcPr>
          <w:p>
            <w:pPr>
              <w:spacing w:before="0" w:after="0" w:line="252" w:lineRule="auto"/>
            </w:pPr>
            <w:r>
              <w:rPr>
                <w:rFonts w:ascii="Calibri" w:hAnsi="Calibri" w:eastAsia="Calibri"/>
                <w:b/>
                <w:color w:val="1A1A1A"/>
                <w:sz w:val="17"/>
              </w:rPr>
              <w:t>Courses / peer groups</w:t>
            </w:r>
          </w:p>
        </w:tc>
        <w:tc>
          <w:tcPr>
            <w:tcW w:type="dxa" w:w="1050"/>
            <w:shd w:fill="F7F9FB" w:val="clear"/>
            <w:tcMar>
              <w:top w:w="80" w:type="dxa"/>
              <w:start w:w="120" w:type="dxa"/>
              <w:bottom w:w="80" w:type="dxa"/>
              <w:end w:w="120" w:type="dxa"/>
            </w:tcMar>
            <w:tcBorders>
              <w:top w:val="single" w:sz="4" w:space="0" w:color="D9E0E7"/>
              <w:left w:val="single" w:sz="4" w:space="0" w:color="D9E0E7"/>
              <w:bottom w:val="single" w:sz="4" w:space="0" w:color="D9E0E7"/>
              <w:right w:val="single" w:sz="4" w:space="0" w:color="D9E0E7"/>
              <w:insideH w:val="single" w:sz="4" w:space="0" w:color="D9E0E7"/>
              <w:insideV w:val="single" w:sz="4" w:space="0" w:color="D9E0E7"/>
            </w:tcBorders>
            <w:vAlign w:val="center"/>
          </w:tcPr>
          <w:p>
            <w:pPr>
              <w:spacing w:before="0" w:after="0" w:line="252" w:lineRule="auto"/>
              <w:jc w:val="center"/>
            </w:pPr>
            <w:r>
              <w:rPr>
                <w:rFonts w:ascii="Calibri" w:hAnsi="Calibri" w:eastAsia="Calibri"/>
                <w:b w:val="0"/>
                <w:color w:val="1A1A1A"/>
                <w:sz w:val="17"/>
              </w:rPr>
              <w:t>4</w:t>
            </w:r>
          </w:p>
        </w:tc>
        <w:tc>
          <w:tcPr>
            <w:tcW w:type="dxa" w:w="1050"/>
            <w:shd w:fill="F7F9FB" w:val="clear"/>
            <w:tcMar>
              <w:top w:w="80" w:type="dxa"/>
              <w:start w:w="120" w:type="dxa"/>
              <w:bottom w:w="80" w:type="dxa"/>
              <w:end w:w="120" w:type="dxa"/>
            </w:tcMar>
            <w:tcBorders>
              <w:top w:val="single" w:sz="4" w:space="0" w:color="D9E0E7"/>
              <w:left w:val="single" w:sz="4" w:space="0" w:color="D9E0E7"/>
              <w:bottom w:val="single" w:sz="4" w:space="0" w:color="D9E0E7"/>
              <w:right w:val="single" w:sz="4" w:space="0" w:color="D9E0E7"/>
              <w:insideH w:val="single" w:sz="4" w:space="0" w:color="D9E0E7"/>
              <w:insideV w:val="single" w:sz="4" w:space="0" w:color="D9E0E7"/>
            </w:tcBorders>
            <w:vAlign w:val="center"/>
          </w:tcPr>
          <w:p>
            <w:pPr>
              <w:spacing w:before="0" w:after="0" w:line="252" w:lineRule="auto"/>
              <w:jc w:val="center"/>
            </w:pPr>
            <w:r>
              <w:rPr>
                <w:rFonts w:ascii="Calibri" w:hAnsi="Calibri" w:eastAsia="Calibri"/>
                <w:b w:val="0"/>
                <w:color w:val="1A1A1A"/>
                <w:sz w:val="17"/>
              </w:rPr>
              <w:t>3</w:t>
            </w:r>
          </w:p>
        </w:tc>
        <w:tc>
          <w:tcPr>
            <w:tcW w:type="dxa" w:w="1050"/>
            <w:shd w:fill="F7F9FB" w:val="clear"/>
            <w:tcMar>
              <w:top w:w="80" w:type="dxa"/>
              <w:start w:w="120" w:type="dxa"/>
              <w:bottom w:w="80" w:type="dxa"/>
              <w:end w:w="120" w:type="dxa"/>
            </w:tcMar>
            <w:tcBorders>
              <w:top w:val="single" w:sz="4" w:space="0" w:color="D9E0E7"/>
              <w:left w:val="single" w:sz="4" w:space="0" w:color="D9E0E7"/>
              <w:bottom w:val="single" w:sz="4" w:space="0" w:color="D9E0E7"/>
              <w:right w:val="single" w:sz="4" w:space="0" w:color="D9E0E7"/>
              <w:insideH w:val="single" w:sz="4" w:space="0" w:color="D9E0E7"/>
              <w:insideV w:val="single" w:sz="4" w:space="0" w:color="D9E0E7"/>
            </w:tcBorders>
            <w:vAlign w:val="center"/>
          </w:tcPr>
          <w:p>
            <w:pPr>
              <w:spacing w:before="0" w:after="0" w:line="252" w:lineRule="auto"/>
              <w:jc w:val="center"/>
            </w:pPr>
            <w:r>
              <w:rPr>
                <w:rFonts w:ascii="Calibri" w:hAnsi="Calibri" w:eastAsia="Calibri"/>
                <w:b w:val="0"/>
                <w:color w:val="1A1A1A"/>
                <w:sz w:val="17"/>
              </w:rPr>
              <w:t>2</w:t>
            </w:r>
          </w:p>
        </w:tc>
        <w:tc>
          <w:tcPr>
            <w:tcW w:type="dxa" w:w="1050"/>
            <w:shd w:fill="F7F9FB" w:val="clear"/>
            <w:tcMar>
              <w:top w:w="80" w:type="dxa"/>
              <w:start w:w="120" w:type="dxa"/>
              <w:bottom w:w="80" w:type="dxa"/>
              <w:end w:w="120" w:type="dxa"/>
            </w:tcMar>
            <w:tcBorders>
              <w:top w:val="single" w:sz="4" w:space="0" w:color="D9E0E7"/>
              <w:left w:val="single" w:sz="4" w:space="0" w:color="D9E0E7"/>
              <w:bottom w:val="single" w:sz="4" w:space="0" w:color="D9E0E7"/>
              <w:right w:val="single" w:sz="4" w:space="0" w:color="D9E0E7"/>
              <w:insideH w:val="single" w:sz="4" w:space="0" w:color="D9E0E7"/>
              <w:insideV w:val="single" w:sz="4" w:space="0" w:color="D9E0E7"/>
            </w:tcBorders>
            <w:vAlign w:val="center"/>
          </w:tcPr>
          <w:p>
            <w:pPr>
              <w:spacing w:before="0" w:after="0" w:line="252" w:lineRule="auto"/>
              <w:jc w:val="center"/>
            </w:pPr>
            <w:r>
              <w:rPr>
                <w:rFonts w:ascii="Calibri" w:hAnsi="Calibri" w:eastAsia="Calibri"/>
                <w:b w:val="0"/>
                <w:color w:val="1A1A1A"/>
                <w:sz w:val="17"/>
              </w:rPr>
              <w:t>1</w:t>
            </w:r>
          </w:p>
        </w:tc>
        <w:tc>
          <w:tcPr>
            <w:tcW w:type="dxa" w:w="1350"/>
            <w:shd w:fill="F7F9FB" w:val="clear"/>
            <w:tcMar>
              <w:top w:w="80" w:type="dxa"/>
              <w:start w:w="120" w:type="dxa"/>
              <w:bottom w:w="80" w:type="dxa"/>
              <w:end w:w="120" w:type="dxa"/>
            </w:tcMar>
            <w:tcBorders>
              <w:top w:val="single" w:sz="4" w:space="0" w:color="D9E0E7"/>
              <w:left w:val="single" w:sz="4" w:space="0" w:color="D9E0E7"/>
              <w:bottom w:val="single" w:sz="4" w:space="0" w:color="D9E0E7"/>
              <w:right w:val="single" w:sz="4" w:space="0" w:color="D9E0E7"/>
              <w:insideH w:val="single" w:sz="4" w:space="0" w:color="D9E0E7"/>
              <w:insideV w:val="single" w:sz="4" w:space="0" w:color="D9E0E7"/>
            </w:tcBorders>
            <w:vAlign w:val="center"/>
          </w:tcPr>
          <w:p>
            <w:pPr>
              <w:spacing w:before="0" w:after="0" w:line="252" w:lineRule="auto"/>
              <w:jc w:val="center"/>
            </w:pPr>
            <w:r>
              <w:rPr>
                <w:rFonts w:ascii="Calibri" w:hAnsi="Calibri" w:eastAsia="Calibri"/>
                <w:b w:val="0"/>
                <w:color w:val="1A1A1A"/>
                <w:sz w:val="17"/>
              </w:rPr>
              <w:t>2</w:t>
            </w:r>
          </w:p>
        </w:tc>
        <w:tc>
          <w:tcPr>
            <w:tcW w:type="dxa" w:w="1350"/>
            <w:shd w:fill="F7F9FB" w:val="clear"/>
            <w:tcMar>
              <w:top w:w="80" w:type="dxa"/>
              <w:start w:w="120" w:type="dxa"/>
              <w:bottom w:w="80" w:type="dxa"/>
              <w:end w:w="120" w:type="dxa"/>
            </w:tcMar>
            <w:tcBorders>
              <w:top w:val="single" w:sz="4" w:space="0" w:color="D9E0E7"/>
              <w:left w:val="single" w:sz="4" w:space="0" w:color="D9E0E7"/>
              <w:bottom w:val="single" w:sz="4" w:space="0" w:color="D9E0E7"/>
              <w:right w:val="single" w:sz="4" w:space="0" w:color="D9E0E7"/>
              <w:insideH w:val="single" w:sz="4" w:space="0" w:color="D9E0E7"/>
              <w:insideV w:val="single" w:sz="4" w:space="0" w:color="D9E0E7"/>
            </w:tcBorders>
            <w:vAlign w:val="center"/>
          </w:tcPr>
          <w:p>
            <w:pPr>
              <w:spacing w:before="0" w:after="0" w:line="252" w:lineRule="auto"/>
              <w:jc w:val="center"/>
            </w:pPr>
            <w:r>
              <w:rPr>
                <w:rFonts w:ascii="Calibri" w:hAnsi="Calibri" w:eastAsia="Calibri"/>
                <w:b w:val="0"/>
                <w:color w:val="1A1A1A"/>
                <w:sz w:val="17"/>
              </w:rPr>
              <w:t>3</w:t>
            </w:r>
          </w:p>
        </w:tc>
      </w:tr>
      <w:tr>
        <w:trPr>
          <w:cantSplit/>
        </w:trPr>
        <w:tc>
          <w:tcPr>
            <w:tcW w:type="dxa" w:w="2460"/>
            <w:tcMar>
              <w:top w:w="80" w:type="dxa"/>
              <w:start w:w="120" w:type="dxa"/>
              <w:bottom w:w="80" w:type="dxa"/>
              <w:end w:w="120" w:type="dxa"/>
            </w:tcMar>
            <w:tcBorders>
              <w:top w:val="single" w:sz="4" w:space="0" w:color="D9E0E7"/>
              <w:left w:val="single" w:sz="4" w:space="0" w:color="D9E0E7"/>
              <w:bottom w:val="single" w:sz="4" w:space="0" w:color="D9E0E7"/>
              <w:right w:val="single" w:sz="4" w:space="0" w:color="D9E0E7"/>
              <w:insideH w:val="single" w:sz="4" w:space="0" w:color="D9E0E7"/>
              <w:insideV w:val="single" w:sz="4" w:space="0" w:color="D9E0E7"/>
            </w:tcBorders>
            <w:vAlign w:val="center"/>
          </w:tcPr>
          <w:p>
            <w:pPr>
              <w:spacing w:before="0" w:after="0" w:line="252" w:lineRule="auto"/>
            </w:pPr>
            <w:r>
              <w:rPr>
                <w:rFonts w:ascii="Calibri" w:hAnsi="Calibri" w:eastAsia="Calibri"/>
                <w:b/>
                <w:color w:val="1A1A1A"/>
                <w:sz w:val="17"/>
              </w:rPr>
              <w:t>Legal / mediation</w:t>
            </w:r>
          </w:p>
        </w:tc>
        <w:tc>
          <w:tcPr>
            <w:tcW w:type="dxa" w:w="1050"/>
            <w:tcMar>
              <w:top w:w="80" w:type="dxa"/>
              <w:start w:w="120" w:type="dxa"/>
              <w:bottom w:w="80" w:type="dxa"/>
              <w:end w:w="120" w:type="dxa"/>
            </w:tcMar>
            <w:tcBorders>
              <w:top w:val="single" w:sz="4" w:space="0" w:color="D9E0E7"/>
              <w:left w:val="single" w:sz="4" w:space="0" w:color="D9E0E7"/>
              <w:bottom w:val="single" w:sz="4" w:space="0" w:color="D9E0E7"/>
              <w:right w:val="single" w:sz="4" w:space="0" w:color="D9E0E7"/>
              <w:insideH w:val="single" w:sz="4" w:space="0" w:color="D9E0E7"/>
              <w:insideV w:val="single" w:sz="4" w:space="0" w:color="D9E0E7"/>
            </w:tcBorders>
            <w:vAlign w:val="center"/>
          </w:tcPr>
          <w:p>
            <w:pPr>
              <w:spacing w:before="0" w:after="0" w:line="252" w:lineRule="auto"/>
              <w:jc w:val="center"/>
            </w:pPr>
            <w:r>
              <w:rPr>
                <w:rFonts w:ascii="Calibri" w:hAnsi="Calibri" w:eastAsia="Calibri"/>
                <w:b w:val="0"/>
                <w:color w:val="1A1A1A"/>
                <w:sz w:val="17"/>
              </w:rPr>
              <w:t>1</w:t>
            </w:r>
          </w:p>
        </w:tc>
        <w:tc>
          <w:tcPr>
            <w:tcW w:type="dxa" w:w="1050"/>
            <w:tcMar>
              <w:top w:w="80" w:type="dxa"/>
              <w:start w:w="120" w:type="dxa"/>
              <w:bottom w:w="80" w:type="dxa"/>
              <w:end w:w="120" w:type="dxa"/>
            </w:tcMar>
            <w:tcBorders>
              <w:top w:val="single" w:sz="4" w:space="0" w:color="D9E0E7"/>
              <w:left w:val="single" w:sz="4" w:space="0" w:color="D9E0E7"/>
              <w:bottom w:val="single" w:sz="4" w:space="0" w:color="D9E0E7"/>
              <w:right w:val="single" w:sz="4" w:space="0" w:color="D9E0E7"/>
              <w:insideH w:val="single" w:sz="4" w:space="0" w:color="D9E0E7"/>
              <w:insideV w:val="single" w:sz="4" w:space="0" w:color="D9E0E7"/>
            </w:tcBorders>
            <w:vAlign w:val="center"/>
          </w:tcPr>
          <w:p>
            <w:pPr>
              <w:spacing w:before="0" w:after="0" w:line="252" w:lineRule="auto"/>
              <w:jc w:val="center"/>
            </w:pPr>
            <w:r>
              <w:rPr>
                <w:rFonts w:ascii="Calibri" w:hAnsi="Calibri" w:eastAsia="Calibri"/>
                <w:b w:val="0"/>
                <w:color w:val="1A1A1A"/>
                <w:sz w:val="17"/>
              </w:rPr>
              <w:t>3</w:t>
            </w:r>
          </w:p>
        </w:tc>
        <w:tc>
          <w:tcPr>
            <w:tcW w:type="dxa" w:w="1050"/>
            <w:tcMar>
              <w:top w:w="80" w:type="dxa"/>
              <w:start w:w="120" w:type="dxa"/>
              <w:bottom w:w="80" w:type="dxa"/>
              <w:end w:w="120" w:type="dxa"/>
            </w:tcMar>
            <w:tcBorders>
              <w:top w:val="single" w:sz="4" w:space="0" w:color="D9E0E7"/>
              <w:left w:val="single" w:sz="4" w:space="0" w:color="D9E0E7"/>
              <w:bottom w:val="single" w:sz="4" w:space="0" w:color="D9E0E7"/>
              <w:right w:val="single" w:sz="4" w:space="0" w:color="D9E0E7"/>
              <w:insideH w:val="single" w:sz="4" w:space="0" w:color="D9E0E7"/>
              <w:insideV w:val="single" w:sz="4" w:space="0" w:color="D9E0E7"/>
            </w:tcBorders>
            <w:vAlign w:val="center"/>
          </w:tcPr>
          <w:p>
            <w:pPr>
              <w:spacing w:before="0" w:after="0" w:line="252" w:lineRule="auto"/>
              <w:jc w:val="center"/>
            </w:pPr>
            <w:r>
              <w:rPr>
                <w:rFonts w:ascii="Calibri" w:hAnsi="Calibri" w:eastAsia="Calibri"/>
                <w:b w:val="0"/>
                <w:color w:val="1A1A1A"/>
                <w:sz w:val="17"/>
              </w:rPr>
              <w:t>3</w:t>
            </w:r>
          </w:p>
        </w:tc>
        <w:tc>
          <w:tcPr>
            <w:tcW w:type="dxa" w:w="1050"/>
            <w:tcMar>
              <w:top w:w="80" w:type="dxa"/>
              <w:start w:w="120" w:type="dxa"/>
              <w:bottom w:w="80" w:type="dxa"/>
              <w:end w:w="120" w:type="dxa"/>
            </w:tcMar>
            <w:tcBorders>
              <w:top w:val="single" w:sz="4" w:space="0" w:color="D9E0E7"/>
              <w:left w:val="single" w:sz="4" w:space="0" w:color="D9E0E7"/>
              <w:bottom w:val="single" w:sz="4" w:space="0" w:color="D9E0E7"/>
              <w:right w:val="single" w:sz="4" w:space="0" w:color="D9E0E7"/>
              <w:insideH w:val="single" w:sz="4" w:space="0" w:color="D9E0E7"/>
              <w:insideV w:val="single" w:sz="4" w:space="0" w:color="D9E0E7"/>
            </w:tcBorders>
            <w:vAlign w:val="center"/>
          </w:tcPr>
          <w:p>
            <w:pPr>
              <w:spacing w:before="0" w:after="0" w:line="252" w:lineRule="auto"/>
              <w:jc w:val="center"/>
            </w:pPr>
            <w:r>
              <w:rPr>
                <w:rFonts w:ascii="Calibri" w:hAnsi="Calibri" w:eastAsia="Calibri"/>
                <w:b w:val="0"/>
                <w:color w:val="1A1A1A"/>
                <w:sz w:val="17"/>
              </w:rPr>
              <w:t>3</w:t>
            </w:r>
          </w:p>
        </w:tc>
        <w:tc>
          <w:tcPr>
            <w:tcW w:type="dxa" w:w="1350"/>
            <w:tcMar>
              <w:top w:w="80" w:type="dxa"/>
              <w:start w:w="120" w:type="dxa"/>
              <w:bottom w:w="80" w:type="dxa"/>
              <w:end w:w="120" w:type="dxa"/>
            </w:tcMar>
            <w:tcBorders>
              <w:top w:val="single" w:sz="4" w:space="0" w:color="D9E0E7"/>
              <w:left w:val="single" w:sz="4" w:space="0" w:color="D9E0E7"/>
              <w:bottom w:val="single" w:sz="4" w:space="0" w:color="D9E0E7"/>
              <w:right w:val="single" w:sz="4" w:space="0" w:color="D9E0E7"/>
              <w:insideH w:val="single" w:sz="4" w:space="0" w:color="D9E0E7"/>
              <w:insideV w:val="single" w:sz="4" w:space="0" w:color="D9E0E7"/>
            </w:tcBorders>
            <w:vAlign w:val="center"/>
          </w:tcPr>
          <w:p>
            <w:pPr>
              <w:spacing w:before="0" w:after="0" w:line="252" w:lineRule="auto"/>
              <w:jc w:val="center"/>
            </w:pPr>
            <w:r>
              <w:rPr>
                <w:rFonts w:ascii="Calibri" w:hAnsi="Calibri" w:eastAsia="Calibri"/>
                <w:b w:val="0"/>
                <w:color w:val="1A1A1A"/>
                <w:sz w:val="17"/>
              </w:rPr>
              <w:t>5</w:t>
            </w:r>
          </w:p>
        </w:tc>
        <w:tc>
          <w:tcPr>
            <w:tcW w:type="dxa" w:w="1350"/>
            <w:tcMar>
              <w:top w:w="80" w:type="dxa"/>
              <w:start w:w="120" w:type="dxa"/>
              <w:bottom w:w="80" w:type="dxa"/>
              <w:end w:w="120" w:type="dxa"/>
            </w:tcMar>
            <w:tcBorders>
              <w:top w:val="single" w:sz="4" w:space="0" w:color="D9E0E7"/>
              <w:left w:val="single" w:sz="4" w:space="0" w:color="D9E0E7"/>
              <w:bottom w:val="single" w:sz="4" w:space="0" w:color="D9E0E7"/>
              <w:right w:val="single" w:sz="4" w:space="0" w:color="D9E0E7"/>
              <w:insideH w:val="single" w:sz="4" w:space="0" w:color="D9E0E7"/>
              <w:insideV w:val="single" w:sz="4" w:space="0" w:color="D9E0E7"/>
            </w:tcBorders>
            <w:vAlign w:val="center"/>
          </w:tcPr>
          <w:p>
            <w:pPr>
              <w:spacing w:before="0" w:after="0" w:line="252" w:lineRule="auto"/>
              <w:jc w:val="center"/>
            </w:pPr>
            <w:r>
              <w:rPr>
                <w:rFonts w:ascii="Calibri" w:hAnsi="Calibri" w:eastAsia="Calibri"/>
                <w:b w:val="0"/>
                <w:color w:val="1A1A1A"/>
                <w:sz w:val="17"/>
              </w:rPr>
              <w:t>2</w:t>
            </w:r>
          </w:p>
        </w:tc>
      </w:tr>
      <w:tr>
        <w:trPr>
          <w:cantSplit/>
        </w:trPr>
        <w:tc>
          <w:tcPr>
            <w:tcW w:type="dxa" w:w="2460"/>
            <w:shd w:fill="F7F9FB" w:val="clear"/>
            <w:tcMar>
              <w:top w:w="80" w:type="dxa"/>
              <w:start w:w="120" w:type="dxa"/>
              <w:bottom w:w="80" w:type="dxa"/>
              <w:end w:w="120" w:type="dxa"/>
            </w:tcMar>
            <w:tcBorders>
              <w:top w:val="single" w:sz="4" w:space="0" w:color="D9E0E7"/>
              <w:left w:val="single" w:sz="4" w:space="0" w:color="D9E0E7"/>
              <w:bottom w:val="single" w:sz="4" w:space="0" w:color="D9E0E7"/>
              <w:right w:val="single" w:sz="4" w:space="0" w:color="D9E0E7"/>
              <w:insideH w:val="single" w:sz="4" w:space="0" w:color="D9E0E7"/>
              <w:insideV w:val="single" w:sz="4" w:space="0" w:color="D9E0E7"/>
            </w:tcBorders>
            <w:vAlign w:val="center"/>
          </w:tcPr>
          <w:p>
            <w:pPr>
              <w:spacing w:before="0" w:after="0" w:line="252" w:lineRule="auto"/>
            </w:pPr>
            <w:r>
              <w:rPr>
                <w:rFonts w:ascii="Calibri" w:hAnsi="Calibri" w:eastAsia="Calibri"/>
                <w:b/>
                <w:color w:val="1A1A1A"/>
                <w:sz w:val="17"/>
              </w:rPr>
              <w:t>Accountability / PA</w:t>
            </w:r>
          </w:p>
        </w:tc>
        <w:tc>
          <w:tcPr>
            <w:tcW w:type="dxa" w:w="1050"/>
            <w:shd w:fill="F7F9FB" w:val="clear"/>
            <w:tcMar>
              <w:top w:w="80" w:type="dxa"/>
              <w:start w:w="120" w:type="dxa"/>
              <w:bottom w:w="80" w:type="dxa"/>
              <w:end w:w="120" w:type="dxa"/>
            </w:tcMar>
            <w:tcBorders>
              <w:top w:val="single" w:sz="4" w:space="0" w:color="D9E0E7"/>
              <w:left w:val="single" w:sz="4" w:space="0" w:color="D9E0E7"/>
              <w:bottom w:val="single" w:sz="4" w:space="0" w:color="D9E0E7"/>
              <w:right w:val="single" w:sz="4" w:space="0" w:color="D9E0E7"/>
              <w:insideH w:val="single" w:sz="4" w:space="0" w:color="D9E0E7"/>
              <w:insideV w:val="single" w:sz="4" w:space="0" w:color="D9E0E7"/>
            </w:tcBorders>
            <w:vAlign w:val="center"/>
          </w:tcPr>
          <w:p>
            <w:pPr>
              <w:spacing w:before="0" w:after="0" w:line="252" w:lineRule="auto"/>
              <w:jc w:val="center"/>
            </w:pPr>
            <w:r>
              <w:rPr>
                <w:rFonts w:ascii="Calibri" w:hAnsi="Calibri" w:eastAsia="Calibri"/>
                <w:b w:val="0"/>
                <w:color w:val="1A1A1A"/>
                <w:sz w:val="17"/>
              </w:rPr>
              <w:t>1</w:t>
            </w:r>
          </w:p>
        </w:tc>
        <w:tc>
          <w:tcPr>
            <w:tcW w:type="dxa" w:w="1050"/>
            <w:shd w:fill="F7F9FB" w:val="clear"/>
            <w:tcMar>
              <w:top w:w="80" w:type="dxa"/>
              <w:start w:w="120" w:type="dxa"/>
              <w:bottom w:w="80" w:type="dxa"/>
              <w:end w:w="120" w:type="dxa"/>
            </w:tcMar>
            <w:tcBorders>
              <w:top w:val="single" w:sz="4" w:space="0" w:color="D9E0E7"/>
              <w:left w:val="single" w:sz="4" w:space="0" w:color="D9E0E7"/>
              <w:bottom w:val="single" w:sz="4" w:space="0" w:color="D9E0E7"/>
              <w:right w:val="single" w:sz="4" w:space="0" w:color="D9E0E7"/>
              <w:insideH w:val="single" w:sz="4" w:space="0" w:color="D9E0E7"/>
              <w:insideV w:val="single" w:sz="4" w:space="0" w:color="D9E0E7"/>
            </w:tcBorders>
            <w:vAlign w:val="center"/>
          </w:tcPr>
          <w:p>
            <w:pPr>
              <w:spacing w:before="0" w:after="0" w:line="252" w:lineRule="auto"/>
              <w:jc w:val="center"/>
            </w:pPr>
            <w:r>
              <w:rPr>
                <w:rFonts w:ascii="Calibri" w:hAnsi="Calibri" w:eastAsia="Calibri"/>
                <w:b w:val="0"/>
                <w:color w:val="1A1A1A"/>
                <w:sz w:val="17"/>
              </w:rPr>
              <w:t>2</w:t>
            </w:r>
          </w:p>
        </w:tc>
        <w:tc>
          <w:tcPr>
            <w:tcW w:type="dxa" w:w="1050"/>
            <w:shd w:fill="F7F9FB" w:val="clear"/>
            <w:tcMar>
              <w:top w:w="80" w:type="dxa"/>
              <w:start w:w="120" w:type="dxa"/>
              <w:bottom w:w="80" w:type="dxa"/>
              <w:end w:w="120" w:type="dxa"/>
            </w:tcMar>
            <w:tcBorders>
              <w:top w:val="single" w:sz="4" w:space="0" w:color="D9E0E7"/>
              <w:left w:val="single" w:sz="4" w:space="0" w:color="D9E0E7"/>
              <w:bottom w:val="single" w:sz="4" w:space="0" w:color="D9E0E7"/>
              <w:right w:val="single" w:sz="4" w:space="0" w:color="D9E0E7"/>
              <w:insideH w:val="single" w:sz="4" w:space="0" w:color="D9E0E7"/>
              <w:insideV w:val="single" w:sz="4" w:space="0" w:color="D9E0E7"/>
            </w:tcBorders>
            <w:vAlign w:val="center"/>
          </w:tcPr>
          <w:p>
            <w:pPr>
              <w:spacing w:before="0" w:after="0" w:line="252" w:lineRule="auto"/>
              <w:jc w:val="center"/>
            </w:pPr>
            <w:r>
              <w:rPr>
                <w:rFonts w:ascii="Calibri" w:hAnsi="Calibri" w:eastAsia="Calibri"/>
                <w:b w:val="0"/>
                <w:color w:val="1A1A1A"/>
                <w:sz w:val="17"/>
              </w:rPr>
              <w:t>5</w:t>
            </w:r>
          </w:p>
        </w:tc>
        <w:tc>
          <w:tcPr>
            <w:tcW w:type="dxa" w:w="1050"/>
            <w:shd w:fill="F7F9FB" w:val="clear"/>
            <w:tcMar>
              <w:top w:w="80" w:type="dxa"/>
              <w:start w:w="120" w:type="dxa"/>
              <w:bottom w:w="80" w:type="dxa"/>
              <w:end w:w="120" w:type="dxa"/>
            </w:tcMar>
            <w:tcBorders>
              <w:top w:val="single" w:sz="4" w:space="0" w:color="D9E0E7"/>
              <w:left w:val="single" w:sz="4" w:space="0" w:color="D9E0E7"/>
              <w:bottom w:val="single" w:sz="4" w:space="0" w:color="D9E0E7"/>
              <w:right w:val="single" w:sz="4" w:space="0" w:color="D9E0E7"/>
              <w:insideH w:val="single" w:sz="4" w:space="0" w:color="D9E0E7"/>
              <w:insideV w:val="single" w:sz="4" w:space="0" w:color="D9E0E7"/>
            </w:tcBorders>
            <w:vAlign w:val="center"/>
          </w:tcPr>
          <w:p>
            <w:pPr>
              <w:spacing w:before="0" w:after="0" w:line="252" w:lineRule="auto"/>
              <w:jc w:val="center"/>
            </w:pPr>
            <w:r>
              <w:rPr>
                <w:rFonts w:ascii="Calibri" w:hAnsi="Calibri" w:eastAsia="Calibri"/>
                <w:b w:val="0"/>
                <w:color w:val="1A1A1A"/>
                <w:sz w:val="17"/>
              </w:rPr>
              <w:t>5</w:t>
            </w:r>
          </w:p>
        </w:tc>
        <w:tc>
          <w:tcPr>
            <w:tcW w:type="dxa" w:w="1350"/>
            <w:shd w:fill="F7F9FB" w:val="clear"/>
            <w:tcMar>
              <w:top w:w="80" w:type="dxa"/>
              <w:start w:w="120" w:type="dxa"/>
              <w:bottom w:w="80" w:type="dxa"/>
              <w:end w:w="120" w:type="dxa"/>
            </w:tcMar>
            <w:tcBorders>
              <w:top w:val="single" w:sz="4" w:space="0" w:color="D9E0E7"/>
              <w:left w:val="single" w:sz="4" w:space="0" w:color="D9E0E7"/>
              <w:bottom w:val="single" w:sz="4" w:space="0" w:color="D9E0E7"/>
              <w:right w:val="single" w:sz="4" w:space="0" w:color="D9E0E7"/>
              <w:insideH w:val="single" w:sz="4" w:space="0" w:color="D9E0E7"/>
              <w:insideV w:val="single" w:sz="4" w:space="0" w:color="D9E0E7"/>
            </w:tcBorders>
            <w:vAlign w:val="center"/>
          </w:tcPr>
          <w:p>
            <w:pPr>
              <w:spacing w:before="0" w:after="0" w:line="252" w:lineRule="auto"/>
              <w:jc w:val="center"/>
            </w:pPr>
            <w:r>
              <w:rPr>
                <w:rFonts w:ascii="Calibri" w:hAnsi="Calibri" w:eastAsia="Calibri"/>
                <w:b w:val="0"/>
                <w:color w:val="1A1A1A"/>
                <w:sz w:val="17"/>
              </w:rPr>
              <w:t>1</w:t>
            </w:r>
          </w:p>
        </w:tc>
        <w:tc>
          <w:tcPr>
            <w:tcW w:type="dxa" w:w="1350"/>
            <w:shd w:fill="F7F9FB" w:val="clear"/>
            <w:tcMar>
              <w:top w:w="80" w:type="dxa"/>
              <w:start w:w="120" w:type="dxa"/>
              <w:bottom w:w="80" w:type="dxa"/>
              <w:end w:w="120" w:type="dxa"/>
            </w:tcMar>
            <w:tcBorders>
              <w:top w:val="single" w:sz="4" w:space="0" w:color="D9E0E7"/>
              <w:left w:val="single" w:sz="4" w:space="0" w:color="D9E0E7"/>
              <w:bottom w:val="single" w:sz="4" w:space="0" w:color="D9E0E7"/>
              <w:right w:val="single" w:sz="4" w:space="0" w:color="D9E0E7"/>
              <w:insideH w:val="single" w:sz="4" w:space="0" w:color="D9E0E7"/>
              <w:insideV w:val="single" w:sz="4" w:space="0" w:color="D9E0E7"/>
            </w:tcBorders>
            <w:vAlign w:val="center"/>
          </w:tcPr>
          <w:p>
            <w:pPr>
              <w:spacing w:before="0" w:after="0" w:line="252" w:lineRule="auto"/>
              <w:jc w:val="center"/>
            </w:pPr>
            <w:r>
              <w:rPr>
                <w:rFonts w:ascii="Calibri" w:hAnsi="Calibri" w:eastAsia="Calibri"/>
                <w:b w:val="0"/>
                <w:color w:val="1A1A1A"/>
                <w:sz w:val="17"/>
              </w:rPr>
              <w:t>4</w:t>
            </w:r>
          </w:p>
        </w:tc>
      </w:tr>
      <w:tr>
        <w:trPr>
          <w:cantSplit/>
        </w:trPr>
        <w:tc>
          <w:tcPr>
            <w:tcW w:type="dxa" w:w="2460"/>
            <w:tcMar>
              <w:top w:w="80" w:type="dxa"/>
              <w:start w:w="120" w:type="dxa"/>
              <w:bottom w:w="80" w:type="dxa"/>
              <w:end w:w="120" w:type="dxa"/>
            </w:tcMar>
            <w:tcBorders>
              <w:top w:val="single" w:sz="4" w:space="0" w:color="D9E0E7"/>
              <w:left w:val="single" w:sz="4" w:space="0" w:color="D9E0E7"/>
              <w:bottom w:val="single" w:sz="4" w:space="0" w:color="D9E0E7"/>
              <w:right w:val="single" w:sz="4" w:space="0" w:color="D9E0E7"/>
              <w:insideH w:val="single" w:sz="4" w:space="0" w:color="D9E0E7"/>
              <w:insideV w:val="single" w:sz="4" w:space="0" w:color="D9E0E7"/>
            </w:tcBorders>
            <w:vAlign w:val="center"/>
          </w:tcPr>
          <w:p>
            <w:pPr>
              <w:spacing w:before="0" w:after="0" w:line="252" w:lineRule="auto"/>
            </w:pPr>
            <w:r>
              <w:rPr>
                <w:rFonts w:ascii="Calibri" w:hAnsi="Calibri" w:eastAsia="Calibri"/>
                <w:b/>
                <w:color w:val="1A1A1A"/>
                <w:sz w:val="17"/>
              </w:rPr>
              <w:t>Self-help / AI</w:t>
            </w:r>
          </w:p>
        </w:tc>
        <w:tc>
          <w:tcPr>
            <w:tcW w:type="dxa" w:w="1050"/>
            <w:tcMar>
              <w:top w:w="80" w:type="dxa"/>
              <w:start w:w="120" w:type="dxa"/>
              <w:bottom w:w="80" w:type="dxa"/>
              <w:end w:w="120" w:type="dxa"/>
            </w:tcMar>
            <w:tcBorders>
              <w:top w:val="single" w:sz="4" w:space="0" w:color="D9E0E7"/>
              <w:left w:val="single" w:sz="4" w:space="0" w:color="D9E0E7"/>
              <w:bottom w:val="single" w:sz="4" w:space="0" w:color="D9E0E7"/>
              <w:right w:val="single" w:sz="4" w:space="0" w:color="D9E0E7"/>
              <w:insideH w:val="single" w:sz="4" w:space="0" w:color="D9E0E7"/>
              <w:insideV w:val="single" w:sz="4" w:space="0" w:color="D9E0E7"/>
            </w:tcBorders>
            <w:vAlign w:val="center"/>
          </w:tcPr>
          <w:p>
            <w:pPr>
              <w:spacing w:before="0" w:after="0" w:line="252" w:lineRule="auto"/>
              <w:jc w:val="center"/>
            </w:pPr>
            <w:r>
              <w:rPr>
                <w:rFonts w:ascii="Calibri" w:hAnsi="Calibri" w:eastAsia="Calibri"/>
                <w:b w:val="0"/>
                <w:color w:val="1A1A1A"/>
                <w:sz w:val="17"/>
              </w:rPr>
              <w:t>2</w:t>
            </w:r>
          </w:p>
        </w:tc>
        <w:tc>
          <w:tcPr>
            <w:tcW w:type="dxa" w:w="1050"/>
            <w:tcMar>
              <w:top w:w="80" w:type="dxa"/>
              <w:start w:w="120" w:type="dxa"/>
              <w:bottom w:w="80" w:type="dxa"/>
              <w:end w:w="120" w:type="dxa"/>
            </w:tcMar>
            <w:tcBorders>
              <w:top w:val="single" w:sz="4" w:space="0" w:color="D9E0E7"/>
              <w:left w:val="single" w:sz="4" w:space="0" w:color="D9E0E7"/>
              <w:bottom w:val="single" w:sz="4" w:space="0" w:color="D9E0E7"/>
              <w:right w:val="single" w:sz="4" w:space="0" w:color="D9E0E7"/>
              <w:insideH w:val="single" w:sz="4" w:space="0" w:color="D9E0E7"/>
              <w:insideV w:val="single" w:sz="4" w:space="0" w:color="D9E0E7"/>
            </w:tcBorders>
            <w:vAlign w:val="center"/>
          </w:tcPr>
          <w:p>
            <w:pPr>
              <w:spacing w:before="0" w:after="0" w:line="252" w:lineRule="auto"/>
              <w:jc w:val="center"/>
            </w:pPr>
            <w:r>
              <w:rPr>
                <w:rFonts w:ascii="Calibri" w:hAnsi="Calibri" w:eastAsia="Calibri"/>
                <w:b w:val="0"/>
                <w:color w:val="1A1A1A"/>
                <w:sz w:val="17"/>
              </w:rPr>
              <w:t>3</w:t>
            </w:r>
          </w:p>
        </w:tc>
        <w:tc>
          <w:tcPr>
            <w:tcW w:type="dxa" w:w="1050"/>
            <w:tcMar>
              <w:top w:w="80" w:type="dxa"/>
              <w:start w:w="120" w:type="dxa"/>
              <w:bottom w:w="80" w:type="dxa"/>
              <w:end w:w="120" w:type="dxa"/>
            </w:tcMar>
            <w:tcBorders>
              <w:top w:val="single" w:sz="4" w:space="0" w:color="D9E0E7"/>
              <w:left w:val="single" w:sz="4" w:space="0" w:color="D9E0E7"/>
              <w:bottom w:val="single" w:sz="4" w:space="0" w:color="D9E0E7"/>
              <w:right w:val="single" w:sz="4" w:space="0" w:color="D9E0E7"/>
              <w:insideH w:val="single" w:sz="4" w:space="0" w:color="D9E0E7"/>
              <w:insideV w:val="single" w:sz="4" w:space="0" w:color="D9E0E7"/>
            </w:tcBorders>
            <w:vAlign w:val="center"/>
          </w:tcPr>
          <w:p>
            <w:pPr>
              <w:spacing w:before="0" w:after="0" w:line="252" w:lineRule="auto"/>
              <w:jc w:val="center"/>
            </w:pPr>
            <w:r>
              <w:rPr>
                <w:rFonts w:ascii="Calibri" w:hAnsi="Calibri" w:eastAsia="Calibri"/>
                <w:b w:val="0"/>
                <w:color w:val="1A1A1A"/>
                <w:sz w:val="17"/>
              </w:rPr>
              <w:t>3</w:t>
            </w:r>
          </w:p>
        </w:tc>
        <w:tc>
          <w:tcPr>
            <w:tcW w:type="dxa" w:w="1050"/>
            <w:tcMar>
              <w:top w:w="80" w:type="dxa"/>
              <w:start w:w="120" w:type="dxa"/>
              <w:bottom w:w="80" w:type="dxa"/>
              <w:end w:w="120" w:type="dxa"/>
            </w:tcMar>
            <w:tcBorders>
              <w:top w:val="single" w:sz="4" w:space="0" w:color="D9E0E7"/>
              <w:left w:val="single" w:sz="4" w:space="0" w:color="D9E0E7"/>
              <w:bottom w:val="single" w:sz="4" w:space="0" w:color="D9E0E7"/>
              <w:right w:val="single" w:sz="4" w:space="0" w:color="D9E0E7"/>
              <w:insideH w:val="single" w:sz="4" w:space="0" w:color="D9E0E7"/>
              <w:insideV w:val="single" w:sz="4" w:space="0" w:color="D9E0E7"/>
            </w:tcBorders>
            <w:vAlign w:val="center"/>
          </w:tcPr>
          <w:p>
            <w:pPr>
              <w:spacing w:before="0" w:after="0" w:line="252" w:lineRule="auto"/>
              <w:jc w:val="center"/>
            </w:pPr>
            <w:r>
              <w:rPr>
                <w:rFonts w:ascii="Calibri" w:hAnsi="Calibri" w:eastAsia="Calibri"/>
                <w:b w:val="0"/>
                <w:color w:val="1A1A1A"/>
                <w:sz w:val="17"/>
              </w:rPr>
              <w:t>1</w:t>
            </w:r>
          </w:p>
        </w:tc>
        <w:tc>
          <w:tcPr>
            <w:tcW w:type="dxa" w:w="1350"/>
            <w:tcMar>
              <w:top w:w="80" w:type="dxa"/>
              <w:start w:w="120" w:type="dxa"/>
              <w:bottom w:w="80" w:type="dxa"/>
              <w:end w:w="120" w:type="dxa"/>
            </w:tcMar>
            <w:tcBorders>
              <w:top w:val="single" w:sz="4" w:space="0" w:color="D9E0E7"/>
              <w:left w:val="single" w:sz="4" w:space="0" w:color="D9E0E7"/>
              <w:bottom w:val="single" w:sz="4" w:space="0" w:color="D9E0E7"/>
              <w:right w:val="single" w:sz="4" w:space="0" w:color="D9E0E7"/>
              <w:insideH w:val="single" w:sz="4" w:space="0" w:color="D9E0E7"/>
              <w:insideV w:val="single" w:sz="4" w:space="0" w:color="D9E0E7"/>
            </w:tcBorders>
            <w:vAlign w:val="center"/>
          </w:tcPr>
          <w:p>
            <w:pPr>
              <w:spacing w:before="0" w:after="0" w:line="252" w:lineRule="auto"/>
              <w:jc w:val="center"/>
            </w:pPr>
            <w:r>
              <w:rPr>
                <w:rFonts w:ascii="Calibri" w:hAnsi="Calibri" w:eastAsia="Calibri"/>
                <w:b w:val="0"/>
                <w:color w:val="1A1A1A"/>
                <w:sz w:val="17"/>
              </w:rPr>
              <w:t>1</w:t>
            </w:r>
          </w:p>
        </w:tc>
        <w:tc>
          <w:tcPr>
            <w:tcW w:type="dxa" w:w="1350"/>
            <w:tcMar>
              <w:top w:w="80" w:type="dxa"/>
              <w:start w:w="120" w:type="dxa"/>
              <w:bottom w:w="80" w:type="dxa"/>
              <w:end w:w="120" w:type="dxa"/>
            </w:tcMar>
            <w:tcBorders>
              <w:top w:val="single" w:sz="4" w:space="0" w:color="D9E0E7"/>
              <w:left w:val="single" w:sz="4" w:space="0" w:color="D9E0E7"/>
              <w:bottom w:val="single" w:sz="4" w:space="0" w:color="D9E0E7"/>
              <w:right w:val="single" w:sz="4" w:space="0" w:color="D9E0E7"/>
              <w:insideH w:val="single" w:sz="4" w:space="0" w:color="D9E0E7"/>
              <w:insideV w:val="single" w:sz="4" w:space="0" w:color="D9E0E7"/>
            </w:tcBorders>
            <w:vAlign w:val="center"/>
          </w:tcPr>
          <w:p>
            <w:pPr>
              <w:spacing w:before="0" w:after="0" w:line="252" w:lineRule="auto"/>
              <w:jc w:val="center"/>
            </w:pPr>
            <w:r>
              <w:rPr>
                <w:rFonts w:ascii="Calibri" w:hAnsi="Calibri" w:eastAsia="Calibri"/>
                <w:b w:val="0"/>
                <w:color w:val="1A1A1A"/>
                <w:sz w:val="17"/>
              </w:rPr>
              <w:t>5</w:t>
            </w:r>
          </w:p>
        </w:tc>
      </w:tr>
      <w:tr>
        <w:trPr>
          <w:cantSplit/>
        </w:trPr>
        <w:tc>
          <w:tcPr>
            <w:tcW w:type="dxa" w:w="2460"/>
            <w:shd w:fill="F7F9FB" w:val="clear"/>
            <w:tcMar>
              <w:top w:w="80" w:type="dxa"/>
              <w:start w:w="120" w:type="dxa"/>
              <w:bottom w:w="80" w:type="dxa"/>
              <w:end w:w="120" w:type="dxa"/>
            </w:tcMar>
            <w:tcBorders>
              <w:top w:val="single" w:sz="4" w:space="0" w:color="D9E0E7"/>
              <w:left w:val="single" w:sz="4" w:space="0" w:color="D9E0E7"/>
              <w:bottom w:val="single" w:sz="4" w:space="0" w:color="D9E0E7"/>
              <w:right w:val="single" w:sz="4" w:space="0" w:color="D9E0E7"/>
              <w:insideH w:val="single" w:sz="4" w:space="0" w:color="D9E0E7"/>
              <w:insideV w:val="single" w:sz="4" w:space="0" w:color="D9E0E7"/>
            </w:tcBorders>
            <w:vAlign w:val="center"/>
          </w:tcPr>
          <w:p>
            <w:pPr>
              <w:spacing w:before="0" w:after="0" w:line="252" w:lineRule="auto"/>
            </w:pPr>
            <w:r>
              <w:rPr>
                <w:rFonts w:ascii="Calibri" w:hAnsi="Calibri" w:eastAsia="Calibri"/>
                <w:b/>
                <w:color w:val="1A1A1A"/>
                <w:sz w:val="17"/>
              </w:rPr>
              <w:t>ELS intended design*</w:t>
            </w:r>
          </w:p>
        </w:tc>
        <w:tc>
          <w:tcPr>
            <w:tcW w:type="dxa" w:w="1050"/>
            <w:shd w:fill="F7F9FB" w:val="clear"/>
            <w:tcMar>
              <w:top w:w="80" w:type="dxa"/>
              <w:start w:w="120" w:type="dxa"/>
              <w:bottom w:w="80" w:type="dxa"/>
              <w:end w:w="120" w:type="dxa"/>
            </w:tcMar>
            <w:tcBorders>
              <w:top w:val="single" w:sz="4" w:space="0" w:color="D9E0E7"/>
              <w:left w:val="single" w:sz="4" w:space="0" w:color="D9E0E7"/>
              <w:bottom w:val="single" w:sz="4" w:space="0" w:color="D9E0E7"/>
              <w:right w:val="single" w:sz="4" w:space="0" w:color="D9E0E7"/>
              <w:insideH w:val="single" w:sz="4" w:space="0" w:color="D9E0E7"/>
              <w:insideV w:val="single" w:sz="4" w:space="0" w:color="D9E0E7"/>
            </w:tcBorders>
            <w:vAlign w:val="center"/>
          </w:tcPr>
          <w:p>
            <w:pPr>
              <w:spacing w:before="0" w:after="0" w:line="252" w:lineRule="auto"/>
              <w:jc w:val="center"/>
            </w:pPr>
            <w:r>
              <w:rPr>
                <w:rFonts w:ascii="Calibri" w:hAnsi="Calibri" w:eastAsia="Calibri"/>
                <w:b w:val="0"/>
                <w:color w:val="1A1A1A"/>
                <w:sz w:val="17"/>
              </w:rPr>
              <w:t>5</w:t>
            </w:r>
          </w:p>
        </w:tc>
        <w:tc>
          <w:tcPr>
            <w:tcW w:type="dxa" w:w="1050"/>
            <w:shd w:fill="F7F9FB" w:val="clear"/>
            <w:tcMar>
              <w:top w:w="80" w:type="dxa"/>
              <w:start w:w="120" w:type="dxa"/>
              <w:bottom w:w="80" w:type="dxa"/>
              <w:end w:w="120" w:type="dxa"/>
            </w:tcMar>
            <w:tcBorders>
              <w:top w:val="single" w:sz="4" w:space="0" w:color="D9E0E7"/>
              <w:left w:val="single" w:sz="4" w:space="0" w:color="D9E0E7"/>
              <w:bottom w:val="single" w:sz="4" w:space="0" w:color="D9E0E7"/>
              <w:right w:val="single" w:sz="4" w:space="0" w:color="D9E0E7"/>
              <w:insideH w:val="single" w:sz="4" w:space="0" w:color="D9E0E7"/>
              <w:insideV w:val="single" w:sz="4" w:space="0" w:color="D9E0E7"/>
            </w:tcBorders>
            <w:vAlign w:val="center"/>
          </w:tcPr>
          <w:p>
            <w:pPr>
              <w:spacing w:before="0" w:after="0" w:line="252" w:lineRule="auto"/>
              <w:jc w:val="center"/>
            </w:pPr>
            <w:r>
              <w:rPr>
                <w:rFonts w:ascii="Calibri" w:hAnsi="Calibri" w:eastAsia="Calibri"/>
                <w:b w:val="0"/>
                <w:color w:val="1A1A1A"/>
                <w:sz w:val="17"/>
              </w:rPr>
              <w:t>5</w:t>
            </w:r>
          </w:p>
        </w:tc>
        <w:tc>
          <w:tcPr>
            <w:tcW w:type="dxa" w:w="1050"/>
            <w:shd w:fill="F7F9FB" w:val="clear"/>
            <w:tcMar>
              <w:top w:w="80" w:type="dxa"/>
              <w:start w:w="120" w:type="dxa"/>
              <w:bottom w:w="80" w:type="dxa"/>
              <w:end w:w="120" w:type="dxa"/>
            </w:tcMar>
            <w:tcBorders>
              <w:top w:val="single" w:sz="4" w:space="0" w:color="D9E0E7"/>
              <w:left w:val="single" w:sz="4" w:space="0" w:color="D9E0E7"/>
              <w:bottom w:val="single" w:sz="4" w:space="0" w:color="D9E0E7"/>
              <w:right w:val="single" w:sz="4" w:space="0" w:color="D9E0E7"/>
              <w:insideH w:val="single" w:sz="4" w:space="0" w:color="D9E0E7"/>
              <w:insideV w:val="single" w:sz="4" w:space="0" w:color="D9E0E7"/>
            </w:tcBorders>
            <w:vAlign w:val="center"/>
          </w:tcPr>
          <w:p>
            <w:pPr>
              <w:spacing w:before="0" w:after="0" w:line="252" w:lineRule="auto"/>
              <w:jc w:val="center"/>
            </w:pPr>
            <w:r>
              <w:rPr>
                <w:rFonts w:ascii="Calibri" w:hAnsi="Calibri" w:eastAsia="Calibri"/>
                <w:b w:val="0"/>
                <w:color w:val="1A1A1A"/>
                <w:sz w:val="17"/>
              </w:rPr>
              <w:t>5</w:t>
            </w:r>
          </w:p>
        </w:tc>
        <w:tc>
          <w:tcPr>
            <w:tcW w:type="dxa" w:w="1050"/>
            <w:shd w:fill="F7F9FB" w:val="clear"/>
            <w:tcMar>
              <w:top w:w="80" w:type="dxa"/>
              <w:start w:w="120" w:type="dxa"/>
              <w:bottom w:w="80" w:type="dxa"/>
              <w:end w:w="120" w:type="dxa"/>
            </w:tcMar>
            <w:tcBorders>
              <w:top w:val="single" w:sz="4" w:space="0" w:color="D9E0E7"/>
              <w:left w:val="single" w:sz="4" w:space="0" w:color="D9E0E7"/>
              <w:bottom w:val="single" w:sz="4" w:space="0" w:color="D9E0E7"/>
              <w:right w:val="single" w:sz="4" w:space="0" w:color="D9E0E7"/>
              <w:insideH w:val="single" w:sz="4" w:space="0" w:color="D9E0E7"/>
              <w:insideV w:val="single" w:sz="4" w:space="0" w:color="D9E0E7"/>
            </w:tcBorders>
            <w:vAlign w:val="center"/>
          </w:tcPr>
          <w:p>
            <w:pPr>
              <w:spacing w:before="0" w:after="0" w:line="252" w:lineRule="auto"/>
              <w:jc w:val="center"/>
            </w:pPr>
            <w:r>
              <w:rPr>
                <w:rFonts w:ascii="Calibri" w:hAnsi="Calibri" w:eastAsia="Calibri"/>
                <w:b w:val="0"/>
                <w:color w:val="1A1A1A"/>
                <w:sz w:val="17"/>
              </w:rPr>
              <w:t>4</w:t>
            </w:r>
          </w:p>
        </w:tc>
        <w:tc>
          <w:tcPr>
            <w:tcW w:type="dxa" w:w="1350"/>
            <w:shd w:fill="F7F9FB" w:val="clear"/>
            <w:tcMar>
              <w:top w:w="80" w:type="dxa"/>
              <w:start w:w="120" w:type="dxa"/>
              <w:bottom w:w="80" w:type="dxa"/>
              <w:end w:w="120" w:type="dxa"/>
            </w:tcMar>
            <w:tcBorders>
              <w:top w:val="single" w:sz="4" w:space="0" w:color="D9E0E7"/>
              <w:left w:val="single" w:sz="4" w:space="0" w:color="D9E0E7"/>
              <w:bottom w:val="single" w:sz="4" w:space="0" w:color="D9E0E7"/>
              <w:right w:val="single" w:sz="4" w:space="0" w:color="D9E0E7"/>
              <w:insideH w:val="single" w:sz="4" w:space="0" w:color="D9E0E7"/>
              <w:insideV w:val="single" w:sz="4" w:space="0" w:color="D9E0E7"/>
            </w:tcBorders>
            <w:vAlign w:val="center"/>
          </w:tcPr>
          <w:p>
            <w:pPr>
              <w:spacing w:before="0" w:after="0" w:line="252" w:lineRule="auto"/>
              <w:jc w:val="center"/>
            </w:pPr>
            <w:r>
              <w:rPr>
                <w:rFonts w:ascii="Calibri" w:hAnsi="Calibri" w:eastAsia="Calibri"/>
                <w:b w:val="0"/>
                <w:color w:val="1A1A1A"/>
                <w:sz w:val="17"/>
              </w:rPr>
              <w:t>2</w:t>
            </w:r>
          </w:p>
        </w:tc>
        <w:tc>
          <w:tcPr>
            <w:tcW w:type="dxa" w:w="1350"/>
            <w:shd w:fill="F7F9FB" w:val="clear"/>
            <w:tcMar>
              <w:top w:w="80" w:type="dxa"/>
              <w:start w:w="120" w:type="dxa"/>
              <w:bottom w:w="80" w:type="dxa"/>
              <w:end w:w="120" w:type="dxa"/>
            </w:tcMar>
            <w:tcBorders>
              <w:top w:val="single" w:sz="4" w:space="0" w:color="D9E0E7"/>
              <w:left w:val="single" w:sz="4" w:space="0" w:color="D9E0E7"/>
              <w:bottom w:val="single" w:sz="4" w:space="0" w:color="D9E0E7"/>
              <w:right w:val="single" w:sz="4" w:space="0" w:color="D9E0E7"/>
              <w:insideH w:val="single" w:sz="4" w:space="0" w:color="D9E0E7"/>
              <w:insideV w:val="single" w:sz="4" w:space="0" w:color="D9E0E7"/>
            </w:tcBorders>
            <w:vAlign w:val="center"/>
          </w:tcPr>
          <w:p>
            <w:pPr>
              <w:spacing w:before="0" w:after="0" w:line="252" w:lineRule="auto"/>
              <w:jc w:val="center"/>
            </w:pPr>
            <w:r>
              <w:rPr>
                <w:rFonts w:ascii="Calibri" w:hAnsi="Calibri" w:eastAsia="Calibri"/>
                <w:b w:val="0"/>
                <w:color w:val="1A1A1A"/>
                <w:sz w:val="17"/>
              </w:rPr>
              <w:t>5</w:t>
            </w:r>
          </w:p>
        </w:tc>
      </w:tr>
    </w:tbl>
    <w:p>
      <w:pPr>
        <w:spacing w:after="200"/>
        <w:keepLines/>
      </w:pPr>
      <w:r>
        <w:rPr>
          <w:rFonts w:ascii="Calibri" w:hAnsi="Calibri" w:eastAsia="Calibri"/>
          <w:i/>
          <w:color w:val="5F6B76"/>
        </w:rPr>
        <w:t>* Intended design only. The low specialist-authority score is deliberate: the service should navigate to specialists, not impersonate them.</w:t>
      </w:r>
    </w:p>
    <w:p>
      <w:pPr>
        <w:pStyle w:val="Heading2"/>
        <w:keepNext/>
      </w:pPr>
      <w:r>
        <w:t>2.1 Strategic reading of the map</w:t>
      </w:r>
    </w:p>
    <w:p>
      <w:pPr>
        <w:numPr>
          <w:ilvl w:val="0"/>
          <w:numId w:val="10"/>
        </w:numPr>
        <w:spacing w:after="80" w:line="280" w:lineRule="auto"/>
        <w:keepLines/>
      </w:pPr>
      <w:r>
        <w:rPr>
          <w:rFonts w:ascii="Calibri" w:hAnsi="Calibri" w:eastAsia="Calibri"/>
        </w:rPr>
        <w:t>The white space is integration. Most alternatives are strong in one or two jobs and weak elsewhere.</w:t>
      </w:r>
    </w:p>
    <w:p>
      <w:pPr>
        <w:numPr>
          <w:ilvl w:val="0"/>
          <w:numId w:val="10"/>
        </w:numPr>
        <w:spacing w:after="80" w:line="280" w:lineRule="auto"/>
        <w:keepLines/>
      </w:pPr>
      <w:r>
        <w:rPr>
          <w:rFonts w:ascii="Calibri" w:hAnsi="Calibri" w:eastAsia="Calibri"/>
        </w:rPr>
        <w:t>The strongest direct competitors are divorce coaches because they combine emotional support, situational relevance, decision help and messaging.</w:t>
      </w:r>
    </w:p>
    <w:p>
      <w:pPr>
        <w:numPr>
          <w:ilvl w:val="0"/>
          <w:numId w:val="10"/>
        </w:numPr>
        <w:spacing w:after="80" w:line="280" w:lineRule="auto"/>
        <w:keepLines/>
      </w:pPr>
      <w:r>
        <w:rPr>
          <w:rFonts w:ascii="Calibri" w:hAnsi="Calibri" w:eastAsia="Calibri"/>
        </w:rPr>
        <w:t>The strongest trust competitor is therapy. Buyers may ask why they should pay more for a less-regulated service.</w:t>
      </w:r>
    </w:p>
    <w:p>
      <w:pPr>
        <w:numPr>
          <w:ilvl w:val="0"/>
          <w:numId w:val="10"/>
        </w:numPr>
        <w:spacing w:after="80" w:line="280" w:lineRule="auto"/>
        <w:keepLines/>
      </w:pPr>
      <w:r>
        <w:rPr>
          <w:rFonts w:ascii="Calibri" w:hAnsi="Calibri" w:eastAsia="Calibri"/>
        </w:rPr>
        <w:t>The strongest practical competitor is a PA, concierge or accountability coach. These services expose whether ‘hands-on help’ is real capacity or merely supportive conversation.</w:t>
      </w:r>
    </w:p>
    <w:p>
      <w:pPr>
        <w:numPr>
          <w:ilvl w:val="0"/>
          <w:numId w:val="10"/>
        </w:numPr>
        <w:spacing w:after="80" w:line="280" w:lineRule="auto"/>
        <w:keepLines/>
      </w:pPr>
      <w:r>
        <w:rPr>
          <w:rFonts w:ascii="Calibri" w:hAnsi="Calibri" w:eastAsia="Calibri"/>
        </w:rPr>
        <w:t>The strongest price competitor is self-reliance supported by friends, free information and low-cost tools.</w:t>
      </w:r>
    </w:p>
    <w:p>
      <w:pPr>
        <w:pStyle w:val="Heading1"/>
        <w:keepNext/>
      </w:pPr>
      <w:r>
        <w:t>3. Detailed assessment of each alternative</w:t>
      </w:r>
    </w:p>
    <w:p>
      <w:pPr>
        <w:pStyle w:val="Heading2"/>
        <w:keepNext/>
      </w:pPr>
      <w:r>
        <w:t>3.1 Doing nothing, self-reliance, friends and family</w:t>
      </w:r>
    </w:p>
    <w:p>
      <w:pPr>
        <w:keepLines/>
      </w:pPr>
      <w:r>
        <w:rPr>
          <w:rFonts w:ascii="Calibri" w:hAnsi="Calibri" w:eastAsia="Calibri"/>
          <w:i w:val="0"/>
        </w:rPr>
        <w:t>Description and price: The person delays a purchase, works it out alone, or relies on trusted people. Direct price is £0, although the hidden cost may be time, emotional load, stalled decisions or strain on relationships.</w:t>
      </w:r>
    </w:p>
    <w:p>
      <w:pPr>
        <w:spacing w:before="40" w:after="40"/>
      </w:pPr>
      <w:r>
        <w:rPr>
          <w:rFonts w:ascii="Calibri" w:hAnsi="Calibri" w:eastAsia="Calibri"/>
          <w:b/>
          <w:color w:val="2F6B4F"/>
          <w:sz w:val="21"/>
        </w:rPr>
        <w:t>Pros</w:t>
      </w:r>
    </w:p>
    <w:p>
      <w:pPr>
        <w:numPr>
          <w:ilvl w:val="0"/>
          <w:numId w:val="10"/>
        </w:numPr>
        <w:spacing w:after="40" w:line="280" w:lineRule="auto"/>
        <w:keepLines/>
      </w:pPr>
      <w:r>
        <w:rPr>
          <w:rFonts w:ascii="Calibri" w:hAnsi="Calibri" w:eastAsia="Calibri"/>
        </w:rPr>
        <w:t>Immediate, familiar and financially accessible.</w:t>
      </w:r>
    </w:p>
    <w:p>
      <w:pPr>
        <w:numPr>
          <w:ilvl w:val="0"/>
          <w:numId w:val="10"/>
        </w:numPr>
        <w:spacing w:after="40" w:line="280" w:lineRule="auto"/>
        <w:keepLines/>
      </w:pPr>
      <w:r>
        <w:rPr>
          <w:rFonts w:ascii="Calibri" w:hAnsi="Calibri" w:eastAsia="Calibri"/>
        </w:rPr>
        <w:t>Can provide love, context, practical help and social belonging.</w:t>
      </w:r>
    </w:p>
    <w:p>
      <w:pPr>
        <w:numPr>
          <w:ilvl w:val="0"/>
          <w:numId w:val="10"/>
        </w:numPr>
        <w:spacing w:after="40" w:line="280" w:lineRule="auto"/>
        <w:keepLines/>
      </w:pPr>
      <w:r>
        <w:rPr>
          <w:rFonts w:ascii="Calibri" w:hAnsi="Calibri" w:eastAsia="Calibri"/>
        </w:rPr>
        <w:t>Preserves autonomy and avoids the risk of a poor professional fit.</w:t>
      </w:r>
    </w:p>
    <w:p>
      <w:pPr>
        <w:spacing w:before="80" w:after="40"/>
      </w:pPr>
      <w:r>
        <w:rPr>
          <w:rFonts w:ascii="Calibri" w:hAnsi="Calibri" w:eastAsia="Calibri"/>
          <w:b/>
          <w:color w:val="9B1C1C"/>
          <w:sz w:val="21"/>
        </w:rPr>
        <w:t>Cons / limits</w:t>
      </w:r>
    </w:p>
    <w:p>
      <w:pPr>
        <w:numPr>
          <w:ilvl w:val="0"/>
          <w:numId w:val="10"/>
        </w:numPr>
        <w:spacing w:after="40" w:line="280" w:lineRule="auto"/>
        <w:keepLines/>
      </w:pPr>
      <w:r>
        <w:rPr>
          <w:rFonts w:ascii="Calibri" w:hAnsi="Calibri" w:eastAsia="Calibri"/>
        </w:rPr>
        <w:t>Advice can be biased, inconsistent or entangled with loyalties.</w:t>
      </w:r>
    </w:p>
    <w:p>
      <w:pPr>
        <w:numPr>
          <w:ilvl w:val="0"/>
          <w:numId w:val="10"/>
        </w:numPr>
        <w:spacing w:after="40" w:line="280" w:lineRule="auto"/>
        <w:keepLines/>
      </w:pPr>
      <w:r>
        <w:rPr>
          <w:rFonts w:ascii="Calibri" w:hAnsi="Calibri" w:eastAsia="Calibri"/>
        </w:rPr>
        <w:t>Loved ones may be emotionally involved, exhausted or unavailable at the exact moments of need.</w:t>
      </w:r>
    </w:p>
    <w:p>
      <w:pPr>
        <w:numPr>
          <w:ilvl w:val="0"/>
          <w:numId w:val="10"/>
        </w:numPr>
        <w:spacing w:after="40" w:line="280" w:lineRule="auto"/>
        <w:keepLines/>
      </w:pPr>
      <w:r>
        <w:rPr>
          <w:rFonts w:ascii="Calibri" w:hAnsi="Calibri" w:eastAsia="Calibri"/>
        </w:rPr>
        <w:t>Usually lacks structure, confidentiality, specialist navigation and reliable follow-through.</w:t>
      </w:r>
    </w:p>
    <w:p>
      <w:pPr>
        <w:spacing w:before="160" w:after="200" w:line="264" w:lineRule="auto"/>
        <w:ind w:left="230" w:right="173"/>
        <w:shd w:fill="EAF2F8" w:val="clear"/>
        <w:pBdr>
          <w:left w:val="single" w:sz="18" w:space="8" w:color="2E74B5"/>
        </w:pBdr>
        <w:keepLines/>
      </w:pPr>
      <w:r>
        <w:rPr>
          <w:rFonts w:ascii="Calibri" w:hAnsi="Calibri" w:eastAsia="Calibri"/>
          <w:b/>
          <w:color w:val="2E74B5"/>
          <w:sz w:val="19"/>
        </w:rPr>
        <w:t xml:space="preserve">COMPETITIVE IMPLICATION  </w:t>
      </w:r>
      <w:r>
        <w:rPr>
          <w:rFonts w:ascii="Calibri" w:hAnsi="Calibri" w:eastAsia="Calibri"/>
          <w:color w:val="0B2545"/>
          <w:sz w:val="21"/>
        </w:rPr>
        <w:t>This is the real default. The service must demonstrate why a neutral, structured relationship changes the outcome—not merely offer another sympathetic conversation.</w:t>
      </w:r>
    </w:p>
    <w:p>
      <w:pPr>
        <w:pStyle w:val="Heading2"/>
        <w:keepNext/>
      </w:pPr>
      <w:r>
        <w:t>3.2 NHS, EAP, charities and crisis listening</w:t>
      </w:r>
    </w:p>
    <w:p>
      <w:pPr>
        <w:keepLines/>
      </w:pPr>
      <w:r>
        <w:rPr>
          <w:rFonts w:ascii="Calibri" w:hAnsi="Calibri" w:eastAsia="Calibri"/>
          <w:i w:val="0"/>
        </w:rPr>
        <w:t>Description and price: NHS Talking Therapies provides evidence-based treatment for specified anxiety and depression presentations and is free for patients; many adults in England can self-refer. Employer EAPs, universities and charities may also provide short-term sessions. Samaritans and Shout provide free listening or crisis support. [2,27–28]</w:t>
      </w:r>
    </w:p>
    <w:p>
      <w:pPr>
        <w:spacing w:before="40" w:after="40"/>
      </w:pPr>
      <w:r>
        <w:rPr>
          <w:rFonts w:ascii="Calibri" w:hAnsi="Calibri" w:eastAsia="Calibri"/>
          <w:b/>
          <w:color w:val="2F6B4F"/>
          <w:sz w:val="21"/>
        </w:rPr>
        <w:t>Pros</w:t>
      </w:r>
    </w:p>
    <w:p>
      <w:pPr>
        <w:numPr>
          <w:ilvl w:val="0"/>
          <w:numId w:val="10"/>
        </w:numPr>
        <w:spacing w:after="40" w:line="280" w:lineRule="auto"/>
        <w:keepLines/>
      </w:pPr>
      <w:r>
        <w:rPr>
          <w:rFonts w:ascii="Calibri" w:hAnsi="Calibri" w:eastAsia="Calibri"/>
        </w:rPr>
        <w:t>Free at point of use and embedded in clearer clinical or safeguarding pathways.</w:t>
      </w:r>
    </w:p>
    <w:p>
      <w:pPr>
        <w:numPr>
          <w:ilvl w:val="0"/>
          <w:numId w:val="10"/>
        </w:numPr>
        <w:spacing w:after="40" w:line="280" w:lineRule="auto"/>
        <w:keepLines/>
      </w:pPr>
      <w:r>
        <w:rPr>
          <w:rFonts w:ascii="Calibri" w:hAnsi="Calibri" w:eastAsia="Calibri"/>
        </w:rPr>
        <w:t>Appropriate route for clinical symptoms, acute distress and crisis support.</w:t>
      </w:r>
    </w:p>
    <w:p>
      <w:pPr>
        <w:numPr>
          <w:ilvl w:val="0"/>
          <w:numId w:val="10"/>
        </w:numPr>
        <w:spacing w:after="40" w:line="280" w:lineRule="auto"/>
        <w:keepLines/>
      </w:pPr>
      <w:r>
        <w:rPr>
          <w:rFonts w:ascii="Calibri" w:hAnsi="Calibri" w:eastAsia="Calibri"/>
        </w:rPr>
        <w:t>Strong public trust and referral legitimacy.</w:t>
      </w:r>
    </w:p>
    <w:p>
      <w:pPr>
        <w:spacing w:before="80" w:after="40"/>
      </w:pPr>
      <w:r>
        <w:rPr>
          <w:rFonts w:ascii="Calibri" w:hAnsi="Calibri" w:eastAsia="Calibri"/>
          <w:b/>
          <w:color w:val="9B1C1C"/>
          <w:sz w:val="21"/>
        </w:rPr>
        <w:t>Cons / limits</w:t>
      </w:r>
    </w:p>
    <w:p>
      <w:pPr>
        <w:numPr>
          <w:ilvl w:val="0"/>
          <w:numId w:val="10"/>
        </w:numPr>
        <w:spacing w:after="40" w:line="280" w:lineRule="auto"/>
        <w:keepLines/>
      </w:pPr>
      <w:r>
        <w:rPr>
          <w:rFonts w:ascii="Calibri" w:hAnsi="Calibri" w:eastAsia="Calibri"/>
        </w:rPr>
        <w:t>Eligibility, waiting time, locality and number of sessions may limit access or continuity.</w:t>
      </w:r>
    </w:p>
    <w:p>
      <w:pPr>
        <w:numPr>
          <w:ilvl w:val="0"/>
          <w:numId w:val="10"/>
        </w:numPr>
        <w:spacing w:after="40" w:line="280" w:lineRule="auto"/>
        <w:keepLines/>
      </w:pPr>
      <w:r>
        <w:rPr>
          <w:rFonts w:ascii="Calibri" w:hAnsi="Calibri" w:eastAsia="Calibri"/>
        </w:rPr>
        <w:t>Services are designed around mental-health or crisis needs, not whole-life rebuilding, detailed administration or open-ended practical sparring.</w:t>
      </w:r>
    </w:p>
    <w:p>
      <w:pPr>
        <w:numPr>
          <w:ilvl w:val="0"/>
          <w:numId w:val="10"/>
        </w:numPr>
        <w:spacing w:after="40" w:line="280" w:lineRule="auto"/>
        <w:keepLines/>
      </w:pPr>
      <w:r>
        <w:rPr>
          <w:rFonts w:ascii="Calibri" w:hAnsi="Calibri" w:eastAsia="Calibri"/>
        </w:rPr>
        <w:t>A client may still need legal, financial, career or day-to-day help elsewhere.</w:t>
      </w:r>
    </w:p>
    <w:p>
      <w:pPr>
        <w:spacing w:before="160" w:after="200" w:line="264" w:lineRule="auto"/>
        <w:ind w:left="230" w:right="173"/>
        <w:shd w:fill="EAF2F8" w:val="clear"/>
        <w:pBdr>
          <w:left w:val="single" w:sz="18" w:space="8" w:color="2E74B5"/>
        </w:pBdr>
        <w:keepLines/>
      </w:pPr>
      <w:r>
        <w:rPr>
          <w:rFonts w:ascii="Calibri" w:hAnsi="Calibri" w:eastAsia="Calibri"/>
          <w:b/>
          <w:color w:val="2E74B5"/>
          <w:sz w:val="19"/>
        </w:rPr>
        <w:t xml:space="preserve">COMPETITIVE IMPLICATION  </w:t>
      </w:r>
      <w:r>
        <w:rPr>
          <w:rFonts w:ascii="Calibri" w:hAnsi="Calibri" w:eastAsia="Calibri"/>
          <w:color w:val="0B2545"/>
          <w:sz w:val="21"/>
        </w:rPr>
        <w:t>Emotional Life Support should be designed to refer into and, where appropriate, complement these services. Competing on ‘support when distressed’ would be unsafe and commercially weak.</w:t>
      </w:r>
    </w:p>
    <w:p>
      <w:pPr>
        <w:pStyle w:val="Heading2"/>
        <w:keepNext/>
      </w:pPr>
      <w:r>
        <w:t>3.3 Private counselling and psychotherapy</w:t>
      </w:r>
    </w:p>
    <w:p>
      <w:pPr>
        <w:keepLines/>
      </w:pPr>
      <w:r>
        <w:rPr>
          <w:rFonts w:ascii="Calibri" w:hAnsi="Calibri" w:eastAsia="Calibri"/>
          <w:i w:val="0"/>
        </w:rPr>
        <w:t>Description and price: A trained practitioner offers confidential talking therapy, commonly in weekly 50–60 minute sessions. More than half of BACP-directory listings advertise £40–£60 per session; Counselling Directory reported an average listed fee of £60.60 in January 2026. Weekly service therefore commonly normalises to approximately £173–£263 per month, with higher-cost specialists reaching £100–£150+ per session. [3–4]</w:t>
      </w:r>
    </w:p>
    <w:p>
      <w:pPr>
        <w:spacing w:before="40" w:after="40"/>
      </w:pPr>
      <w:r>
        <w:rPr>
          <w:rFonts w:ascii="Calibri" w:hAnsi="Calibri" w:eastAsia="Calibri"/>
          <w:b/>
          <w:color w:val="2F6B4F"/>
          <w:sz w:val="21"/>
        </w:rPr>
        <w:t>Pros</w:t>
      </w:r>
    </w:p>
    <w:p>
      <w:pPr>
        <w:numPr>
          <w:ilvl w:val="0"/>
          <w:numId w:val="10"/>
        </w:numPr>
        <w:spacing w:after="40" w:line="280" w:lineRule="auto"/>
        <w:keepLines/>
      </w:pPr>
      <w:r>
        <w:rPr>
          <w:rFonts w:ascii="Calibri" w:hAnsi="Calibri" w:eastAsia="Calibri"/>
        </w:rPr>
        <w:t>Strongest alternative for emotional depth, mental-health formulation, trauma-aware work and professional boundaries.</w:t>
      </w:r>
    </w:p>
    <w:p>
      <w:pPr>
        <w:numPr>
          <w:ilvl w:val="0"/>
          <w:numId w:val="10"/>
        </w:numPr>
        <w:spacing w:after="40" w:line="280" w:lineRule="auto"/>
        <w:keepLines/>
      </w:pPr>
      <w:r>
        <w:rPr>
          <w:rFonts w:ascii="Calibri" w:hAnsi="Calibri" w:eastAsia="Calibri"/>
        </w:rPr>
        <w:t>Recognisable professional registers, ethics, supervision and complaints routes improve trust when a registered practitioner is chosen.</w:t>
      </w:r>
    </w:p>
    <w:p>
      <w:pPr>
        <w:numPr>
          <w:ilvl w:val="0"/>
          <w:numId w:val="10"/>
        </w:numPr>
        <w:spacing w:after="40" w:line="280" w:lineRule="auto"/>
        <w:keepLines/>
      </w:pPr>
      <w:r>
        <w:rPr>
          <w:rFonts w:ascii="Calibri" w:hAnsi="Calibri" w:eastAsia="Calibri"/>
        </w:rPr>
        <w:t>Can address patterns and distress that coaching should not treat.</w:t>
      </w:r>
    </w:p>
    <w:p>
      <w:pPr>
        <w:spacing w:before="80" w:after="40"/>
      </w:pPr>
      <w:r>
        <w:rPr>
          <w:rFonts w:ascii="Calibri" w:hAnsi="Calibri" w:eastAsia="Calibri"/>
          <w:b/>
          <w:color w:val="9B1C1C"/>
          <w:sz w:val="21"/>
        </w:rPr>
        <w:t>Cons / limits</w:t>
      </w:r>
    </w:p>
    <w:p>
      <w:pPr>
        <w:numPr>
          <w:ilvl w:val="0"/>
          <w:numId w:val="10"/>
        </w:numPr>
        <w:spacing w:after="40" w:line="280" w:lineRule="auto"/>
        <w:keepLines/>
      </w:pPr>
      <w:r>
        <w:rPr>
          <w:rFonts w:ascii="Calibri" w:hAnsi="Calibri" w:eastAsia="Calibri"/>
        </w:rPr>
        <w:t>Not normally designed to organise the client’s practical life, coordinate specialists or complete tasks.</w:t>
      </w:r>
    </w:p>
    <w:p>
      <w:pPr>
        <w:numPr>
          <w:ilvl w:val="0"/>
          <w:numId w:val="10"/>
        </w:numPr>
        <w:spacing w:after="40" w:line="280" w:lineRule="auto"/>
        <w:keepLines/>
      </w:pPr>
      <w:r>
        <w:rPr>
          <w:rFonts w:ascii="Calibri" w:hAnsi="Calibri" w:eastAsia="Calibri"/>
        </w:rPr>
        <w:t>Between-session access and rapid tactical decision support are often limited.</w:t>
      </w:r>
    </w:p>
    <w:p>
      <w:pPr>
        <w:numPr>
          <w:ilvl w:val="0"/>
          <w:numId w:val="10"/>
        </w:numPr>
        <w:spacing w:after="40" w:line="280" w:lineRule="auto"/>
        <w:keepLines/>
      </w:pPr>
      <w:r>
        <w:rPr>
          <w:rFonts w:ascii="Calibri" w:hAnsi="Calibri" w:eastAsia="Calibri"/>
        </w:rPr>
        <w:t>The buyer may experience progress as less concrete if goals and outcomes are not explicit; fit varies by practitioner and modality.</w:t>
      </w:r>
    </w:p>
    <w:p>
      <w:pPr>
        <w:spacing w:before="160" w:after="200" w:line="264" w:lineRule="auto"/>
        <w:ind w:left="230" w:right="173"/>
        <w:shd w:fill="EAF2F8" w:val="clear"/>
        <w:pBdr>
          <w:left w:val="single" w:sz="18" w:space="8" w:color="2E74B5"/>
        </w:pBdr>
        <w:keepLines/>
      </w:pPr>
      <w:r>
        <w:rPr>
          <w:rFonts w:ascii="Calibri" w:hAnsi="Calibri" w:eastAsia="Calibri"/>
          <w:b/>
          <w:color w:val="2E74B5"/>
          <w:sz w:val="19"/>
        </w:rPr>
        <w:t xml:space="preserve">COMPETITIVE IMPLICATION  </w:t>
      </w:r>
      <w:r>
        <w:rPr>
          <w:rFonts w:ascii="Calibri" w:hAnsi="Calibri" w:eastAsia="Calibri"/>
          <w:color w:val="0B2545"/>
          <w:sz w:val="21"/>
        </w:rPr>
        <w:t>A £1,000 service costs roughly four times the current weekly-therapy price anchor. It needs a different job, more access and tangible practical value—not a claim that it is deeper or better than therapy.</w:t>
      </w:r>
    </w:p>
    <w:p>
      <w:pPr>
        <w:pStyle w:val="Heading2"/>
        <w:keepNext/>
      </w:pPr>
      <w:r>
        <w:t>3.4 Divorce coaching</w:t>
      </w:r>
    </w:p>
    <w:p>
      <w:pPr>
        <w:keepLines/>
      </w:pPr>
      <w:r>
        <w:rPr>
          <w:rFonts w:ascii="Calibri" w:hAnsi="Calibri" w:eastAsia="Calibri"/>
          <w:i w:val="0"/>
        </w:rPr>
        <w:t>Description and price: One-to-one support aimed at the emotional, communication, planning and practical demands of separation. Public examples span approximately £58–£160 per 60-minute session. Ongoing packages include £375 per month with four sessions and WhatsApp support, £520 per month with four sessions and limited text/call access, and £800 per month with four sessions, unlimited texts and one emergency call per week. [9–12]</w:t>
      </w:r>
    </w:p>
    <w:p>
      <w:pPr>
        <w:spacing w:before="40" w:after="40"/>
      </w:pPr>
      <w:r>
        <w:rPr>
          <w:rFonts w:ascii="Calibri" w:hAnsi="Calibri" w:eastAsia="Calibri"/>
          <w:b/>
          <w:color w:val="2F6B4F"/>
          <w:sz w:val="21"/>
        </w:rPr>
        <w:t>Pros</w:t>
      </w:r>
    </w:p>
    <w:p>
      <w:pPr>
        <w:numPr>
          <w:ilvl w:val="0"/>
          <w:numId w:val="10"/>
        </w:numPr>
        <w:spacing w:after="40" w:line="280" w:lineRule="auto"/>
        <w:keepLines/>
      </w:pPr>
      <w:r>
        <w:rPr>
          <w:rFonts w:ascii="Calibri" w:hAnsi="Calibri" w:eastAsia="Calibri"/>
        </w:rPr>
        <w:t>Highly recognisable trigger, language and moment of urgency.</w:t>
      </w:r>
    </w:p>
    <w:p>
      <w:pPr>
        <w:numPr>
          <w:ilvl w:val="0"/>
          <w:numId w:val="10"/>
        </w:numPr>
        <w:spacing w:after="40" w:line="280" w:lineRule="auto"/>
        <w:keepLines/>
      </w:pPr>
      <w:r>
        <w:rPr>
          <w:rFonts w:ascii="Calibri" w:hAnsi="Calibri" w:eastAsia="Calibri"/>
        </w:rPr>
        <w:t>Often combines reassurance, planning, communication support, accountability and between-session access.</w:t>
      </w:r>
    </w:p>
    <w:p>
      <w:pPr>
        <w:numPr>
          <w:ilvl w:val="0"/>
          <w:numId w:val="10"/>
        </w:numPr>
        <w:spacing w:after="40" w:line="280" w:lineRule="auto"/>
        <w:keepLines/>
      </w:pPr>
      <w:r>
        <w:rPr>
          <w:rFonts w:ascii="Calibri" w:hAnsi="Calibri" w:eastAsia="Calibri"/>
        </w:rPr>
        <w:t>Can reduce the coordination burden around legal meetings and paperwork without charging solicitor rates.</w:t>
      </w:r>
    </w:p>
    <w:p>
      <w:pPr>
        <w:spacing w:before="80" w:after="40"/>
      </w:pPr>
      <w:r>
        <w:rPr>
          <w:rFonts w:ascii="Calibri" w:hAnsi="Calibri" w:eastAsia="Calibri"/>
          <w:b/>
          <w:color w:val="9B1C1C"/>
          <w:sz w:val="21"/>
        </w:rPr>
        <w:t>Cons / limits</w:t>
      </w:r>
    </w:p>
    <w:p>
      <w:pPr>
        <w:numPr>
          <w:ilvl w:val="0"/>
          <w:numId w:val="10"/>
        </w:numPr>
        <w:spacing w:after="40" w:line="280" w:lineRule="auto"/>
        <w:keepLines/>
      </w:pPr>
      <w:r>
        <w:rPr>
          <w:rFonts w:ascii="Calibri" w:hAnsi="Calibri" w:eastAsia="Calibri"/>
        </w:rPr>
        <w:t>Life coaching is unregulated in the UK; training, scope, complaints and safeguarding vary. [5]</w:t>
      </w:r>
    </w:p>
    <w:p>
      <w:pPr>
        <w:numPr>
          <w:ilvl w:val="0"/>
          <w:numId w:val="10"/>
        </w:numPr>
        <w:spacing w:after="40" w:line="280" w:lineRule="auto"/>
        <w:keepLines/>
      </w:pPr>
      <w:r>
        <w:rPr>
          <w:rFonts w:ascii="Calibri" w:hAnsi="Calibri" w:eastAsia="Calibri"/>
        </w:rPr>
        <w:t>Some offers blur emotional support, legal-form assistance and ‘emergency’ contact without making competence boundaries obvious.</w:t>
      </w:r>
    </w:p>
    <w:p>
      <w:pPr>
        <w:numPr>
          <w:ilvl w:val="0"/>
          <w:numId w:val="10"/>
        </w:numPr>
        <w:spacing w:after="40" w:line="280" w:lineRule="auto"/>
        <w:keepLines/>
      </w:pPr>
      <w:r>
        <w:rPr>
          <w:rFonts w:ascii="Calibri" w:hAnsi="Calibri" w:eastAsia="Calibri"/>
        </w:rPr>
        <w:t>Most public proof is practitioner-selected testimonials; independent evidence for commercial divorce coaching specifically is weak.</w:t>
      </w:r>
    </w:p>
    <w:p>
      <w:pPr>
        <w:spacing w:before="160" w:after="200" w:line="264" w:lineRule="auto"/>
        <w:ind w:left="230" w:right="173"/>
        <w:shd w:fill="EAF2F8" w:val="clear"/>
        <w:pBdr>
          <w:left w:val="single" w:sz="18" w:space="8" w:color="2E74B5"/>
        </w:pBdr>
        <w:keepLines/>
      </w:pPr>
      <w:r>
        <w:rPr>
          <w:rFonts w:ascii="Calibri" w:hAnsi="Calibri" w:eastAsia="Calibri"/>
          <w:b/>
          <w:color w:val="2E74B5"/>
          <w:sz w:val="19"/>
        </w:rPr>
        <w:t xml:space="preserve">COMPETITIVE IMPLICATION  </w:t>
      </w:r>
      <w:r>
        <w:rPr>
          <w:rFonts w:ascii="Calibri" w:hAnsi="Calibri" w:eastAsia="Calibri"/>
          <w:color w:val="0B2545"/>
          <w:sz w:val="21"/>
        </w:rPr>
        <w:t>This is the closest benchmark. Emotional Life Support must either be more integrated and hands-on, or charge nearer the £375–£600 market centre while it establishes trust and evidence.</w:t>
      </w:r>
    </w:p>
    <w:p>
      <w:pPr>
        <w:pStyle w:val="Heading2"/>
        <w:keepNext/>
      </w:pPr>
      <w:r>
        <w:t>3.5 General life, transition and premium personal coaching</w:t>
      </w:r>
    </w:p>
    <w:p>
      <w:pPr>
        <w:keepLines/>
      </w:pPr>
      <w:r>
        <w:rPr>
          <w:rFonts w:ascii="Calibri" w:hAnsi="Calibri" w:eastAsia="Calibri"/>
          <w:i w:val="0"/>
        </w:rPr>
        <w:t>Description and price: Coaching helps clients clarify values, decisions and goals, then act. A public transition package costs £949 for one two-hour and three 90-minute sessions. Accountability Coaching London lists £590 per month for weekly calls and between-session checkpoints. At the premium end, Nick Hatter lists £4,320 for six weeks and £7,200 for three months. [15–16,24]</w:t>
      </w:r>
    </w:p>
    <w:p>
      <w:pPr>
        <w:spacing w:before="40" w:after="40"/>
      </w:pPr>
      <w:r>
        <w:rPr>
          <w:rFonts w:ascii="Calibri" w:hAnsi="Calibri" w:eastAsia="Calibri"/>
          <w:b/>
          <w:color w:val="2F6B4F"/>
          <w:sz w:val="21"/>
        </w:rPr>
        <w:t>Pros</w:t>
      </w:r>
    </w:p>
    <w:p>
      <w:pPr>
        <w:numPr>
          <w:ilvl w:val="0"/>
          <w:numId w:val="10"/>
        </w:numPr>
        <w:spacing w:after="40" w:line="280" w:lineRule="auto"/>
        <w:keepLines/>
      </w:pPr>
      <w:r>
        <w:rPr>
          <w:rFonts w:ascii="Calibri" w:hAnsi="Calibri" w:eastAsia="Calibri"/>
        </w:rPr>
        <w:t>Strong fit for future vision, identity, decision-making, confidence and action.</w:t>
      </w:r>
    </w:p>
    <w:p>
      <w:pPr>
        <w:numPr>
          <w:ilvl w:val="0"/>
          <w:numId w:val="10"/>
        </w:numPr>
        <w:spacing w:after="40" w:line="280" w:lineRule="auto"/>
        <w:keepLines/>
      </w:pPr>
      <w:r>
        <w:rPr>
          <w:rFonts w:ascii="Calibri" w:hAnsi="Calibri" w:eastAsia="Calibri"/>
        </w:rPr>
        <w:t>Commercial norms support packages, assessments, homework, messaging and outcomes-oriented work.</w:t>
      </w:r>
    </w:p>
    <w:p>
      <w:pPr>
        <w:numPr>
          <w:ilvl w:val="0"/>
          <w:numId w:val="10"/>
        </w:numPr>
        <w:spacing w:after="40" w:line="280" w:lineRule="auto"/>
        <w:keepLines/>
      </w:pPr>
      <w:r>
        <w:rPr>
          <w:rFonts w:ascii="Calibri" w:hAnsi="Calibri" w:eastAsia="Calibri"/>
        </w:rPr>
        <w:t>Premium examples prove that high prices exist, though not that this audience will pay them.</w:t>
      </w:r>
    </w:p>
    <w:p>
      <w:pPr>
        <w:spacing w:before="80" w:after="40"/>
      </w:pPr>
      <w:r>
        <w:rPr>
          <w:rFonts w:ascii="Calibri" w:hAnsi="Calibri" w:eastAsia="Calibri"/>
          <w:b/>
          <w:color w:val="9B1C1C"/>
          <w:sz w:val="21"/>
        </w:rPr>
        <w:t>Cons / limits</w:t>
      </w:r>
    </w:p>
    <w:p>
      <w:pPr>
        <w:numPr>
          <w:ilvl w:val="0"/>
          <w:numId w:val="10"/>
        </w:numPr>
        <w:spacing w:after="40" w:line="280" w:lineRule="auto"/>
        <w:keepLines/>
      </w:pPr>
      <w:r>
        <w:rPr>
          <w:rFonts w:ascii="Calibri" w:hAnsi="Calibri" w:eastAsia="Calibri"/>
        </w:rPr>
        <w:t>Generic ‘transformation’ language is crowded and may feel tone-deaf during acute disruption.</w:t>
      </w:r>
    </w:p>
    <w:p>
      <w:pPr>
        <w:numPr>
          <w:ilvl w:val="0"/>
          <w:numId w:val="10"/>
        </w:numPr>
        <w:spacing w:after="40" w:line="280" w:lineRule="auto"/>
        <w:keepLines/>
      </w:pPr>
      <w:r>
        <w:rPr>
          <w:rFonts w:ascii="Calibri" w:hAnsi="Calibri" w:eastAsia="Calibri"/>
        </w:rPr>
        <w:t>Quality and safeguarding vary because coaching is not regulated; an ICF credential can be a trust signal but is not statutory regulation. [5–6]</w:t>
      </w:r>
    </w:p>
    <w:p>
      <w:pPr>
        <w:numPr>
          <w:ilvl w:val="0"/>
          <w:numId w:val="10"/>
        </w:numPr>
        <w:spacing w:after="40" w:line="280" w:lineRule="auto"/>
        <w:keepLines/>
      </w:pPr>
      <w:r>
        <w:rPr>
          <w:rFonts w:ascii="Calibri" w:hAnsi="Calibri" w:eastAsia="Calibri"/>
        </w:rPr>
        <w:t>Premium pricing often rests on founder reputation, affluent audiences and social proof that a new service will not initially possess.</w:t>
      </w:r>
    </w:p>
    <w:p>
      <w:pPr>
        <w:spacing w:before="160" w:after="200" w:line="264" w:lineRule="auto"/>
        <w:ind w:left="230" w:right="173"/>
        <w:shd w:fill="EAF2F8" w:val="clear"/>
        <w:pBdr>
          <w:left w:val="single" w:sz="18" w:space="8" w:color="2E74B5"/>
        </w:pBdr>
        <w:keepLines/>
      </w:pPr>
      <w:r>
        <w:rPr>
          <w:rFonts w:ascii="Calibri" w:hAnsi="Calibri" w:eastAsia="Calibri"/>
          <w:b/>
          <w:color w:val="2E74B5"/>
          <w:sz w:val="19"/>
        </w:rPr>
        <w:t xml:space="preserve">COMPETITIVE IMPLICATION  </w:t>
      </w:r>
      <w:r>
        <w:rPr>
          <w:rFonts w:ascii="Calibri" w:hAnsi="Calibri" w:eastAsia="Calibri"/>
          <w:color w:val="0B2545"/>
          <w:sz w:val="21"/>
        </w:rPr>
        <w:t>Use coaching methods internally, but acquire customers through the event and job they recognise. ‘Life coaching’ alone is unlikely to communicate the required safety, specificity or practical help.</w:t>
      </w:r>
    </w:p>
    <w:p>
      <w:pPr>
        <w:pStyle w:val="Heading2"/>
        <w:keepNext/>
      </w:pPr>
      <w:r>
        <w:t>3.6 Courses, workshops, memberships and peer groups</w:t>
      </w:r>
    </w:p>
    <w:p>
      <w:pPr>
        <w:keepLines/>
      </w:pPr>
      <w:r>
        <w:rPr>
          <w:rFonts w:ascii="Calibri" w:hAnsi="Calibri" w:eastAsia="Calibri"/>
          <w:i w:val="0"/>
        </w:rPr>
        <w:t>Description and price: Scalable programmes combine curriculum, exercises and peer connection. Examples include amicable space at £20 per month; Divorce Recovery Workshop residential weekends at £190–£280; an online course at £249, a 12-week group version at £699, and hybrid upgrades at £899–£1,099. [13,17–18]</w:t>
      </w:r>
    </w:p>
    <w:p>
      <w:pPr>
        <w:spacing w:before="40" w:after="40"/>
      </w:pPr>
      <w:r>
        <w:rPr>
          <w:rFonts w:ascii="Calibri" w:hAnsi="Calibri" w:eastAsia="Calibri"/>
          <w:b/>
          <w:color w:val="2F6B4F"/>
          <w:sz w:val="21"/>
        </w:rPr>
        <w:t>Pros</w:t>
      </w:r>
    </w:p>
    <w:p>
      <w:pPr>
        <w:numPr>
          <w:ilvl w:val="0"/>
          <w:numId w:val="10"/>
        </w:numPr>
        <w:spacing w:after="40" w:line="280" w:lineRule="auto"/>
        <w:keepLines/>
      </w:pPr>
      <w:r>
        <w:rPr>
          <w:rFonts w:ascii="Calibri" w:hAnsi="Calibri" w:eastAsia="Calibri"/>
        </w:rPr>
        <w:t>Normalises the experience and reduces isolation through people who ‘get it’.</w:t>
      </w:r>
    </w:p>
    <w:p>
      <w:pPr>
        <w:numPr>
          <w:ilvl w:val="0"/>
          <w:numId w:val="10"/>
        </w:numPr>
        <w:spacing w:after="40" w:line="280" w:lineRule="auto"/>
        <w:keepLines/>
      </w:pPr>
      <w:r>
        <w:rPr>
          <w:rFonts w:ascii="Calibri" w:hAnsi="Calibri" w:eastAsia="Calibri"/>
        </w:rPr>
        <w:t>Much lower cost per person and a clear curriculum can make progress feel structured.</w:t>
      </w:r>
    </w:p>
    <w:p>
      <w:pPr>
        <w:numPr>
          <w:ilvl w:val="0"/>
          <w:numId w:val="10"/>
        </w:numPr>
        <w:spacing w:after="40" w:line="280" w:lineRule="auto"/>
        <w:keepLines/>
      </w:pPr>
      <w:r>
        <w:rPr>
          <w:rFonts w:ascii="Calibri" w:hAnsi="Calibri" w:eastAsia="Calibri"/>
        </w:rPr>
        <w:t>Useful future scale route for Emotional Life Support once repeatable elements are discovered.</w:t>
      </w:r>
    </w:p>
    <w:p>
      <w:pPr>
        <w:spacing w:before="80" w:after="40"/>
      </w:pPr>
      <w:r>
        <w:rPr>
          <w:rFonts w:ascii="Calibri" w:hAnsi="Calibri" w:eastAsia="Calibri"/>
          <w:b/>
          <w:color w:val="9B1C1C"/>
          <w:sz w:val="21"/>
        </w:rPr>
        <w:t>Cons / limits</w:t>
      </w:r>
    </w:p>
    <w:p>
      <w:pPr>
        <w:numPr>
          <w:ilvl w:val="0"/>
          <w:numId w:val="10"/>
        </w:numPr>
        <w:spacing w:after="40" w:line="280" w:lineRule="auto"/>
        <w:keepLines/>
      </w:pPr>
      <w:r>
        <w:rPr>
          <w:rFonts w:ascii="Calibri" w:hAnsi="Calibri" w:eastAsia="Calibri"/>
        </w:rPr>
        <w:t>Group timing, disclosure and dynamics do not suit everyone; risk and abuse contexts require careful screening.</w:t>
      </w:r>
    </w:p>
    <w:p>
      <w:pPr>
        <w:numPr>
          <w:ilvl w:val="0"/>
          <w:numId w:val="10"/>
        </w:numPr>
        <w:spacing w:after="40" w:line="280" w:lineRule="auto"/>
        <w:keepLines/>
      </w:pPr>
      <w:r>
        <w:rPr>
          <w:rFonts w:ascii="Calibri" w:hAnsi="Calibri" w:eastAsia="Calibri"/>
        </w:rPr>
        <w:t>Advice from peers can be inaccurate or polarising.</w:t>
      </w:r>
    </w:p>
    <w:p>
      <w:pPr>
        <w:numPr>
          <w:ilvl w:val="0"/>
          <w:numId w:val="10"/>
        </w:numPr>
        <w:spacing w:after="40" w:line="280" w:lineRule="auto"/>
        <w:keepLines/>
      </w:pPr>
      <w:r>
        <w:rPr>
          <w:rFonts w:ascii="Calibri" w:hAnsi="Calibri" w:eastAsia="Calibri"/>
        </w:rPr>
        <w:t>Less responsive to a person’s exact decisions, practical workload or changing intensity.</w:t>
      </w:r>
    </w:p>
    <w:p>
      <w:pPr>
        <w:spacing w:before="160" w:after="200" w:line="264" w:lineRule="auto"/>
        <w:ind w:left="230" w:right="173"/>
        <w:shd w:fill="EAF2F8" w:val="clear"/>
        <w:pBdr>
          <w:left w:val="single" w:sz="18" w:space="8" w:color="2E74B5"/>
        </w:pBdr>
        <w:keepLines/>
      </w:pPr>
      <w:r>
        <w:rPr>
          <w:rFonts w:ascii="Calibri" w:hAnsi="Calibri" w:eastAsia="Calibri"/>
          <w:b/>
          <w:color w:val="2E74B5"/>
          <w:sz w:val="19"/>
        </w:rPr>
        <w:t xml:space="preserve">COMPETITIVE IMPLICATION  </w:t>
      </w:r>
      <w:r>
        <w:rPr>
          <w:rFonts w:ascii="Calibri" w:hAnsi="Calibri" w:eastAsia="Calibri"/>
          <w:color w:val="0B2545"/>
          <w:sz w:val="21"/>
        </w:rPr>
        <w:t>Do not build a course first. Use early one-to-one work to identify repeatable tools, then offer peer support as a deliberate complement rather than a cheaper imitation of personal support.</w:t>
      </w:r>
    </w:p>
    <w:p>
      <w:pPr>
        <w:pStyle w:val="Heading2"/>
        <w:keepNext/>
      </w:pPr>
      <w:r>
        <w:t>3.7 Solicitors, mediators, financial advisers and other specialists</w:t>
      </w:r>
    </w:p>
    <w:p>
      <w:pPr>
        <w:keepLines/>
      </w:pPr>
      <w:r>
        <w:rPr>
          <w:rFonts w:ascii="Calibri" w:hAnsi="Calibri" w:eastAsia="Calibri"/>
          <w:i w:val="0"/>
        </w:rPr>
        <w:t>Description and price: These providers answer narrow, consequential questions with recognised competence. In England and Wales the court fee to apply for divorce is £628. A MIAM usually costs around £120; eligible families may receive up to £500 toward mediation. amicable lists £1,200–£1,800 for automated or assisted divorce/consent-order services and £3,450–£5,910 for negotiation services. [19–21]</w:t>
      </w:r>
    </w:p>
    <w:p>
      <w:pPr>
        <w:spacing w:before="40" w:after="40"/>
      </w:pPr>
      <w:r>
        <w:rPr>
          <w:rFonts w:ascii="Calibri" w:hAnsi="Calibri" w:eastAsia="Calibri"/>
          <w:b/>
          <w:color w:val="2F6B4F"/>
          <w:sz w:val="21"/>
        </w:rPr>
        <w:t>Pros</w:t>
      </w:r>
    </w:p>
    <w:p>
      <w:pPr>
        <w:numPr>
          <w:ilvl w:val="0"/>
          <w:numId w:val="10"/>
        </w:numPr>
        <w:spacing w:after="40" w:line="280" w:lineRule="auto"/>
        <w:keepLines/>
      </w:pPr>
      <w:r>
        <w:rPr>
          <w:rFonts w:ascii="Calibri" w:hAnsi="Calibri" w:eastAsia="Calibri"/>
        </w:rPr>
        <w:t>Highest authority for legal, financial, medical or safeguarding questions.</w:t>
      </w:r>
    </w:p>
    <w:p>
      <w:pPr>
        <w:numPr>
          <w:ilvl w:val="0"/>
          <w:numId w:val="10"/>
        </w:numPr>
        <w:spacing w:after="40" w:line="280" w:lineRule="auto"/>
        <w:keepLines/>
      </w:pPr>
      <w:r>
        <w:rPr>
          <w:rFonts w:ascii="Calibri" w:hAnsi="Calibri" w:eastAsia="Calibri"/>
        </w:rPr>
        <w:t>Can create binding documents, regulated advice or accredited mediation outcomes.</w:t>
      </w:r>
    </w:p>
    <w:p>
      <w:pPr>
        <w:numPr>
          <w:ilvl w:val="0"/>
          <w:numId w:val="10"/>
        </w:numPr>
        <w:spacing w:after="40" w:line="280" w:lineRule="auto"/>
        <w:keepLines/>
      </w:pPr>
      <w:r>
        <w:rPr>
          <w:rFonts w:ascii="Calibri" w:hAnsi="Calibri" w:eastAsia="Calibri"/>
        </w:rPr>
        <w:t>High willingness to pay when the consequence of error is material.</w:t>
      </w:r>
    </w:p>
    <w:p>
      <w:pPr>
        <w:spacing w:before="80" w:after="40"/>
      </w:pPr>
      <w:r>
        <w:rPr>
          <w:rFonts w:ascii="Calibri" w:hAnsi="Calibri" w:eastAsia="Calibri"/>
          <w:b/>
          <w:color w:val="9B1C1C"/>
          <w:sz w:val="21"/>
        </w:rPr>
        <w:t>Cons / limits</w:t>
      </w:r>
    </w:p>
    <w:p>
      <w:pPr>
        <w:numPr>
          <w:ilvl w:val="0"/>
          <w:numId w:val="10"/>
        </w:numPr>
        <w:spacing w:after="40" w:line="280" w:lineRule="auto"/>
        <w:keepLines/>
      </w:pPr>
      <w:r>
        <w:rPr>
          <w:rFonts w:ascii="Calibri" w:hAnsi="Calibri" w:eastAsia="Calibri"/>
        </w:rPr>
        <w:t>Narrow remit and professional time can be expensive.</w:t>
      </w:r>
    </w:p>
    <w:p>
      <w:pPr>
        <w:numPr>
          <w:ilvl w:val="0"/>
          <w:numId w:val="10"/>
        </w:numPr>
        <w:spacing w:after="40" w:line="280" w:lineRule="auto"/>
        <w:keepLines/>
      </w:pPr>
      <w:r>
        <w:rPr>
          <w:rFonts w:ascii="Calibri" w:hAnsi="Calibri" w:eastAsia="Calibri"/>
        </w:rPr>
        <w:t>The client still has to organise facts, prepare questions, cope emotionally and implement decisions.</w:t>
      </w:r>
    </w:p>
    <w:p>
      <w:pPr>
        <w:numPr>
          <w:ilvl w:val="0"/>
          <w:numId w:val="10"/>
        </w:numPr>
        <w:spacing w:after="40" w:line="280" w:lineRule="auto"/>
        <w:keepLines/>
      </w:pPr>
      <w:r>
        <w:rPr>
          <w:rFonts w:ascii="Calibri" w:hAnsi="Calibri" w:eastAsia="Calibri"/>
        </w:rPr>
        <w:t>A specialist may not provide continuity across the person’s whole transition.</w:t>
      </w:r>
    </w:p>
    <w:p>
      <w:pPr>
        <w:spacing w:before="160" w:after="200" w:line="264" w:lineRule="auto"/>
        <w:ind w:left="230" w:right="173"/>
        <w:shd w:fill="EAF2F8" w:val="clear"/>
        <w:pBdr>
          <w:left w:val="single" w:sz="18" w:space="8" w:color="2E74B5"/>
        </w:pBdr>
        <w:keepLines/>
      </w:pPr>
      <w:r>
        <w:rPr>
          <w:rFonts w:ascii="Calibri" w:hAnsi="Calibri" w:eastAsia="Calibri"/>
          <w:b/>
          <w:color w:val="2E74B5"/>
          <w:sz w:val="19"/>
        </w:rPr>
        <w:t xml:space="preserve">COMPETITIVE IMPLICATION  </w:t>
      </w:r>
      <w:r>
        <w:rPr>
          <w:rFonts w:ascii="Calibri" w:hAnsi="Calibri" w:eastAsia="Calibri"/>
          <w:color w:val="0B2545"/>
          <w:sz w:val="21"/>
        </w:rPr>
        <w:t>The opportunity is to make specialist time work better: organise the client, prepare questions, track decisions and translate next steps—while never interpreting the law or giving regulated advice.</w:t>
      </w:r>
    </w:p>
    <w:p>
      <w:pPr>
        <w:pStyle w:val="Heading2"/>
        <w:keepNext/>
      </w:pPr>
      <w:r>
        <w:t>3.8 Accountability coaching, virtual assistants and concierge support</w:t>
      </w:r>
    </w:p>
    <w:p>
      <w:pPr>
        <w:keepLines/>
      </w:pPr>
      <w:r>
        <w:rPr>
          <w:rFonts w:ascii="Calibri" w:hAnsi="Calibri" w:eastAsia="Calibri"/>
          <w:i w:val="0"/>
        </w:rPr>
        <w:t>Description and price: Accountability services create daily or weekly follow-through; public examples run from £129–£229 per month for WhatsApp-based coaching to £590 per month for weekly calls and messaging. A VA example lists £40 per hour, £185 for five hours and £740 for 20 hours, plus VAT. [22–24]</w:t>
      </w:r>
    </w:p>
    <w:p>
      <w:pPr>
        <w:spacing w:before="40" w:after="40"/>
      </w:pPr>
      <w:r>
        <w:rPr>
          <w:rFonts w:ascii="Calibri" w:hAnsi="Calibri" w:eastAsia="Calibri"/>
          <w:b/>
          <w:color w:val="2F6B4F"/>
          <w:sz w:val="21"/>
        </w:rPr>
        <w:t>Pros</w:t>
      </w:r>
    </w:p>
    <w:p>
      <w:pPr>
        <w:numPr>
          <w:ilvl w:val="0"/>
          <w:numId w:val="10"/>
        </w:numPr>
        <w:spacing w:after="40" w:line="280" w:lineRule="auto"/>
        <w:keepLines/>
      </w:pPr>
      <w:r>
        <w:rPr>
          <w:rFonts w:ascii="Calibri" w:hAnsi="Calibri" w:eastAsia="Calibri"/>
        </w:rPr>
        <w:t>Strongest alternative for execution, reminders, research, diary management and reducing cognitive load.</w:t>
      </w:r>
    </w:p>
    <w:p>
      <w:pPr>
        <w:numPr>
          <w:ilvl w:val="0"/>
          <w:numId w:val="10"/>
        </w:numPr>
        <w:spacing w:after="40" w:line="280" w:lineRule="auto"/>
        <w:keepLines/>
      </w:pPr>
      <w:r>
        <w:rPr>
          <w:rFonts w:ascii="Calibri" w:hAnsi="Calibri" w:eastAsia="Calibri"/>
        </w:rPr>
        <w:t>Clear unit of value—hours, completed tasks or check-ins—makes pricing easier to understand.</w:t>
      </w:r>
    </w:p>
    <w:p>
      <w:pPr>
        <w:numPr>
          <w:ilvl w:val="0"/>
          <w:numId w:val="10"/>
        </w:numPr>
        <w:spacing w:after="40" w:line="280" w:lineRule="auto"/>
        <w:keepLines/>
      </w:pPr>
      <w:r>
        <w:rPr>
          <w:rFonts w:ascii="Calibri" w:hAnsi="Calibri" w:eastAsia="Calibri"/>
        </w:rPr>
        <w:t>Can be flexed up or down with workload.</w:t>
      </w:r>
    </w:p>
    <w:p>
      <w:pPr>
        <w:spacing w:before="80" w:after="40"/>
      </w:pPr>
      <w:r>
        <w:rPr>
          <w:rFonts w:ascii="Calibri" w:hAnsi="Calibri" w:eastAsia="Calibri"/>
          <w:b/>
          <w:color w:val="9B1C1C"/>
          <w:sz w:val="21"/>
        </w:rPr>
        <w:t>Cons / limits</w:t>
      </w:r>
    </w:p>
    <w:p>
      <w:pPr>
        <w:numPr>
          <w:ilvl w:val="0"/>
          <w:numId w:val="10"/>
        </w:numPr>
        <w:spacing w:after="40" w:line="280" w:lineRule="auto"/>
        <w:keepLines/>
      </w:pPr>
      <w:r>
        <w:rPr>
          <w:rFonts w:ascii="Calibri" w:hAnsi="Calibri" w:eastAsia="Calibri"/>
        </w:rPr>
        <w:t>Usually weak on grief, identity, self-worth, emotional regulation and sensitive judgment.</w:t>
      </w:r>
    </w:p>
    <w:p>
      <w:pPr>
        <w:numPr>
          <w:ilvl w:val="0"/>
          <w:numId w:val="10"/>
        </w:numPr>
        <w:spacing w:after="40" w:line="280" w:lineRule="auto"/>
        <w:keepLines/>
      </w:pPr>
      <w:r>
        <w:rPr>
          <w:rFonts w:ascii="Calibri" w:hAnsi="Calibri" w:eastAsia="Calibri"/>
        </w:rPr>
        <w:t>Delegation can undermine agency if tasks are simply taken over rather than used to rebuild capability.</w:t>
      </w:r>
    </w:p>
    <w:p>
      <w:pPr>
        <w:numPr>
          <w:ilvl w:val="0"/>
          <w:numId w:val="10"/>
        </w:numPr>
        <w:spacing w:after="40" w:line="280" w:lineRule="auto"/>
        <w:keepLines/>
      </w:pPr>
      <w:r>
        <w:rPr>
          <w:rFonts w:ascii="Calibri" w:hAnsi="Calibri" w:eastAsia="Calibri"/>
        </w:rPr>
        <w:t>Handling deeply personal data across multiple systems creates confidentiality risk.</w:t>
      </w:r>
    </w:p>
    <w:p>
      <w:pPr>
        <w:spacing w:before="160" w:after="200" w:line="264" w:lineRule="auto"/>
        <w:ind w:left="230" w:right="173"/>
        <w:shd w:fill="EAF2F8" w:val="clear"/>
        <w:pBdr>
          <w:left w:val="single" w:sz="18" w:space="8" w:color="2E74B5"/>
        </w:pBdr>
        <w:keepLines/>
      </w:pPr>
      <w:r>
        <w:rPr>
          <w:rFonts w:ascii="Calibri" w:hAnsi="Calibri" w:eastAsia="Calibri"/>
          <w:b/>
          <w:color w:val="2E74B5"/>
          <w:sz w:val="19"/>
        </w:rPr>
        <w:t xml:space="preserve">COMPETITIVE IMPLICATION  </w:t>
      </w:r>
      <w:r>
        <w:rPr>
          <w:rFonts w:ascii="Calibri" w:hAnsi="Calibri" w:eastAsia="Calibri"/>
          <w:color w:val="0B2545"/>
          <w:sz w:val="21"/>
        </w:rPr>
        <w:t>If Emotional Life Support promises hands-on organisation, it should state the included capacity. Otherwise buyers can reasonably compare it with £185 of concrete PA time or a £590 accountability retainer.</w:t>
      </w:r>
    </w:p>
    <w:p>
      <w:pPr>
        <w:pStyle w:val="Heading2"/>
        <w:keepNext/>
      </w:pPr>
      <w:r>
        <w:t>3.9 Self-help, apps and AI wellbeing tools</w:t>
      </w:r>
    </w:p>
    <w:p>
      <w:pPr>
        <w:keepLines/>
      </w:pPr>
      <w:r>
        <w:rPr>
          <w:rFonts w:ascii="Calibri" w:hAnsi="Calibri" w:eastAsia="Calibri"/>
          <w:i w:val="0"/>
        </w:rPr>
        <w:t>Description and price: Books, podcasts, courses, meditation products and AI tools offer private, on-demand support. Wysa has a free tier and the UK App Store listed Premium at £11.99 monthly or £66.99 annually, alongside other coaching/therapist purchases. Wysa explicitly states that the AI is not a replacement for qualified care and is not suitable for crisis or severe and enduring mental illness. [25–26]</w:t>
      </w:r>
    </w:p>
    <w:p>
      <w:pPr>
        <w:spacing w:before="40" w:after="40"/>
      </w:pPr>
      <w:r>
        <w:rPr>
          <w:rFonts w:ascii="Calibri" w:hAnsi="Calibri" w:eastAsia="Calibri"/>
          <w:b/>
          <w:color w:val="2F6B4F"/>
          <w:sz w:val="21"/>
        </w:rPr>
        <w:t>Pros</w:t>
      </w:r>
    </w:p>
    <w:p>
      <w:pPr>
        <w:numPr>
          <w:ilvl w:val="0"/>
          <w:numId w:val="10"/>
        </w:numPr>
        <w:spacing w:after="40" w:line="280" w:lineRule="auto"/>
        <w:keepLines/>
      </w:pPr>
      <w:r>
        <w:rPr>
          <w:rFonts w:ascii="Calibri" w:hAnsi="Calibri" w:eastAsia="Calibri"/>
        </w:rPr>
        <w:t>Immediate, low-cost, private and available at any hour.</w:t>
      </w:r>
    </w:p>
    <w:p>
      <w:pPr>
        <w:numPr>
          <w:ilvl w:val="0"/>
          <w:numId w:val="10"/>
        </w:numPr>
        <w:spacing w:after="40" w:line="280" w:lineRule="auto"/>
        <w:keepLines/>
      </w:pPr>
      <w:r>
        <w:rPr>
          <w:rFonts w:ascii="Calibri" w:hAnsi="Calibri" w:eastAsia="Calibri"/>
        </w:rPr>
        <w:t>Good for psychoeducation, journalling prompts, routines and repeated practice.</w:t>
      </w:r>
    </w:p>
    <w:p>
      <w:pPr>
        <w:numPr>
          <w:ilvl w:val="0"/>
          <w:numId w:val="10"/>
        </w:numPr>
        <w:spacing w:after="40" w:line="280" w:lineRule="auto"/>
        <w:keepLines/>
      </w:pPr>
      <w:r>
        <w:rPr>
          <w:rFonts w:ascii="Calibri" w:hAnsi="Calibri" w:eastAsia="Calibri"/>
        </w:rPr>
        <w:t>Can scale exercises discovered through high-touch work.</w:t>
      </w:r>
    </w:p>
    <w:p>
      <w:pPr>
        <w:spacing w:before="80" w:after="40"/>
      </w:pPr>
      <w:r>
        <w:rPr>
          <w:rFonts w:ascii="Calibri" w:hAnsi="Calibri" w:eastAsia="Calibri"/>
          <w:b/>
          <w:color w:val="9B1C1C"/>
          <w:sz w:val="21"/>
        </w:rPr>
        <w:t>Cons / limits</w:t>
      </w:r>
    </w:p>
    <w:p>
      <w:pPr>
        <w:numPr>
          <w:ilvl w:val="0"/>
          <w:numId w:val="10"/>
        </w:numPr>
        <w:spacing w:after="40" w:line="280" w:lineRule="auto"/>
        <w:keepLines/>
      </w:pPr>
      <w:r>
        <w:rPr>
          <w:rFonts w:ascii="Calibri" w:hAnsi="Calibri" w:eastAsia="Calibri"/>
        </w:rPr>
        <w:t>Limited human judgment, relational accountability and context; confident-sounding errors remain possible.</w:t>
      </w:r>
    </w:p>
    <w:p>
      <w:pPr>
        <w:numPr>
          <w:ilvl w:val="0"/>
          <w:numId w:val="10"/>
        </w:numPr>
        <w:spacing w:after="40" w:line="280" w:lineRule="auto"/>
        <w:keepLines/>
      </w:pPr>
      <w:r>
        <w:rPr>
          <w:rFonts w:ascii="Calibri" w:hAnsi="Calibri" w:eastAsia="Calibri"/>
        </w:rPr>
        <w:t>Sensitive personal data, retention, provider access and model use require scrutiny.</w:t>
      </w:r>
    </w:p>
    <w:p>
      <w:pPr>
        <w:numPr>
          <w:ilvl w:val="0"/>
          <w:numId w:val="10"/>
        </w:numPr>
        <w:spacing w:after="40" w:line="280" w:lineRule="auto"/>
        <w:keepLines/>
      </w:pPr>
      <w:r>
        <w:rPr>
          <w:rFonts w:ascii="Calibri" w:hAnsi="Calibri" w:eastAsia="Calibri"/>
        </w:rPr>
        <w:t>Availability can encourage over-reliance while creating an illusion of professional care.</w:t>
      </w:r>
    </w:p>
    <w:p>
      <w:pPr>
        <w:spacing w:before="160" w:after="200" w:line="264" w:lineRule="auto"/>
        <w:ind w:left="230" w:right="173"/>
        <w:shd w:fill="EAF2F8" w:val="clear"/>
        <w:pBdr>
          <w:left w:val="single" w:sz="18" w:space="8" w:color="2E74B5"/>
        </w:pBdr>
        <w:keepLines/>
      </w:pPr>
      <w:r>
        <w:rPr>
          <w:rFonts w:ascii="Calibri" w:hAnsi="Calibri" w:eastAsia="Calibri"/>
          <w:b/>
          <w:color w:val="2E74B5"/>
          <w:sz w:val="19"/>
        </w:rPr>
        <w:t xml:space="preserve">COMPETITIVE IMPLICATION  </w:t>
      </w:r>
      <w:r>
        <w:rPr>
          <w:rFonts w:ascii="Calibri" w:hAnsi="Calibri" w:eastAsia="Calibri"/>
          <w:color w:val="0B2545"/>
          <w:sz w:val="21"/>
        </w:rPr>
        <w:t>AI should be a bounded support layer or practitioner tool, not the trust proposition. Any client-facing use needs explicit consent, data minimisation, escalation and a non-crisis message.</w:t>
      </w:r>
    </w:p>
    <w:p>
      <w:pPr>
        <w:pStyle w:val="Heading2"/>
        <w:keepNext/>
      </w:pPr>
      <w:r>
        <w:t>3.10 The assembled support stack</w:t>
      </w:r>
    </w:p>
    <w:p>
      <w:pPr>
        <w:keepLines/>
      </w:pPr>
      <w:r>
        <w:rPr>
          <w:rFonts w:ascii="Calibri" w:hAnsi="Calibri" w:eastAsia="Calibri"/>
          <w:i w:val="0"/>
        </w:rPr>
        <w:t>Description and price: A resourceful client combines several alternatives—for example weekly private therapy, a divorce coach and five to ten hours of VA support. Using current anchors, £60.60 weekly therapy (≈£263/month) + £375 monthly divorce coaching + five VA hours (£185 + VAT) totals about £860/month including 20% VAT on the VA. With ten VA hours, the stack is about £1,082/month. [4,10,22]</w:t>
      </w:r>
    </w:p>
    <w:p>
      <w:pPr>
        <w:spacing w:before="40" w:after="40"/>
      </w:pPr>
      <w:r>
        <w:rPr>
          <w:rFonts w:ascii="Calibri" w:hAnsi="Calibri" w:eastAsia="Calibri"/>
          <w:b/>
          <w:color w:val="2F6B4F"/>
          <w:sz w:val="21"/>
        </w:rPr>
        <w:t>Pros</w:t>
      </w:r>
    </w:p>
    <w:p>
      <w:pPr>
        <w:numPr>
          <w:ilvl w:val="0"/>
          <w:numId w:val="10"/>
        </w:numPr>
        <w:spacing w:after="40" w:line="280" w:lineRule="auto"/>
        <w:keepLines/>
      </w:pPr>
      <w:r>
        <w:rPr>
          <w:rFonts w:ascii="Calibri" w:hAnsi="Calibri" w:eastAsia="Calibri"/>
        </w:rPr>
        <w:t>Each professional stays close to their competence and the client can replace one component without losing everything.</w:t>
      </w:r>
    </w:p>
    <w:p>
      <w:pPr>
        <w:numPr>
          <w:ilvl w:val="0"/>
          <w:numId w:val="10"/>
        </w:numPr>
        <w:spacing w:after="40" w:line="280" w:lineRule="auto"/>
        <w:keepLines/>
      </w:pPr>
      <w:r>
        <w:rPr>
          <w:rFonts w:ascii="Calibri" w:hAnsi="Calibri" w:eastAsia="Calibri"/>
        </w:rPr>
        <w:t>Offers genuine emotional, transition and practical coverage.</w:t>
      </w:r>
    </w:p>
    <w:p>
      <w:pPr>
        <w:numPr>
          <w:ilvl w:val="0"/>
          <w:numId w:val="10"/>
        </w:numPr>
        <w:spacing w:after="40" w:line="280" w:lineRule="auto"/>
        <w:keepLines/>
      </w:pPr>
      <w:r>
        <w:rPr>
          <w:rFonts w:ascii="Calibri" w:hAnsi="Calibri" w:eastAsia="Calibri"/>
        </w:rPr>
        <w:t>The combined budget shows how a £750–£1,000 integrated service could be economically intelligible.</w:t>
      </w:r>
    </w:p>
    <w:p>
      <w:pPr>
        <w:spacing w:before="80" w:after="40"/>
      </w:pPr>
      <w:r>
        <w:rPr>
          <w:rFonts w:ascii="Calibri" w:hAnsi="Calibri" w:eastAsia="Calibri"/>
          <w:b/>
          <w:color w:val="9B1C1C"/>
          <w:sz w:val="21"/>
        </w:rPr>
        <w:t>Cons / limits</w:t>
      </w:r>
    </w:p>
    <w:p>
      <w:pPr>
        <w:numPr>
          <w:ilvl w:val="0"/>
          <w:numId w:val="10"/>
        </w:numPr>
        <w:spacing w:after="40" w:line="280" w:lineRule="auto"/>
        <w:keepLines/>
      </w:pPr>
      <w:r>
        <w:rPr>
          <w:rFonts w:ascii="Calibri" w:hAnsi="Calibri" w:eastAsia="Calibri"/>
        </w:rPr>
        <w:t>The client becomes project manager at the moment they are least able to coordinate.</w:t>
      </w:r>
    </w:p>
    <w:p>
      <w:pPr>
        <w:numPr>
          <w:ilvl w:val="0"/>
          <w:numId w:val="10"/>
        </w:numPr>
        <w:spacing w:after="40" w:line="280" w:lineRule="auto"/>
        <w:keepLines/>
      </w:pPr>
      <w:r>
        <w:rPr>
          <w:rFonts w:ascii="Calibri" w:hAnsi="Calibri" w:eastAsia="Calibri"/>
        </w:rPr>
        <w:t>Information fragments across providers and advice may conflict.</w:t>
      </w:r>
    </w:p>
    <w:p>
      <w:pPr>
        <w:numPr>
          <w:ilvl w:val="0"/>
          <w:numId w:val="10"/>
        </w:numPr>
        <w:spacing w:after="40" w:line="280" w:lineRule="auto"/>
        <w:keepLines/>
      </w:pPr>
      <w:r>
        <w:rPr>
          <w:rFonts w:ascii="Calibri" w:hAnsi="Calibri" w:eastAsia="Calibri"/>
        </w:rPr>
        <w:t>Emotional, legal and practical services still cannot be safely collapsed into one unqualified role.</w:t>
      </w:r>
    </w:p>
    <w:p>
      <w:pPr>
        <w:spacing w:before="160" w:after="200" w:line="264" w:lineRule="auto"/>
        <w:ind w:left="230" w:right="173"/>
        <w:shd w:fill="EAF2F8" w:val="clear"/>
        <w:pBdr>
          <w:left w:val="single" w:sz="18" w:space="8" w:color="2E74B5"/>
        </w:pBdr>
        <w:keepLines/>
      </w:pPr>
      <w:r>
        <w:rPr>
          <w:rFonts w:ascii="Calibri" w:hAnsi="Calibri" w:eastAsia="Calibri"/>
          <w:b/>
          <w:color w:val="2E74B5"/>
          <w:sz w:val="19"/>
        </w:rPr>
        <w:t xml:space="preserve">COMPETITIVE IMPLICATION  </w:t>
      </w:r>
      <w:r>
        <w:rPr>
          <w:rFonts w:ascii="Calibri" w:hAnsi="Calibri" w:eastAsia="Calibri"/>
          <w:color w:val="0B2545"/>
          <w:sz w:val="21"/>
        </w:rPr>
        <w:t>This stack—not a single coach—is the most useful comparison. Emotional Life Support can reduce coordination friction, but must retain a referral network and make clear which specialist costs remain separate.</w:t>
      </w:r>
    </w:p>
    <w:p>
      <w:pPr>
        <w:pStyle w:val="Heading1"/>
        <w:keepNext/>
      </w:pPr>
      <w:r>
        <w:t>4. Public competitor and price snapshot</w:t>
      </w:r>
    </w:p>
    <w:p>
      <w:pPr>
        <w:keepLines/>
      </w:pPr>
      <w:r>
        <w:rPr>
          <w:rFonts w:ascii="Calibri" w:hAnsi="Calibri" w:eastAsia="Calibri"/>
          <w:i w:val="0"/>
        </w:rPr>
        <w:t>The following prices were visible on public pages on 15 August 2026. They are examples, not averages, and should be rechecked before external use.</w:t>
      </w:r>
    </w:p>
    <w:p>
      <w:pPr>
        <w:pStyle w:val="Caption"/>
        <w:keepNext/>
      </w:pPr>
      <w:r>
        <w:t>Table 3. Separation/divorce-specific support</w:t>
      </w:r>
    </w:p>
    <w:tbl>
      <w:tblPr>
        <w:tblW w:type="dxa" w:w="9360"/>
        <w:tblLayout w:type="fixed"/>
        <w:tblLook w:firstColumn="1" w:firstRow="1" w:lastColumn="0" w:lastRow="0" w:noHBand="0" w:noVBand="1" w:val="04A0"/>
        <w:jc w:val="left"/>
        <w:tblInd w:w="120" w:type="dxa"/>
      </w:tblPr>
      <w:tblGrid>
        <w:gridCol w:w="1670"/>
        <w:gridCol w:w="1680"/>
        <w:gridCol w:w="1690"/>
        <w:gridCol w:w="4320"/>
      </w:tblGrid>
      <w:tr>
        <w:trPr>
          <w:cantSplit/>
          <w:tblHeader w:val="true"/>
        </w:trPr>
        <w:tc>
          <w:tcPr>
            <w:tcW w:type="dxa" w:w="1670"/>
            <w:tcMar>
              <w:top w:w="80" w:type="dxa"/>
              <w:start w:w="120" w:type="dxa"/>
              <w:bottom w:w="80" w:type="dxa"/>
              <w:end w:w="120" w:type="dxa"/>
            </w:tcMar>
            <w:tcBorders>
              <w:top w:val="single" w:sz="4" w:space="0" w:color="D9E0E7"/>
              <w:left w:val="single" w:sz="4" w:space="0" w:color="D9E0E7"/>
              <w:bottom w:val="single" w:sz="4" w:space="0" w:color="D9E0E7"/>
              <w:right w:val="single" w:sz="4" w:space="0" w:color="D9E0E7"/>
              <w:insideH w:val="single" w:sz="4" w:space="0" w:color="D9E0E7"/>
              <w:insideV w:val="single" w:sz="4" w:space="0" w:color="D9E0E7"/>
            </w:tcBorders>
            <w:vAlign w:val="center"/>
            <w:shd w:fill="F2F4F7" w:val="clear"/>
          </w:tcPr>
          <w:p>
            <w:pPr>
              <w:spacing w:before="0" w:after="0" w:line="240" w:lineRule="auto"/>
              <w:jc w:val="left"/>
            </w:pPr>
            <w:r>
              <w:rPr>
                <w:rFonts w:ascii="Calibri" w:hAnsi="Calibri" w:eastAsia="Calibri"/>
                <w:b/>
                <w:color w:val="0B2545"/>
                <w:sz w:val="17"/>
              </w:rPr>
              <w:t>Provider</w:t>
            </w:r>
          </w:p>
        </w:tc>
        <w:tc>
          <w:tcPr>
            <w:tcW w:type="dxa" w:w="1680"/>
            <w:tcMar>
              <w:top w:w="80" w:type="dxa"/>
              <w:start w:w="120" w:type="dxa"/>
              <w:bottom w:w="80" w:type="dxa"/>
              <w:end w:w="120" w:type="dxa"/>
            </w:tcMar>
            <w:tcBorders>
              <w:top w:val="single" w:sz="4" w:space="0" w:color="D9E0E7"/>
              <w:left w:val="single" w:sz="4" w:space="0" w:color="D9E0E7"/>
              <w:bottom w:val="single" w:sz="4" w:space="0" w:color="D9E0E7"/>
              <w:right w:val="single" w:sz="4" w:space="0" w:color="D9E0E7"/>
              <w:insideH w:val="single" w:sz="4" w:space="0" w:color="D9E0E7"/>
              <w:insideV w:val="single" w:sz="4" w:space="0" w:color="D9E0E7"/>
            </w:tcBorders>
            <w:vAlign w:val="center"/>
            <w:shd w:fill="F2F4F7" w:val="clear"/>
          </w:tcPr>
          <w:p>
            <w:pPr>
              <w:spacing w:before="0" w:after="0" w:line="240" w:lineRule="auto"/>
              <w:jc w:val="left"/>
            </w:pPr>
            <w:r>
              <w:rPr>
                <w:rFonts w:ascii="Calibri" w:hAnsi="Calibri" w:eastAsia="Calibri"/>
                <w:b/>
                <w:color w:val="0B2545"/>
                <w:sz w:val="17"/>
              </w:rPr>
              <w:t>Offer</w:t>
            </w:r>
          </w:p>
        </w:tc>
        <w:tc>
          <w:tcPr>
            <w:tcW w:type="dxa" w:w="1690"/>
            <w:tcMar>
              <w:top w:w="80" w:type="dxa"/>
              <w:start w:w="120" w:type="dxa"/>
              <w:bottom w:w="80" w:type="dxa"/>
              <w:end w:w="120" w:type="dxa"/>
            </w:tcMar>
            <w:tcBorders>
              <w:top w:val="single" w:sz="4" w:space="0" w:color="D9E0E7"/>
              <w:left w:val="single" w:sz="4" w:space="0" w:color="D9E0E7"/>
              <w:bottom w:val="single" w:sz="4" w:space="0" w:color="D9E0E7"/>
              <w:right w:val="single" w:sz="4" w:space="0" w:color="D9E0E7"/>
              <w:insideH w:val="single" w:sz="4" w:space="0" w:color="D9E0E7"/>
              <w:insideV w:val="single" w:sz="4" w:space="0" w:color="D9E0E7"/>
            </w:tcBorders>
            <w:vAlign w:val="center"/>
            <w:shd w:fill="F2F4F7" w:val="clear"/>
          </w:tcPr>
          <w:p>
            <w:pPr>
              <w:spacing w:before="0" w:after="0" w:line="240" w:lineRule="auto"/>
              <w:jc w:val="left"/>
            </w:pPr>
            <w:r>
              <w:rPr>
                <w:rFonts w:ascii="Calibri" w:hAnsi="Calibri" w:eastAsia="Calibri"/>
                <w:b/>
                <w:color w:val="0B2545"/>
                <w:sz w:val="17"/>
              </w:rPr>
              <w:t>Public price</w:t>
            </w:r>
          </w:p>
        </w:tc>
        <w:tc>
          <w:tcPr>
            <w:tcW w:type="dxa" w:w="4320"/>
            <w:tcMar>
              <w:top w:w="80" w:type="dxa"/>
              <w:start w:w="120" w:type="dxa"/>
              <w:bottom w:w="80" w:type="dxa"/>
              <w:end w:w="120" w:type="dxa"/>
            </w:tcMar>
            <w:tcBorders>
              <w:top w:val="single" w:sz="4" w:space="0" w:color="D9E0E7"/>
              <w:left w:val="single" w:sz="4" w:space="0" w:color="D9E0E7"/>
              <w:bottom w:val="single" w:sz="4" w:space="0" w:color="D9E0E7"/>
              <w:right w:val="single" w:sz="4" w:space="0" w:color="D9E0E7"/>
              <w:insideH w:val="single" w:sz="4" w:space="0" w:color="D9E0E7"/>
              <w:insideV w:val="single" w:sz="4" w:space="0" w:color="D9E0E7"/>
            </w:tcBorders>
            <w:vAlign w:val="center"/>
            <w:shd w:fill="F2F4F7" w:val="clear"/>
          </w:tcPr>
          <w:p>
            <w:pPr>
              <w:spacing w:before="0" w:after="0" w:line="240" w:lineRule="auto"/>
              <w:jc w:val="left"/>
            </w:pPr>
            <w:r>
              <w:rPr>
                <w:rFonts w:ascii="Calibri" w:hAnsi="Calibri" w:eastAsia="Calibri"/>
                <w:b/>
                <w:color w:val="0B2545"/>
                <w:sz w:val="17"/>
              </w:rPr>
              <w:t>Included / positioning</w:t>
            </w:r>
          </w:p>
        </w:tc>
      </w:tr>
      <w:tr>
        <w:trPr>
          <w:cantSplit/>
        </w:trPr>
        <w:tc>
          <w:tcPr>
            <w:tcW w:type="dxa" w:w="1670"/>
            <w:tcMar>
              <w:top w:w="80" w:type="dxa"/>
              <w:start w:w="120" w:type="dxa"/>
              <w:bottom w:w="80" w:type="dxa"/>
              <w:end w:w="120" w:type="dxa"/>
            </w:tcMar>
            <w:tcBorders>
              <w:top w:val="single" w:sz="4" w:space="0" w:color="D9E0E7"/>
              <w:left w:val="single" w:sz="4" w:space="0" w:color="D9E0E7"/>
              <w:bottom w:val="single" w:sz="4" w:space="0" w:color="D9E0E7"/>
              <w:right w:val="single" w:sz="4" w:space="0" w:color="D9E0E7"/>
              <w:insideH w:val="single" w:sz="4" w:space="0" w:color="D9E0E7"/>
              <w:insideV w:val="single" w:sz="4" w:space="0" w:color="D9E0E7"/>
            </w:tcBorders>
            <w:vAlign w:val="center"/>
          </w:tcPr>
          <w:p>
            <w:pPr>
              <w:spacing w:before="0" w:after="0" w:line="252" w:lineRule="auto"/>
            </w:pPr>
            <w:r>
              <w:rPr>
                <w:rFonts w:ascii="Calibri" w:hAnsi="Calibri" w:eastAsia="Calibri"/>
                <w:b/>
                <w:color w:val="1A1A1A"/>
                <w:sz w:val="17"/>
              </w:rPr>
              <w:t>DC² Divorce Coaching</w:t>
            </w:r>
          </w:p>
        </w:tc>
        <w:tc>
          <w:tcPr>
            <w:tcW w:type="dxa" w:w="1680"/>
            <w:tcMar>
              <w:top w:w="80" w:type="dxa"/>
              <w:start w:w="120" w:type="dxa"/>
              <w:bottom w:w="80" w:type="dxa"/>
              <w:end w:w="120" w:type="dxa"/>
            </w:tcMar>
            <w:tcBorders>
              <w:top w:val="single" w:sz="4" w:space="0" w:color="D9E0E7"/>
              <w:left w:val="single" w:sz="4" w:space="0" w:color="D9E0E7"/>
              <w:bottom w:val="single" w:sz="4" w:space="0" w:color="D9E0E7"/>
              <w:right w:val="single" w:sz="4" w:space="0" w:color="D9E0E7"/>
              <w:insideH w:val="single" w:sz="4" w:space="0" w:color="D9E0E7"/>
              <w:insideV w:val="single" w:sz="4" w:space="0" w:color="D9E0E7"/>
            </w:tcBorders>
            <w:vAlign w:val="center"/>
          </w:tcPr>
          <w:p>
            <w:pPr>
              <w:spacing w:before="0" w:after="0" w:line="252" w:lineRule="auto"/>
            </w:pPr>
            <w:r>
              <w:rPr>
                <w:rFonts w:ascii="Calibri" w:hAnsi="Calibri" w:eastAsia="Calibri"/>
                <w:b w:val="0"/>
                <w:color w:val="1A1A1A"/>
                <w:sz w:val="17"/>
              </w:rPr>
              <w:t>3 / 6 / 9 sessions</w:t>
            </w:r>
          </w:p>
        </w:tc>
        <w:tc>
          <w:tcPr>
            <w:tcW w:type="dxa" w:w="1690"/>
            <w:tcMar>
              <w:top w:w="80" w:type="dxa"/>
              <w:start w:w="120" w:type="dxa"/>
              <w:bottom w:w="80" w:type="dxa"/>
              <w:end w:w="120" w:type="dxa"/>
            </w:tcMar>
            <w:tcBorders>
              <w:top w:val="single" w:sz="4" w:space="0" w:color="D9E0E7"/>
              <w:left w:val="single" w:sz="4" w:space="0" w:color="D9E0E7"/>
              <w:bottom w:val="single" w:sz="4" w:space="0" w:color="D9E0E7"/>
              <w:right w:val="single" w:sz="4" w:space="0" w:color="D9E0E7"/>
              <w:insideH w:val="single" w:sz="4" w:space="0" w:color="D9E0E7"/>
              <w:insideV w:val="single" w:sz="4" w:space="0" w:color="D9E0E7"/>
            </w:tcBorders>
            <w:vAlign w:val="center"/>
          </w:tcPr>
          <w:p>
            <w:pPr>
              <w:spacing w:before="0" w:after="0" w:line="252" w:lineRule="auto"/>
            </w:pPr>
            <w:r>
              <w:rPr>
                <w:rFonts w:ascii="Calibri" w:hAnsi="Calibri" w:eastAsia="Calibri"/>
                <w:b w:val="0"/>
                <w:color w:val="1A1A1A"/>
                <w:sz w:val="17"/>
              </w:rPr>
              <w:t>£180 / £350 / £525</w:t>
            </w:r>
          </w:p>
        </w:tc>
        <w:tc>
          <w:tcPr>
            <w:tcW w:type="dxa" w:w="4320"/>
            <w:tcMar>
              <w:top w:w="80" w:type="dxa"/>
              <w:start w:w="120" w:type="dxa"/>
              <w:bottom w:w="80" w:type="dxa"/>
              <w:end w:w="120" w:type="dxa"/>
            </w:tcMar>
            <w:tcBorders>
              <w:top w:val="single" w:sz="4" w:space="0" w:color="D9E0E7"/>
              <w:left w:val="single" w:sz="4" w:space="0" w:color="D9E0E7"/>
              <w:bottom w:val="single" w:sz="4" w:space="0" w:color="D9E0E7"/>
              <w:right w:val="single" w:sz="4" w:space="0" w:color="D9E0E7"/>
              <w:insideH w:val="single" w:sz="4" w:space="0" w:color="D9E0E7"/>
              <w:insideV w:val="single" w:sz="4" w:space="0" w:color="D9E0E7"/>
            </w:tcBorders>
            <w:vAlign w:val="center"/>
          </w:tcPr>
          <w:p>
            <w:pPr>
              <w:spacing w:before="0" w:after="0" w:line="252" w:lineRule="auto"/>
            </w:pPr>
            <w:r>
              <w:rPr>
                <w:rFonts w:ascii="Calibri" w:hAnsi="Calibri" w:eastAsia="Calibri"/>
                <w:b w:val="0"/>
                <w:color w:val="1A1A1A"/>
                <w:sz w:val="17"/>
              </w:rPr>
              <w:t>One-hour sessions; ongoing guidance; ≈£58–£60/hour</w:t>
            </w:r>
          </w:p>
        </w:tc>
      </w:tr>
      <w:tr>
        <w:trPr>
          <w:cantSplit/>
        </w:trPr>
        <w:tc>
          <w:tcPr>
            <w:tcW w:type="dxa" w:w="1670"/>
            <w:shd w:fill="F7F9FB" w:val="clear"/>
            <w:tcMar>
              <w:top w:w="80" w:type="dxa"/>
              <w:start w:w="120" w:type="dxa"/>
              <w:bottom w:w="80" w:type="dxa"/>
              <w:end w:w="120" w:type="dxa"/>
            </w:tcMar>
            <w:tcBorders>
              <w:top w:val="single" w:sz="4" w:space="0" w:color="D9E0E7"/>
              <w:left w:val="single" w:sz="4" w:space="0" w:color="D9E0E7"/>
              <w:bottom w:val="single" w:sz="4" w:space="0" w:color="D9E0E7"/>
              <w:right w:val="single" w:sz="4" w:space="0" w:color="D9E0E7"/>
              <w:insideH w:val="single" w:sz="4" w:space="0" w:color="D9E0E7"/>
              <w:insideV w:val="single" w:sz="4" w:space="0" w:color="D9E0E7"/>
            </w:tcBorders>
            <w:vAlign w:val="center"/>
          </w:tcPr>
          <w:p>
            <w:pPr>
              <w:spacing w:before="0" w:after="0" w:line="252" w:lineRule="auto"/>
            </w:pPr>
            <w:r>
              <w:rPr>
                <w:rFonts w:ascii="Calibri" w:hAnsi="Calibri" w:eastAsia="Calibri"/>
                <w:b/>
                <w:color w:val="1A1A1A"/>
                <w:sz w:val="17"/>
              </w:rPr>
              <w:t>DC² Divorce Coaching</w:t>
            </w:r>
          </w:p>
        </w:tc>
        <w:tc>
          <w:tcPr>
            <w:tcW w:type="dxa" w:w="1680"/>
            <w:shd w:fill="F7F9FB" w:val="clear"/>
            <w:tcMar>
              <w:top w:w="80" w:type="dxa"/>
              <w:start w:w="120" w:type="dxa"/>
              <w:bottom w:w="80" w:type="dxa"/>
              <w:end w:w="120" w:type="dxa"/>
            </w:tcMar>
            <w:tcBorders>
              <w:top w:val="single" w:sz="4" w:space="0" w:color="D9E0E7"/>
              <w:left w:val="single" w:sz="4" w:space="0" w:color="D9E0E7"/>
              <w:bottom w:val="single" w:sz="4" w:space="0" w:color="D9E0E7"/>
              <w:right w:val="single" w:sz="4" w:space="0" w:color="D9E0E7"/>
              <w:insideH w:val="single" w:sz="4" w:space="0" w:color="D9E0E7"/>
              <w:insideV w:val="single" w:sz="4" w:space="0" w:color="D9E0E7"/>
            </w:tcBorders>
            <w:vAlign w:val="center"/>
          </w:tcPr>
          <w:p>
            <w:pPr>
              <w:spacing w:before="0" w:after="0" w:line="252" w:lineRule="auto"/>
            </w:pPr>
            <w:r>
              <w:rPr>
                <w:rFonts w:ascii="Calibri" w:hAnsi="Calibri" w:eastAsia="Calibri"/>
                <w:b w:val="0"/>
                <w:color w:val="1A1A1A"/>
                <w:sz w:val="17"/>
              </w:rPr>
              <w:t>Form E support</w:t>
            </w:r>
          </w:p>
        </w:tc>
        <w:tc>
          <w:tcPr>
            <w:tcW w:type="dxa" w:w="1690"/>
            <w:shd w:fill="F7F9FB" w:val="clear"/>
            <w:tcMar>
              <w:top w:w="80" w:type="dxa"/>
              <w:start w:w="120" w:type="dxa"/>
              <w:bottom w:w="80" w:type="dxa"/>
              <w:end w:w="120" w:type="dxa"/>
            </w:tcMar>
            <w:tcBorders>
              <w:top w:val="single" w:sz="4" w:space="0" w:color="D9E0E7"/>
              <w:left w:val="single" w:sz="4" w:space="0" w:color="D9E0E7"/>
              <w:bottom w:val="single" w:sz="4" w:space="0" w:color="D9E0E7"/>
              <w:right w:val="single" w:sz="4" w:space="0" w:color="D9E0E7"/>
              <w:insideH w:val="single" w:sz="4" w:space="0" w:color="D9E0E7"/>
              <w:insideV w:val="single" w:sz="4" w:space="0" w:color="D9E0E7"/>
            </w:tcBorders>
            <w:vAlign w:val="center"/>
          </w:tcPr>
          <w:p>
            <w:pPr>
              <w:spacing w:before="0" w:after="0" w:line="252" w:lineRule="auto"/>
            </w:pPr>
            <w:r>
              <w:rPr>
                <w:rFonts w:ascii="Calibri" w:hAnsi="Calibri" w:eastAsia="Calibri"/>
                <w:b w:val="0"/>
                <w:color w:val="1A1A1A"/>
                <w:sz w:val="17"/>
              </w:rPr>
              <w:t>£700</w:t>
            </w:r>
          </w:p>
        </w:tc>
        <w:tc>
          <w:tcPr>
            <w:tcW w:type="dxa" w:w="4320"/>
            <w:shd w:fill="F7F9FB" w:val="clear"/>
            <w:tcMar>
              <w:top w:w="80" w:type="dxa"/>
              <w:start w:w="120" w:type="dxa"/>
              <w:bottom w:w="80" w:type="dxa"/>
              <w:end w:w="120" w:type="dxa"/>
            </w:tcMar>
            <w:tcBorders>
              <w:top w:val="single" w:sz="4" w:space="0" w:color="D9E0E7"/>
              <w:left w:val="single" w:sz="4" w:space="0" w:color="D9E0E7"/>
              <w:bottom w:val="single" w:sz="4" w:space="0" w:color="D9E0E7"/>
              <w:right w:val="single" w:sz="4" w:space="0" w:color="D9E0E7"/>
              <w:insideH w:val="single" w:sz="4" w:space="0" w:color="D9E0E7"/>
              <w:insideV w:val="single" w:sz="4" w:space="0" w:color="D9E0E7"/>
            </w:tcBorders>
            <w:vAlign w:val="center"/>
          </w:tcPr>
          <w:p>
            <w:pPr>
              <w:spacing w:before="0" w:after="0" w:line="252" w:lineRule="auto"/>
            </w:pPr>
            <w:r>
              <w:rPr>
                <w:rFonts w:ascii="Calibri" w:hAnsi="Calibri" w:eastAsia="Calibri"/>
                <w:b w:val="0"/>
                <w:color w:val="1A1A1A"/>
                <w:sz w:val="17"/>
              </w:rPr>
              <w:t>12 hours incl. coaching, document review and liaison</w:t>
            </w:r>
          </w:p>
        </w:tc>
      </w:tr>
      <w:tr>
        <w:trPr>
          <w:cantSplit/>
        </w:trPr>
        <w:tc>
          <w:tcPr>
            <w:tcW w:type="dxa" w:w="1670"/>
            <w:tcMar>
              <w:top w:w="80" w:type="dxa"/>
              <w:start w:w="120" w:type="dxa"/>
              <w:bottom w:w="80" w:type="dxa"/>
              <w:end w:w="120" w:type="dxa"/>
            </w:tcMar>
            <w:tcBorders>
              <w:top w:val="single" w:sz="4" w:space="0" w:color="D9E0E7"/>
              <w:left w:val="single" w:sz="4" w:space="0" w:color="D9E0E7"/>
              <w:bottom w:val="single" w:sz="4" w:space="0" w:color="D9E0E7"/>
              <w:right w:val="single" w:sz="4" w:space="0" w:color="D9E0E7"/>
              <w:insideH w:val="single" w:sz="4" w:space="0" w:color="D9E0E7"/>
              <w:insideV w:val="single" w:sz="4" w:space="0" w:color="D9E0E7"/>
            </w:tcBorders>
            <w:vAlign w:val="center"/>
          </w:tcPr>
          <w:p>
            <w:pPr>
              <w:spacing w:before="0" w:after="0" w:line="252" w:lineRule="auto"/>
            </w:pPr>
            <w:r>
              <w:rPr>
                <w:rFonts w:ascii="Calibri" w:hAnsi="Calibri" w:eastAsia="Calibri"/>
                <w:b/>
                <w:color w:val="1A1A1A"/>
                <w:sz w:val="17"/>
              </w:rPr>
              <w:t>Sophie Buck</w:t>
            </w:r>
          </w:p>
        </w:tc>
        <w:tc>
          <w:tcPr>
            <w:tcW w:type="dxa" w:w="1680"/>
            <w:tcMar>
              <w:top w:w="80" w:type="dxa"/>
              <w:start w:w="120" w:type="dxa"/>
              <w:bottom w:w="80" w:type="dxa"/>
              <w:end w:w="120" w:type="dxa"/>
            </w:tcMar>
            <w:tcBorders>
              <w:top w:val="single" w:sz="4" w:space="0" w:color="D9E0E7"/>
              <w:left w:val="single" w:sz="4" w:space="0" w:color="D9E0E7"/>
              <w:bottom w:val="single" w:sz="4" w:space="0" w:color="D9E0E7"/>
              <w:right w:val="single" w:sz="4" w:space="0" w:color="D9E0E7"/>
              <w:insideH w:val="single" w:sz="4" w:space="0" w:color="D9E0E7"/>
              <w:insideV w:val="single" w:sz="4" w:space="0" w:color="D9E0E7"/>
            </w:tcBorders>
            <w:vAlign w:val="center"/>
          </w:tcPr>
          <w:p>
            <w:pPr>
              <w:spacing w:before="0" w:after="0" w:line="252" w:lineRule="auto"/>
            </w:pPr>
            <w:r>
              <w:rPr>
                <w:rFonts w:ascii="Calibri" w:hAnsi="Calibri" w:eastAsia="Calibri"/>
                <w:b w:val="0"/>
                <w:color w:val="1A1A1A"/>
                <w:sz w:val="17"/>
              </w:rPr>
              <w:t>Core Monthly</w:t>
            </w:r>
          </w:p>
        </w:tc>
        <w:tc>
          <w:tcPr>
            <w:tcW w:type="dxa" w:w="1690"/>
            <w:tcMar>
              <w:top w:w="80" w:type="dxa"/>
              <w:start w:w="120" w:type="dxa"/>
              <w:bottom w:w="80" w:type="dxa"/>
              <w:end w:w="120" w:type="dxa"/>
            </w:tcMar>
            <w:tcBorders>
              <w:top w:val="single" w:sz="4" w:space="0" w:color="D9E0E7"/>
              <w:left w:val="single" w:sz="4" w:space="0" w:color="D9E0E7"/>
              <w:bottom w:val="single" w:sz="4" w:space="0" w:color="D9E0E7"/>
              <w:right w:val="single" w:sz="4" w:space="0" w:color="D9E0E7"/>
              <w:insideH w:val="single" w:sz="4" w:space="0" w:color="D9E0E7"/>
              <w:insideV w:val="single" w:sz="4" w:space="0" w:color="D9E0E7"/>
            </w:tcBorders>
            <w:vAlign w:val="center"/>
          </w:tcPr>
          <w:p>
            <w:pPr>
              <w:spacing w:before="0" w:after="0" w:line="252" w:lineRule="auto"/>
            </w:pPr>
            <w:r>
              <w:rPr>
                <w:rFonts w:ascii="Calibri" w:hAnsi="Calibri" w:eastAsia="Calibri"/>
                <w:b w:val="0"/>
                <w:color w:val="1A1A1A"/>
                <w:sz w:val="17"/>
              </w:rPr>
              <w:t>£375/month</w:t>
            </w:r>
          </w:p>
        </w:tc>
        <w:tc>
          <w:tcPr>
            <w:tcW w:type="dxa" w:w="4320"/>
            <w:tcMar>
              <w:top w:w="80" w:type="dxa"/>
              <w:start w:w="120" w:type="dxa"/>
              <w:bottom w:w="80" w:type="dxa"/>
              <w:end w:w="120" w:type="dxa"/>
            </w:tcMar>
            <w:tcBorders>
              <w:top w:val="single" w:sz="4" w:space="0" w:color="D9E0E7"/>
              <w:left w:val="single" w:sz="4" w:space="0" w:color="D9E0E7"/>
              <w:bottom w:val="single" w:sz="4" w:space="0" w:color="D9E0E7"/>
              <w:right w:val="single" w:sz="4" w:space="0" w:color="D9E0E7"/>
              <w:insideH w:val="single" w:sz="4" w:space="0" w:color="D9E0E7"/>
              <w:insideV w:val="single" w:sz="4" w:space="0" w:color="D9E0E7"/>
            </w:tcBorders>
            <w:vAlign w:val="center"/>
          </w:tcPr>
          <w:p>
            <w:pPr>
              <w:spacing w:before="0" w:after="0" w:line="252" w:lineRule="auto"/>
            </w:pPr>
            <w:r>
              <w:rPr>
                <w:rFonts w:ascii="Calibri" w:hAnsi="Calibri" w:eastAsia="Calibri"/>
                <w:b w:val="0"/>
                <w:color w:val="1A1A1A"/>
                <w:sz w:val="17"/>
              </w:rPr>
              <w:t>Four one-hour sessions + WhatsApp</w:t>
            </w:r>
          </w:p>
        </w:tc>
      </w:tr>
      <w:tr>
        <w:trPr>
          <w:cantSplit/>
        </w:trPr>
        <w:tc>
          <w:tcPr>
            <w:tcW w:type="dxa" w:w="1670"/>
            <w:shd w:fill="F7F9FB" w:val="clear"/>
            <w:tcMar>
              <w:top w:w="80" w:type="dxa"/>
              <w:start w:w="120" w:type="dxa"/>
              <w:bottom w:w="80" w:type="dxa"/>
              <w:end w:w="120" w:type="dxa"/>
            </w:tcMar>
            <w:tcBorders>
              <w:top w:val="single" w:sz="4" w:space="0" w:color="D9E0E7"/>
              <w:left w:val="single" w:sz="4" w:space="0" w:color="D9E0E7"/>
              <w:bottom w:val="single" w:sz="4" w:space="0" w:color="D9E0E7"/>
              <w:right w:val="single" w:sz="4" w:space="0" w:color="D9E0E7"/>
              <w:insideH w:val="single" w:sz="4" w:space="0" w:color="D9E0E7"/>
              <w:insideV w:val="single" w:sz="4" w:space="0" w:color="D9E0E7"/>
            </w:tcBorders>
            <w:vAlign w:val="center"/>
          </w:tcPr>
          <w:p>
            <w:pPr>
              <w:spacing w:before="0" w:after="0" w:line="252" w:lineRule="auto"/>
            </w:pPr>
            <w:r>
              <w:rPr>
                <w:rFonts w:ascii="Calibri" w:hAnsi="Calibri" w:eastAsia="Calibri"/>
                <w:b/>
                <w:color w:val="1A1A1A"/>
                <w:sz w:val="17"/>
              </w:rPr>
              <w:t>Sophie Buck</w:t>
            </w:r>
          </w:p>
        </w:tc>
        <w:tc>
          <w:tcPr>
            <w:tcW w:type="dxa" w:w="1680"/>
            <w:shd w:fill="F7F9FB" w:val="clear"/>
            <w:tcMar>
              <w:top w:w="80" w:type="dxa"/>
              <w:start w:w="120" w:type="dxa"/>
              <w:bottom w:w="80" w:type="dxa"/>
              <w:end w:w="120" w:type="dxa"/>
            </w:tcMar>
            <w:tcBorders>
              <w:top w:val="single" w:sz="4" w:space="0" w:color="D9E0E7"/>
              <w:left w:val="single" w:sz="4" w:space="0" w:color="D9E0E7"/>
              <w:bottom w:val="single" w:sz="4" w:space="0" w:color="D9E0E7"/>
              <w:right w:val="single" w:sz="4" w:space="0" w:color="D9E0E7"/>
              <w:insideH w:val="single" w:sz="4" w:space="0" w:color="D9E0E7"/>
              <w:insideV w:val="single" w:sz="4" w:space="0" w:color="D9E0E7"/>
            </w:tcBorders>
            <w:vAlign w:val="center"/>
          </w:tcPr>
          <w:p>
            <w:pPr>
              <w:spacing w:before="0" w:after="0" w:line="252" w:lineRule="auto"/>
            </w:pPr>
            <w:r>
              <w:rPr>
                <w:rFonts w:ascii="Calibri" w:hAnsi="Calibri" w:eastAsia="Calibri"/>
                <w:b w:val="0"/>
                <w:color w:val="1A1A1A"/>
                <w:sz w:val="17"/>
              </w:rPr>
              <w:t>Turning Point</w:t>
            </w:r>
          </w:p>
        </w:tc>
        <w:tc>
          <w:tcPr>
            <w:tcW w:type="dxa" w:w="1690"/>
            <w:shd w:fill="F7F9FB" w:val="clear"/>
            <w:tcMar>
              <w:top w:w="80" w:type="dxa"/>
              <w:start w:w="120" w:type="dxa"/>
              <w:bottom w:w="80" w:type="dxa"/>
              <w:end w:w="120" w:type="dxa"/>
            </w:tcMar>
            <w:tcBorders>
              <w:top w:val="single" w:sz="4" w:space="0" w:color="D9E0E7"/>
              <w:left w:val="single" w:sz="4" w:space="0" w:color="D9E0E7"/>
              <w:bottom w:val="single" w:sz="4" w:space="0" w:color="D9E0E7"/>
              <w:right w:val="single" w:sz="4" w:space="0" w:color="D9E0E7"/>
              <w:insideH w:val="single" w:sz="4" w:space="0" w:color="D9E0E7"/>
              <w:insideV w:val="single" w:sz="4" w:space="0" w:color="D9E0E7"/>
            </w:tcBorders>
            <w:vAlign w:val="center"/>
          </w:tcPr>
          <w:p>
            <w:pPr>
              <w:spacing w:before="0" w:after="0" w:line="252" w:lineRule="auto"/>
            </w:pPr>
            <w:r>
              <w:rPr>
                <w:rFonts w:ascii="Calibri" w:hAnsi="Calibri" w:eastAsia="Calibri"/>
                <w:b w:val="0"/>
                <w:color w:val="1A1A1A"/>
                <w:sz w:val="17"/>
              </w:rPr>
              <w:t>£650 / 6 weeks</w:t>
            </w:r>
          </w:p>
        </w:tc>
        <w:tc>
          <w:tcPr>
            <w:tcW w:type="dxa" w:w="4320"/>
            <w:shd w:fill="F7F9FB" w:val="clear"/>
            <w:tcMar>
              <w:top w:w="80" w:type="dxa"/>
              <w:start w:w="120" w:type="dxa"/>
              <w:bottom w:w="80" w:type="dxa"/>
              <w:end w:w="120" w:type="dxa"/>
            </w:tcMar>
            <w:tcBorders>
              <w:top w:val="single" w:sz="4" w:space="0" w:color="D9E0E7"/>
              <w:left w:val="single" w:sz="4" w:space="0" w:color="D9E0E7"/>
              <w:bottom w:val="single" w:sz="4" w:space="0" w:color="D9E0E7"/>
              <w:right w:val="single" w:sz="4" w:space="0" w:color="D9E0E7"/>
              <w:insideH w:val="single" w:sz="4" w:space="0" w:color="D9E0E7"/>
              <w:insideV w:val="single" w:sz="4" w:space="0" w:color="D9E0E7"/>
            </w:tcBorders>
            <w:vAlign w:val="center"/>
          </w:tcPr>
          <w:p>
            <w:pPr>
              <w:spacing w:before="0" w:after="0" w:line="252" w:lineRule="auto"/>
            </w:pPr>
            <w:r>
              <w:rPr>
                <w:rFonts w:ascii="Calibri" w:hAnsi="Calibri" w:eastAsia="Calibri"/>
                <w:b w:val="0"/>
                <w:color w:val="1A1A1A"/>
                <w:sz w:val="17"/>
              </w:rPr>
              <w:t>6.5 session hours, WhatsApp, two reassurance calls</w:t>
            </w:r>
          </w:p>
        </w:tc>
      </w:tr>
      <w:tr>
        <w:trPr>
          <w:cantSplit/>
        </w:trPr>
        <w:tc>
          <w:tcPr>
            <w:tcW w:type="dxa" w:w="1670"/>
            <w:tcMar>
              <w:top w:w="80" w:type="dxa"/>
              <w:start w:w="120" w:type="dxa"/>
              <w:bottom w:w="80" w:type="dxa"/>
              <w:end w:w="120" w:type="dxa"/>
            </w:tcMar>
            <w:tcBorders>
              <w:top w:val="single" w:sz="4" w:space="0" w:color="D9E0E7"/>
              <w:left w:val="single" w:sz="4" w:space="0" w:color="D9E0E7"/>
              <w:bottom w:val="single" w:sz="4" w:space="0" w:color="D9E0E7"/>
              <w:right w:val="single" w:sz="4" w:space="0" w:color="D9E0E7"/>
              <w:insideH w:val="single" w:sz="4" w:space="0" w:color="D9E0E7"/>
              <w:insideV w:val="single" w:sz="4" w:space="0" w:color="D9E0E7"/>
            </w:tcBorders>
            <w:vAlign w:val="center"/>
          </w:tcPr>
          <w:p>
            <w:pPr>
              <w:spacing w:before="0" w:after="0" w:line="252" w:lineRule="auto"/>
            </w:pPr>
            <w:r>
              <w:rPr>
                <w:rFonts w:ascii="Calibri" w:hAnsi="Calibri" w:eastAsia="Calibri"/>
                <w:b/>
                <w:color w:val="1A1A1A"/>
                <w:sz w:val="17"/>
              </w:rPr>
              <w:t>Sophie Buck</w:t>
            </w:r>
          </w:p>
        </w:tc>
        <w:tc>
          <w:tcPr>
            <w:tcW w:type="dxa" w:w="1680"/>
            <w:tcMar>
              <w:top w:w="80" w:type="dxa"/>
              <w:start w:w="120" w:type="dxa"/>
              <w:bottom w:w="80" w:type="dxa"/>
              <w:end w:w="120" w:type="dxa"/>
            </w:tcMar>
            <w:tcBorders>
              <w:top w:val="single" w:sz="4" w:space="0" w:color="D9E0E7"/>
              <w:left w:val="single" w:sz="4" w:space="0" w:color="D9E0E7"/>
              <w:bottom w:val="single" w:sz="4" w:space="0" w:color="D9E0E7"/>
              <w:right w:val="single" w:sz="4" w:space="0" w:color="D9E0E7"/>
              <w:insideH w:val="single" w:sz="4" w:space="0" w:color="D9E0E7"/>
              <w:insideV w:val="single" w:sz="4" w:space="0" w:color="D9E0E7"/>
            </w:tcBorders>
            <w:vAlign w:val="center"/>
          </w:tcPr>
          <w:p>
            <w:pPr>
              <w:spacing w:before="0" w:after="0" w:line="252" w:lineRule="auto"/>
            </w:pPr>
            <w:r>
              <w:rPr>
                <w:rFonts w:ascii="Calibri" w:hAnsi="Calibri" w:eastAsia="Calibri"/>
                <w:b w:val="0"/>
                <w:color w:val="1A1A1A"/>
                <w:sz w:val="17"/>
              </w:rPr>
              <w:t>New Start</w:t>
            </w:r>
          </w:p>
        </w:tc>
        <w:tc>
          <w:tcPr>
            <w:tcW w:type="dxa" w:w="1690"/>
            <w:tcMar>
              <w:top w:w="80" w:type="dxa"/>
              <w:start w:w="120" w:type="dxa"/>
              <w:bottom w:w="80" w:type="dxa"/>
              <w:end w:w="120" w:type="dxa"/>
            </w:tcMar>
            <w:tcBorders>
              <w:top w:val="single" w:sz="4" w:space="0" w:color="D9E0E7"/>
              <w:left w:val="single" w:sz="4" w:space="0" w:color="D9E0E7"/>
              <w:bottom w:val="single" w:sz="4" w:space="0" w:color="D9E0E7"/>
              <w:right w:val="single" w:sz="4" w:space="0" w:color="D9E0E7"/>
              <w:insideH w:val="single" w:sz="4" w:space="0" w:color="D9E0E7"/>
              <w:insideV w:val="single" w:sz="4" w:space="0" w:color="D9E0E7"/>
            </w:tcBorders>
            <w:vAlign w:val="center"/>
          </w:tcPr>
          <w:p>
            <w:pPr>
              <w:spacing w:before="0" w:after="0" w:line="252" w:lineRule="auto"/>
            </w:pPr>
            <w:r>
              <w:rPr>
                <w:rFonts w:ascii="Calibri" w:hAnsi="Calibri" w:eastAsia="Calibri"/>
                <w:b w:val="0"/>
                <w:color w:val="1A1A1A"/>
                <w:sz w:val="17"/>
              </w:rPr>
              <w:t>£995 / 3 months</w:t>
            </w:r>
          </w:p>
        </w:tc>
        <w:tc>
          <w:tcPr>
            <w:tcW w:type="dxa" w:w="4320"/>
            <w:tcMar>
              <w:top w:w="80" w:type="dxa"/>
              <w:start w:w="120" w:type="dxa"/>
              <w:bottom w:w="80" w:type="dxa"/>
              <w:end w:w="120" w:type="dxa"/>
            </w:tcMar>
            <w:tcBorders>
              <w:top w:val="single" w:sz="4" w:space="0" w:color="D9E0E7"/>
              <w:left w:val="single" w:sz="4" w:space="0" w:color="D9E0E7"/>
              <w:bottom w:val="single" w:sz="4" w:space="0" w:color="D9E0E7"/>
              <w:right w:val="single" w:sz="4" w:space="0" w:color="D9E0E7"/>
              <w:insideH w:val="single" w:sz="4" w:space="0" w:color="D9E0E7"/>
              <w:insideV w:val="single" w:sz="4" w:space="0" w:color="D9E0E7"/>
            </w:tcBorders>
            <w:vAlign w:val="center"/>
          </w:tcPr>
          <w:p>
            <w:pPr>
              <w:spacing w:before="0" w:after="0" w:line="252" w:lineRule="auto"/>
            </w:pPr>
            <w:r>
              <w:rPr>
                <w:rFonts w:ascii="Calibri" w:hAnsi="Calibri" w:eastAsia="Calibri"/>
                <w:b w:val="0"/>
                <w:color w:val="1A1A1A"/>
                <w:sz w:val="17"/>
              </w:rPr>
              <w:t>10.5 session hours, WhatsApp, three reassurance calls</w:t>
            </w:r>
          </w:p>
        </w:tc>
      </w:tr>
      <w:tr>
        <w:trPr>
          <w:cantSplit/>
        </w:trPr>
        <w:tc>
          <w:tcPr>
            <w:tcW w:type="dxa" w:w="1670"/>
            <w:shd w:fill="F7F9FB" w:val="clear"/>
            <w:tcMar>
              <w:top w:w="80" w:type="dxa"/>
              <w:start w:w="120" w:type="dxa"/>
              <w:bottom w:w="80" w:type="dxa"/>
              <w:end w:w="120" w:type="dxa"/>
            </w:tcMar>
            <w:tcBorders>
              <w:top w:val="single" w:sz="4" w:space="0" w:color="D9E0E7"/>
              <w:left w:val="single" w:sz="4" w:space="0" w:color="D9E0E7"/>
              <w:bottom w:val="single" w:sz="4" w:space="0" w:color="D9E0E7"/>
              <w:right w:val="single" w:sz="4" w:space="0" w:color="D9E0E7"/>
              <w:insideH w:val="single" w:sz="4" w:space="0" w:color="D9E0E7"/>
              <w:insideV w:val="single" w:sz="4" w:space="0" w:color="D9E0E7"/>
            </w:tcBorders>
            <w:vAlign w:val="center"/>
          </w:tcPr>
          <w:p>
            <w:pPr>
              <w:spacing w:before="0" w:after="0" w:line="252" w:lineRule="auto"/>
            </w:pPr>
            <w:r>
              <w:rPr>
                <w:rFonts w:ascii="Calibri" w:hAnsi="Calibri" w:eastAsia="Calibri"/>
                <w:b/>
                <w:color w:val="1A1A1A"/>
                <w:sz w:val="17"/>
              </w:rPr>
              <w:t>D Divorce Coaching</w:t>
            </w:r>
          </w:p>
        </w:tc>
        <w:tc>
          <w:tcPr>
            <w:tcW w:type="dxa" w:w="1680"/>
            <w:shd w:fill="F7F9FB" w:val="clear"/>
            <w:tcMar>
              <w:top w:w="80" w:type="dxa"/>
              <w:start w:w="120" w:type="dxa"/>
              <w:bottom w:w="80" w:type="dxa"/>
              <w:end w:w="120" w:type="dxa"/>
            </w:tcMar>
            <w:tcBorders>
              <w:top w:val="single" w:sz="4" w:space="0" w:color="D9E0E7"/>
              <w:left w:val="single" w:sz="4" w:space="0" w:color="D9E0E7"/>
              <w:bottom w:val="single" w:sz="4" w:space="0" w:color="D9E0E7"/>
              <w:right w:val="single" w:sz="4" w:space="0" w:color="D9E0E7"/>
              <w:insideH w:val="single" w:sz="4" w:space="0" w:color="D9E0E7"/>
              <w:insideV w:val="single" w:sz="4" w:space="0" w:color="D9E0E7"/>
            </w:tcBorders>
            <w:vAlign w:val="center"/>
          </w:tcPr>
          <w:p>
            <w:pPr>
              <w:spacing w:before="0" w:after="0" w:line="252" w:lineRule="auto"/>
            </w:pPr>
            <w:r>
              <w:rPr>
                <w:rFonts w:ascii="Calibri" w:hAnsi="Calibri" w:eastAsia="Calibri"/>
                <w:b w:val="0"/>
                <w:color w:val="1A1A1A"/>
                <w:sz w:val="17"/>
              </w:rPr>
              <w:t>Single / 3 / 6</w:t>
            </w:r>
          </w:p>
        </w:tc>
        <w:tc>
          <w:tcPr>
            <w:tcW w:type="dxa" w:w="1690"/>
            <w:shd w:fill="F7F9FB" w:val="clear"/>
            <w:tcMar>
              <w:top w:w="80" w:type="dxa"/>
              <w:start w:w="120" w:type="dxa"/>
              <w:bottom w:w="80" w:type="dxa"/>
              <w:end w:w="120" w:type="dxa"/>
            </w:tcMar>
            <w:tcBorders>
              <w:top w:val="single" w:sz="4" w:space="0" w:color="D9E0E7"/>
              <w:left w:val="single" w:sz="4" w:space="0" w:color="D9E0E7"/>
              <w:bottom w:val="single" w:sz="4" w:space="0" w:color="D9E0E7"/>
              <w:right w:val="single" w:sz="4" w:space="0" w:color="D9E0E7"/>
              <w:insideH w:val="single" w:sz="4" w:space="0" w:color="D9E0E7"/>
              <w:insideV w:val="single" w:sz="4" w:space="0" w:color="D9E0E7"/>
            </w:tcBorders>
            <w:vAlign w:val="center"/>
          </w:tcPr>
          <w:p>
            <w:pPr>
              <w:spacing w:before="0" w:after="0" w:line="252" w:lineRule="auto"/>
            </w:pPr>
            <w:r>
              <w:rPr>
                <w:rFonts w:ascii="Calibri" w:hAnsi="Calibri" w:eastAsia="Calibri"/>
                <w:b w:val="0"/>
                <w:color w:val="1A1A1A"/>
                <w:sz w:val="17"/>
              </w:rPr>
              <w:t>£160 / £460 / £930</w:t>
            </w:r>
          </w:p>
        </w:tc>
        <w:tc>
          <w:tcPr>
            <w:tcW w:type="dxa" w:w="4320"/>
            <w:shd w:fill="F7F9FB" w:val="clear"/>
            <w:tcMar>
              <w:top w:w="80" w:type="dxa"/>
              <w:start w:w="120" w:type="dxa"/>
              <w:bottom w:w="80" w:type="dxa"/>
              <w:end w:w="120" w:type="dxa"/>
            </w:tcMar>
            <w:tcBorders>
              <w:top w:val="single" w:sz="4" w:space="0" w:color="D9E0E7"/>
              <w:left w:val="single" w:sz="4" w:space="0" w:color="D9E0E7"/>
              <w:bottom w:val="single" w:sz="4" w:space="0" w:color="D9E0E7"/>
              <w:right w:val="single" w:sz="4" w:space="0" w:color="D9E0E7"/>
              <w:insideH w:val="single" w:sz="4" w:space="0" w:color="D9E0E7"/>
              <w:insideV w:val="single" w:sz="4" w:space="0" w:color="D9E0E7"/>
            </w:tcBorders>
            <w:vAlign w:val="center"/>
          </w:tcPr>
          <w:p>
            <w:pPr>
              <w:spacing w:before="0" w:after="0" w:line="252" w:lineRule="auto"/>
            </w:pPr>
            <w:r>
              <w:rPr>
                <w:rFonts w:ascii="Calibri" w:hAnsi="Calibri" w:eastAsia="Calibri"/>
                <w:b w:val="0"/>
                <w:color w:val="1A1A1A"/>
                <w:sz w:val="17"/>
              </w:rPr>
              <w:t>Private one-hour sessions</w:t>
            </w:r>
          </w:p>
        </w:tc>
      </w:tr>
      <w:tr>
        <w:trPr>
          <w:cantSplit/>
        </w:trPr>
        <w:tc>
          <w:tcPr>
            <w:tcW w:type="dxa" w:w="1670"/>
            <w:tcMar>
              <w:top w:w="80" w:type="dxa"/>
              <w:start w:w="120" w:type="dxa"/>
              <w:bottom w:w="80" w:type="dxa"/>
              <w:end w:w="120" w:type="dxa"/>
            </w:tcMar>
            <w:tcBorders>
              <w:top w:val="single" w:sz="4" w:space="0" w:color="D9E0E7"/>
              <w:left w:val="single" w:sz="4" w:space="0" w:color="D9E0E7"/>
              <w:bottom w:val="single" w:sz="4" w:space="0" w:color="D9E0E7"/>
              <w:right w:val="single" w:sz="4" w:space="0" w:color="D9E0E7"/>
              <w:insideH w:val="single" w:sz="4" w:space="0" w:color="D9E0E7"/>
              <w:insideV w:val="single" w:sz="4" w:space="0" w:color="D9E0E7"/>
            </w:tcBorders>
            <w:vAlign w:val="center"/>
          </w:tcPr>
          <w:p>
            <w:pPr>
              <w:spacing w:before="0" w:after="0" w:line="252" w:lineRule="auto"/>
            </w:pPr>
            <w:r>
              <w:rPr>
                <w:rFonts w:ascii="Calibri" w:hAnsi="Calibri" w:eastAsia="Calibri"/>
                <w:b/>
                <w:color w:val="1A1A1A"/>
                <w:sz w:val="17"/>
              </w:rPr>
              <w:t>Samantha Johnson</w:t>
            </w:r>
          </w:p>
        </w:tc>
        <w:tc>
          <w:tcPr>
            <w:tcW w:type="dxa" w:w="1680"/>
            <w:tcMar>
              <w:top w:w="80" w:type="dxa"/>
              <w:start w:w="120" w:type="dxa"/>
              <w:bottom w:w="80" w:type="dxa"/>
              <w:end w:w="120" w:type="dxa"/>
            </w:tcMar>
            <w:tcBorders>
              <w:top w:val="single" w:sz="4" w:space="0" w:color="D9E0E7"/>
              <w:left w:val="single" w:sz="4" w:space="0" w:color="D9E0E7"/>
              <w:bottom w:val="single" w:sz="4" w:space="0" w:color="D9E0E7"/>
              <w:right w:val="single" w:sz="4" w:space="0" w:color="D9E0E7"/>
              <w:insideH w:val="single" w:sz="4" w:space="0" w:color="D9E0E7"/>
              <w:insideV w:val="single" w:sz="4" w:space="0" w:color="D9E0E7"/>
            </w:tcBorders>
            <w:vAlign w:val="center"/>
          </w:tcPr>
          <w:p>
            <w:pPr>
              <w:spacing w:before="0" w:after="0" w:line="252" w:lineRule="auto"/>
            </w:pPr>
            <w:r>
              <w:rPr>
                <w:rFonts w:ascii="Calibri" w:hAnsi="Calibri" w:eastAsia="Calibri"/>
                <w:b w:val="0"/>
                <w:color w:val="1A1A1A"/>
                <w:sz w:val="17"/>
              </w:rPr>
              <w:t>Bronze</w:t>
            </w:r>
          </w:p>
        </w:tc>
        <w:tc>
          <w:tcPr>
            <w:tcW w:type="dxa" w:w="1690"/>
            <w:tcMar>
              <w:top w:w="80" w:type="dxa"/>
              <w:start w:w="120" w:type="dxa"/>
              <w:bottom w:w="80" w:type="dxa"/>
              <w:end w:w="120" w:type="dxa"/>
            </w:tcMar>
            <w:tcBorders>
              <w:top w:val="single" w:sz="4" w:space="0" w:color="D9E0E7"/>
              <w:left w:val="single" w:sz="4" w:space="0" w:color="D9E0E7"/>
              <w:bottom w:val="single" w:sz="4" w:space="0" w:color="D9E0E7"/>
              <w:right w:val="single" w:sz="4" w:space="0" w:color="D9E0E7"/>
              <w:insideH w:val="single" w:sz="4" w:space="0" w:color="D9E0E7"/>
              <w:insideV w:val="single" w:sz="4" w:space="0" w:color="D9E0E7"/>
            </w:tcBorders>
            <w:vAlign w:val="center"/>
          </w:tcPr>
          <w:p>
            <w:pPr>
              <w:spacing w:before="0" w:after="0" w:line="252" w:lineRule="auto"/>
            </w:pPr>
            <w:r>
              <w:rPr>
                <w:rFonts w:ascii="Calibri" w:hAnsi="Calibri" w:eastAsia="Calibri"/>
                <w:b w:val="0"/>
                <w:color w:val="1A1A1A"/>
                <w:sz w:val="17"/>
              </w:rPr>
              <w:t>£520/month</w:t>
            </w:r>
          </w:p>
        </w:tc>
        <w:tc>
          <w:tcPr>
            <w:tcW w:type="dxa" w:w="4320"/>
            <w:tcMar>
              <w:top w:w="80" w:type="dxa"/>
              <w:start w:w="120" w:type="dxa"/>
              <w:bottom w:w="80" w:type="dxa"/>
              <w:end w:w="120" w:type="dxa"/>
            </w:tcMar>
            <w:tcBorders>
              <w:top w:val="single" w:sz="4" w:space="0" w:color="D9E0E7"/>
              <w:left w:val="single" w:sz="4" w:space="0" w:color="D9E0E7"/>
              <w:bottom w:val="single" w:sz="4" w:space="0" w:color="D9E0E7"/>
              <w:right w:val="single" w:sz="4" w:space="0" w:color="D9E0E7"/>
              <w:insideH w:val="single" w:sz="4" w:space="0" w:color="D9E0E7"/>
              <w:insideV w:val="single" w:sz="4" w:space="0" w:color="D9E0E7"/>
            </w:tcBorders>
            <w:vAlign w:val="center"/>
          </w:tcPr>
          <w:p>
            <w:pPr>
              <w:spacing w:before="0" w:after="0" w:line="252" w:lineRule="auto"/>
            </w:pPr>
            <w:r>
              <w:rPr>
                <w:rFonts w:ascii="Calibri" w:hAnsi="Calibri" w:eastAsia="Calibri"/>
                <w:b w:val="0"/>
                <w:color w:val="1A1A1A"/>
                <w:sz w:val="17"/>
              </w:rPr>
              <w:t>Four sessions, limited texts, one emergency call</w:t>
            </w:r>
          </w:p>
        </w:tc>
      </w:tr>
      <w:tr>
        <w:trPr>
          <w:cantSplit/>
        </w:trPr>
        <w:tc>
          <w:tcPr>
            <w:tcW w:type="dxa" w:w="1670"/>
            <w:shd w:fill="F7F9FB" w:val="clear"/>
            <w:tcMar>
              <w:top w:w="80" w:type="dxa"/>
              <w:start w:w="120" w:type="dxa"/>
              <w:bottom w:w="80" w:type="dxa"/>
              <w:end w:w="120" w:type="dxa"/>
            </w:tcMar>
            <w:tcBorders>
              <w:top w:val="single" w:sz="4" w:space="0" w:color="D9E0E7"/>
              <w:left w:val="single" w:sz="4" w:space="0" w:color="D9E0E7"/>
              <w:bottom w:val="single" w:sz="4" w:space="0" w:color="D9E0E7"/>
              <w:right w:val="single" w:sz="4" w:space="0" w:color="D9E0E7"/>
              <w:insideH w:val="single" w:sz="4" w:space="0" w:color="D9E0E7"/>
              <w:insideV w:val="single" w:sz="4" w:space="0" w:color="D9E0E7"/>
            </w:tcBorders>
            <w:vAlign w:val="center"/>
          </w:tcPr>
          <w:p>
            <w:pPr>
              <w:spacing w:before="0" w:after="0" w:line="252" w:lineRule="auto"/>
            </w:pPr>
            <w:r>
              <w:rPr>
                <w:rFonts w:ascii="Calibri" w:hAnsi="Calibri" w:eastAsia="Calibri"/>
                <w:b/>
                <w:color w:val="1A1A1A"/>
                <w:sz w:val="17"/>
              </w:rPr>
              <w:t>Samantha Johnson</w:t>
            </w:r>
          </w:p>
        </w:tc>
        <w:tc>
          <w:tcPr>
            <w:tcW w:type="dxa" w:w="1680"/>
            <w:shd w:fill="F7F9FB" w:val="clear"/>
            <w:tcMar>
              <w:top w:w="80" w:type="dxa"/>
              <w:start w:w="120" w:type="dxa"/>
              <w:bottom w:w="80" w:type="dxa"/>
              <w:end w:w="120" w:type="dxa"/>
            </w:tcMar>
            <w:tcBorders>
              <w:top w:val="single" w:sz="4" w:space="0" w:color="D9E0E7"/>
              <w:left w:val="single" w:sz="4" w:space="0" w:color="D9E0E7"/>
              <w:bottom w:val="single" w:sz="4" w:space="0" w:color="D9E0E7"/>
              <w:right w:val="single" w:sz="4" w:space="0" w:color="D9E0E7"/>
              <w:insideH w:val="single" w:sz="4" w:space="0" w:color="D9E0E7"/>
              <w:insideV w:val="single" w:sz="4" w:space="0" w:color="D9E0E7"/>
            </w:tcBorders>
            <w:vAlign w:val="center"/>
          </w:tcPr>
          <w:p>
            <w:pPr>
              <w:spacing w:before="0" w:after="0" w:line="252" w:lineRule="auto"/>
            </w:pPr>
            <w:r>
              <w:rPr>
                <w:rFonts w:ascii="Calibri" w:hAnsi="Calibri" w:eastAsia="Calibri"/>
                <w:b w:val="0"/>
                <w:color w:val="1A1A1A"/>
                <w:sz w:val="17"/>
              </w:rPr>
              <w:t>Platinum</w:t>
            </w:r>
          </w:p>
        </w:tc>
        <w:tc>
          <w:tcPr>
            <w:tcW w:type="dxa" w:w="1690"/>
            <w:shd w:fill="F7F9FB" w:val="clear"/>
            <w:tcMar>
              <w:top w:w="80" w:type="dxa"/>
              <w:start w:w="120" w:type="dxa"/>
              <w:bottom w:w="80" w:type="dxa"/>
              <w:end w:w="120" w:type="dxa"/>
            </w:tcMar>
            <w:tcBorders>
              <w:top w:val="single" w:sz="4" w:space="0" w:color="D9E0E7"/>
              <w:left w:val="single" w:sz="4" w:space="0" w:color="D9E0E7"/>
              <w:bottom w:val="single" w:sz="4" w:space="0" w:color="D9E0E7"/>
              <w:right w:val="single" w:sz="4" w:space="0" w:color="D9E0E7"/>
              <w:insideH w:val="single" w:sz="4" w:space="0" w:color="D9E0E7"/>
              <w:insideV w:val="single" w:sz="4" w:space="0" w:color="D9E0E7"/>
            </w:tcBorders>
            <w:vAlign w:val="center"/>
          </w:tcPr>
          <w:p>
            <w:pPr>
              <w:spacing w:before="0" w:after="0" w:line="252" w:lineRule="auto"/>
            </w:pPr>
            <w:r>
              <w:rPr>
                <w:rFonts w:ascii="Calibri" w:hAnsi="Calibri" w:eastAsia="Calibri"/>
                <w:b w:val="0"/>
                <w:color w:val="1A1A1A"/>
                <w:sz w:val="17"/>
              </w:rPr>
              <w:t>£800/month</w:t>
            </w:r>
          </w:p>
        </w:tc>
        <w:tc>
          <w:tcPr>
            <w:tcW w:type="dxa" w:w="4320"/>
            <w:shd w:fill="F7F9FB" w:val="clear"/>
            <w:tcMar>
              <w:top w:w="80" w:type="dxa"/>
              <w:start w:w="120" w:type="dxa"/>
              <w:bottom w:w="80" w:type="dxa"/>
              <w:end w:w="120" w:type="dxa"/>
            </w:tcMar>
            <w:tcBorders>
              <w:top w:val="single" w:sz="4" w:space="0" w:color="D9E0E7"/>
              <w:left w:val="single" w:sz="4" w:space="0" w:color="D9E0E7"/>
              <w:bottom w:val="single" w:sz="4" w:space="0" w:color="D9E0E7"/>
              <w:right w:val="single" w:sz="4" w:space="0" w:color="D9E0E7"/>
              <w:insideH w:val="single" w:sz="4" w:space="0" w:color="D9E0E7"/>
              <w:insideV w:val="single" w:sz="4" w:space="0" w:color="D9E0E7"/>
            </w:tcBorders>
            <w:vAlign w:val="center"/>
          </w:tcPr>
          <w:p>
            <w:pPr>
              <w:spacing w:before="0" w:after="0" w:line="252" w:lineRule="auto"/>
            </w:pPr>
            <w:r>
              <w:rPr>
                <w:rFonts w:ascii="Calibri" w:hAnsi="Calibri" w:eastAsia="Calibri"/>
                <w:b w:val="0"/>
                <w:color w:val="1A1A1A"/>
                <w:sz w:val="17"/>
              </w:rPr>
              <w:t>Four sessions, unlimited texts, weekly emergency call</w:t>
            </w:r>
          </w:p>
        </w:tc>
      </w:tr>
      <w:tr>
        <w:trPr>
          <w:cantSplit/>
        </w:trPr>
        <w:tc>
          <w:tcPr>
            <w:tcW w:type="dxa" w:w="1670"/>
            <w:tcMar>
              <w:top w:w="80" w:type="dxa"/>
              <w:start w:w="120" w:type="dxa"/>
              <w:bottom w:w="80" w:type="dxa"/>
              <w:end w:w="120" w:type="dxa"/>
            </w:tcMar>
            <w:tcBorders>
              <w:top w:val="single" w:sz="4" w:space="0" w:color="D9E0E7"/>
              <w:left w:val="single" w:sz="4" w:space="0" w:color="D9E0E7"/>
              <w:bottom w:val="single" w:sz="4" w:space="0" w:color="D9E0E7"/>
              <w:right w:val="single" w:sz="4" w:space="0" w:color="D9E0E7"/>
              <w:insideH w:val="single" w:sz="4" w:space="0" w:color="D9E0E7"/>
              <w:insideV w:val="single" w:sz="4" w:space="0" w:color="D9E0E7"/>
            </w:tcBorders>
            <w:vAlign w:val="center"/>
          </w:tcPr>
          <w:p>
            <w:pPr>
              <w:spacing w:before="0" w:after="0" w:line="252" w:lineRule="auto"/>
            </w:pPr>
            <w:r>
              <w:rPr>
                <w:rFonts w:ascii="Calibri" w:hAnsi="Calibri" w:eastAsia="Calibri"/>
                <w:b/>
                <w:color w:val="1A1A1A"/>
                <w:sz w:val="17"/>
              </w:rPr>
              <w:t>Space For Us</w:t>
            </w:r>
          </w:p>
        </w:tc>
        <w:tc>
          <w:tcPr>
            <w:tcW w:type="dxa" w:w="1680"/>
            <w:tcMar>
              <w:top w:w="80" w:type="dxa"/>
              <w:start w:w="120" w:type="dxa"/>
              <w:bottom w:w="80" w:type="dxa"/>
              <w:end w:w="120" w:type="dxa"/>
            </w:tcMar>
            <w:tcBorders>
              <w:top w:val="single" w:sz="4" w:space="0" w:color="D9E0E7"/>
              <w:left w:val="single" w:sz="4" w:space="0" w:color="D9E0E7"/>
              <w:bottom w:val="single" w:sz="4" w:space="0" w:color="D9E0E7"/>
              <w:right w:val="single" w:sz="4" w:space="0" w:color="D9E0E7"/>
              <w:insideH w:val="single" w:sz="4" w:space="0" w:color="D9E0E7"/>
              <w:insideV w:val="single" w:sz="4" w:space="0" w:color="D9E0E7"/>
            </w:tcBorders>
            <w:vAlign w:val="center"/>
          </w:tcPr>
          <w:p>
            <w:pPr>
              <w:spacing w:before="0" w:after="0" w:line="252" w:lineRule="auto"/>
            </w:pPr>
            <w:r>
              <w:rPr>
                <w:rFonts w:ascii="Calibri" w:hAnsi="Calibri" w:eastAsia="Calibri"/>
                <w:b w:val="0"/>
                <w:color w:val="1A1A1A"/>
                <w:sz w:val="17"/>
              </w:rPr>
              <w:t>Breaking Up course</w:t>
            </w:r>
          </w:p>
        </w:tc>
        <w:tc>
          <w:tcPr>
            <w:tcW w:type="dxa" w:w="1690"/>
            <w:tcMar>
              <w:top w:w="80" w:type="dxa"/>
              <w:start w:w="120" w:type="dxa"/>
              <w:bottom w:w="80" w:type="dxa"/>
              <w:end w:w="120" w:type="dxa"/>
            </w:tcMar>
            <w:tcBorders>
              <w:top w:val="single" w:sz="4" w:space="0" w:color="D9E0E7"/>
              <w:left w:val="single" w:sz="4" w:space="0" w:color="D9E0E7"/>
              <w:bottom w:val="single" w:sz="4" w:space="0" w:color="D9E0E7"/>
              <w:right w:val="single" w:sz="4" w:space="0" w:color="D9E0E7"/>
              <w:insideH w:val="single" w:sz="4" w:space="0" w:color="D9E0E7"/>
              <w:insideV w:val="single" w:sz="4" w:space="0" w:color="D9E0E7"/>
            </w:tcBorders>
            <w:vAlign w:val="center"/>
          </w:tcPr>
          <w:p>
            <w:pPr>
              <w:spacing w:before="0" w:after="0" w:line="252" w:lineRule="auto"/>
            </w:pPr>
            <w:r>
              <w:rPr>
                <w:rFonts w:ascii="Calibri" w:hAnsi="Calibri" w:eastAsia="Calibri"/>
                <w:b w:val="0"/>
                <w:color w:val="1A1A1A"/>
                <w:sz w:val="17"/>
              </w:rPr>
              <w:t>£960 / 16 weeks</w:t>
            </w:r>
          </w:p>
        </w:tc>
        <w:tc>
          <w:tcPr>
            <w:tcW w:type="dxa" w:w="4320"/>
            <w:tcMar>
              <w:top w:w="80" w:type="dxa"/>
              <w:start w:w="120" w:type="dxa"/>
              <w:bottom w:w="80" w:type="dxa"/>
              <w:end w:w="120" w:type="dxa"/>
            </w:tcMar>
            <w:tcBorders>
              <w:top w:val="single" w:sz="4" w:space="0" w:color="D9E0E7"/>
              <w:left w:val="single" w:sz="4" w:space="0" w:color="D9E0E7"/>
              <w:bottom w:val="single" w:sz="4" w:space="0" w:color="D9E0E7"/>
              <w:right w:val="single" w:sz="4" w:space="0" w:color="D9E0E7"/>
              <w:insideH w:val="single" w:sz="4" w:space="0" w:color="D9E0E7"/>
              <w:insideV w:val="single" w:sz="4" w:space="0" w:color="D9E0E7"/>
            </w:tcBorders>
            <w:vAlign w:val="center"/>
          </w:tcPr>
          <w:p>
            <w:pPr>
              <w:spacing w:before="0" w:after="0" w:line="252" w:lineRule="auto"/>
            </w:pPr>
            <w:r>
              <w:rPr>
                <w:rFonts w:ascii="Calibri" w:hAnsi="Calibri" w:eastAsia="Calibri"/>
                <w:b w:val="0"/>
                <w:color w:val="1A1A1A"/>
                <w:sz w:val="17"/>
              </w:rPr>
              <w:t>16 weekly 1:1 sessions; £800 upfront option</w:t>
            </w:r>
          </w:p>
        </w:tc>
      </w:tr>
    </w:tbl>
    <w:p>
      <w:pPr>
        <w:spacing w:before="80" w:after="200"/>
        <w:keepLines/>
      </w:pPr>
      <w:r>
        <w:rPr>
          <w:rFonts w:ascii="Calibri" w:hAnsi="Calibri" w:eastAsia="Calibri"/>
          <w:i/>
          <w:color w:val="5F6B76"/>
        </w:rPr>
        <w:t>Sources: [9–12,14].</w:t>
      </w:r>
    </w:p>
    <w:p>
      <w:pPr>
        <w:pStyle w:val="Caption"/>
        <w:keepNext/>
      </w:pPr>
      <w:r>
        <w:t>Table 4. Courses, memberships and adjacent coaching</w:t>
      </w:r>
    </w:p>
    <w:tbl>
      <w:tblPr>
        <w:tblW w:type="dxa" w:w="9360"/>
        <w:tblLayout w:type="fixed"/>
        <w:tblLook w:firstColumn="1" w:firstRow="1" w:lastColumn="0" w:lastRow="0" w:noHBand="0" w:noVBand="1" w:val="04A0"/>
        <w:jc w:val="left"/>
        <w:tblInd w:w="120" w:type="dxa"/>
      </w:tblPr>
      <w:tblGrid>
        <w:gridCol w:w="1760"/>
        <w:gridCol w:w="1600"/>
        <w:gridCol w:w="1750"/>
        <w:gridCol w:w="4250"/>
      </w:tblGrid>
      <w:tr>
        <w:trPr>
          <w:cantSplit/>
          <w:tblHeader w:val="true"/>
        </w:trPr>
        <w:tc>
          <w:tcPr>
            <w:tcW w:type="dxa" w:w="1760"/>
            <w:tcMar>
              <w:top w:w="80" w:type="dxa"/>
              <w:start w:w="120" w:type="dxa"/>
              <w:bottom w:w="80" w:type="dxa"/>
              <w:end w:w="120" w:type="dxa"/>
            </w:tcMar>
            <w:tcBorders>
              <w:top w:val="single" w:sz="4" w:space="0" w:color="D9E0E7"/>
              <w:left w:val="single" w:sz="4" w:space="0" w:color="D9E0E7"/>
              <w:bottom w:val="single" w:sz="4" w:space="0" w:color="D9E0E7"/>
              <w:right w:val="single" w:sz="4" w:space="0" w:color="D9E0E7"/>
              <w:insideH w:val="single" w:sz="4" w:space="0" w:color="D9E0E7"/>
              <w:insideV w:val="single" w:sz="4" w:space="0" w:color="D9E0E7"/>
            </w:tcBorders>
            <w:vAlign w:val="center"/>
            <w:shd w:fill="F2F4F7" w:val="clear"/>
          </w:tcPr>
          <w:p>
            <w:pPr>
              <w:spacing w:before="0" w:after="0" w:line="240" w:lineRule="auto"/>
              <w:jc w:val="left"/>
            </w:pPr>
            <w:r>
              <w:rPr>
                <w:rFonts w:ascii="Calibri" w:hAnsi="Calibri" w:eastAsia="Calibri"/>
                <w:b/>
                <w:color w:val="0B2545"/>
                <w:sz w:val="17"/>
              </w:rPr>
              <w:t>Provider</w:t>
            </w:r>
          </w:p>
        </w:tc>
        <w:tc>
          <w:tcPr>
            <w:tcW w:type="dxa" w:w="1600"/>
            <w:tcMar>
              <w:top w:w="80" w:type="dxa"/>
              <w:start w:w="120" w:type="dxa"/>
              <w:bottom w:w="80" w:type="dxa"/>
              <w:end w:w="120" w:type="dxa"/>
            </w:tcMar>
            <w:tcBorders>
              <w:top w:val="single" w:sz="4" w:space="0" w:color="D9E0E7"/>
              <w:left w:val="single" w:sz="4" w:space="0" w:color="D9E0E7"/>
              <w:bottom w:val="single" w:sz="4" w:space="0" w:color="D9E0E7"/>
              <w:right w:val="single" w:sz="4" w:space="0" w:color="D9E0E7"/>
              <w:insideH w:val="single" w:sz="4" w:space="0" w:color="D9E0E7"/>
              <w:insideV w:val="single" w:sz="4" w:space="0" w:color="D9E0E7"/>
            </w:tcBorders>
            <w:vAlign w:val="center"/>
            <w:shd w:fill="F2F4F7" w:val="clear"/>
          </w:tcPr>
          <w:p>
            <w:pPr>
              <w:spacing w:before="0" w:after="0" w:line="240" w:lineRule="auto"/>
              <w:jc w:val="left"/>
            </w:pPr>
            <w:r>
              <w:rPr>
                <w:rFonts w:ascii="Calibri" w:hAnsi="Calibri" w:eastAsia="Calibri"/>
                <w:b/>
                <w:color w:val="0B2545"/>
                <w:sz w:val="17"/>
              </w:rPr>
              <w:t>Offer</w:t>
            </w:r>
          </w:p>
        </w:tc>
        <w:tc>
          <w:tcPr>
            <w:tcW w:type="dxa" w:w="1750"/>
            <w:tcMar>
              <w:top w:w="80" w:type="dxa"/>
              <w:start w:w="120" w:type="dxa"/>
              <w:bottom w:w="80" w:type="dxa"/>
              <w:end w:w="120" w:type="dxa"/>
            </w:tcMar>
            <w:tcBorders>
              <w:top w:val="single" w:sz="4" w:space="0" w:color="D9E0E7"/>
              <w:left w:val="single" w:sz="4" w:space="0" w:color="D9E0E7"/>
              <w:bottom w:val="single" w:sz="4" w:space="0" w:color="D9E0E7"/>
              <w:right w:val="single" w:sz="4" w:space="0" w:color="D9E0E7"/>
              <w:insideH w:val="single" w:sz="4" w:space="0" w:color="D9E0E7"/>
              <w:insideV w:val="single" w:sz="4" w:space="0" w:color="D9E0E7"/>
            </w:tcBorders>
            <w:vAlign w:val="center"/>
            <w:shd w:fill="F2F4F7" w:val="clear"/>
          </w:tcPr>
          <w:p>
            <w:pPr>
              <w:spacing w:before="0" w:after="0" w:line="240" w:lineRule="auto"/>
              <w:jc w:val="left"/>
            </w:pPr>
            <w:r>
              <w:rPr>
                <w:rFonts w:ascii="Calibri" w:hAnsi="Calibri" w:eastAsia="Calibri"/>
                <w:b/>
                <w:color w:val="0B2545"/>
                <w:sz w:val="17"/>
              </w:rPr>
              <w:t>Public price</w:t>
            </w:r>
          </w:p>
        </w:tc>
        <w:tc>
          <w:tcPr>
            <w:tcW w:type="dxa" w:w="4250"/>
            <w:tcMar>
              <w:top w:w="80" w:type="dxa"/>
              <w:start w:w="120" w:type="dxa"/>
              <w:bottom w:w="80" w:type="dxa"/>
              <w:end w:w="120" w:type="dxa"/>
            </w:tcMar>
            <w:tcBorders>
              <w:top w:val="single" w:sz="4" w:space="0" w:color="D9E0E7"/>
              <w:left w:val="single" w:sz="4" w:space="0" w:color="D9E0E7"/>
              <w:bottom w:val="single" w:sz="4" w:space="0" w:color="D9E0E7"/>
              <w:right w:val="single" w:sz="4" w:space="0" w:color="D9E0E7"/>
              <w:insideH w:val="single" w:sz="4" w:space="0" w:color="D9E0E7"/>
              <w:insideV w:val="single" w:sz="4" w:space="0" w:color="D9E0E7"/>
            </w:tcBorders>
            <w:vAlign w:val="center"/>
            <w:shd w:fill="F2F4F7" w:val="clear"/>
          </w:tcPr>
          <w:p>
            <w:pPr>
              <w:spacing w:before="0" w:after="0" w:line="240" w:lineRule="auto"/>
              <w:jc w:val="left"/>
            </w:pPr>
            <w:r>
              <w:rPr>
                <w:rFonts w:ascii="Calibri" w:hAnsi="Calibri" w:eastAsia="Calibri"/>
                <w:b/>
                <w:color w:val="0B2545"/>
                <w:sz w:val="17"/>
              </w:rPr>
              <w:t>Included / positioning</w:t>
            </w:r>
          </w:p>
        </w:tc>
      </w:tr>
      <w:tr>
        <w:trPr>
          <w:cantSplit/>
        </w:trPr>
        <w:tc>
          <w:tcPr>
            <w:tcW w:type="dxa" w:w="1760"/>
            <w:tcMar>
              <w:top w:w="80" w:type="dxa"/>
              <w:start w:w="120" w:type="dxa"/>
              <w:bottom w:w="80" w:type="dxa"/>
              <w:end w:w="120" w:type="dxa"/>
            </w:tcMar>
            <w:tcBorders>
              <w:top w:val="single" w:sz="4" w:space="0" w:color="D9E0E7"/>
              <w:left w:val="single" w:sz="4" w:space="0" w:color="D9E0E7"/>
              <w:bottom w:val="single" w:sz="4" w:space="0" w:color="D9E0E7"/>
              <w:right w:val="single" w:sz="4" w:space="0" w:color="D9E0E7"/>
              <w:insideH w:val="single" w:sz="4" w:space="0" w:color="D9E0E7"/>
              <w:insideV w:val="single" w:sz="4" w:space="0" w:color="D9E0E7"/>
            </w:tcBorders>
            <w:vAlign w:val="center"/>
          </w:tcPr>
          <w:p>
            <w:pPr>
              <w:spacing w:before="0" w:after="0" w:line="252" w:lineRule="auto"/>
            </w:pPr>
            <w:r>
              <w:rPr>
                <w:rFonts w:ascii="Calibri" w:hAnsi="Calibri" w:eastAsia="Calibri"/>
                <w:b/>
                <w:color w:val="1A1A1A"/>
                <w:sz w:val="17"/>
              </w:rPr>
              <w:t>amicable space</w:t>
            </w:r>
          </w:p>
        </w:tc>
        <w:tc>
          <w:tcPr>
            <w:tcW w:type="dxa" w:w="1600"/>
            <w:tcMar>
              <w:top w:w="80" w:type="dxa"/>
              <w:start w:w="120" w:type="dxa"/>
              <w:bottom w:w="80" w:type="dxa"/>
              <w:end w:w="120" w:type="dxa"/>
            </w:tcMar>
            <w:tcBorders>
              <w:top w:val="single" w:sz="4" w:space="0" w:color="D9E0E7"/>
              <w:left w:val="single" w:sz="4" w:space="0" w:color="D9E0E7"/>
              <w:bottom w:val="single" w:sz="4" w:space="0" w:color="D9E0E7"/>
              <w:right w:val="single" w:sz="4" w:space="0" w:color="D9E0E7"/>
              <w:insideH w:val="single" w:sz="4" w:space="0" w:color="D9E0E7"/>
              <w:insideV w:val="single" w:sz="4" w:space="0" w:color="D9E0E7"/>
            </w:tcBorders>
            <w:vAlign w:val="center"/>
          </w:tcPr>
          <w:p>
            <w:pPr>
              <w:spacing w:before="0" w:after="0" w:line="252" w:lineRule="auto"/>
            </w:pPr>
            <w:r>
              <w:rPr>
                <w:rFonts w:ascii="Calibri" w:hAnsi="Calibri" w:eastAsia="Calibri"/>
                <w:b w:val="0"/>
                <w:color w:val="1A1A1A"/>
                <w:sz w:val="17"/>
              </w:rPr>
              <w:t>Membership</w:t>
            </w:r>
          </w:p>
        </w:tc>
        <w:tc>
          <w:tcPr>
            <w:tcW w:type="dxa" w:w="1750"/>
            <w:tcMar>
              <w:top w:w="80" w:type="dxa"/>
              <w:start w:w="120" w:type="dxa"/>
              <w:bottom w:w="80" w:type="dxa"/>
              <w:end w:w="120" w:type="dxa"/>
            </w:tcMar>
            <w:tcBorders>
              <w:top w:val="single" w:sz="4" w:space="0" w:color="D9E0E7"/>
              <w:left w:val="single" w:sz="4" w:space="0" w:color="D9E0E7"/>
              <w:bottom w:val="single" w:sz="4" w:space="0" w:color="D9E0E7"/>
              <w:right w:val="single" w:sz="4" w:space="0" w:color="D9E0E7"/>
              <w:insideH w:val="single" w:sz="4" w:space="0" w:color="D9E0E7"/>
              <w:insideV w:val="single" w:sz="4" w:space="0" w:color="D9E0E7"/>
            </w:tcBorders>
            <w:vAlign w:val="center"/>
          </w:tcPr>
          <w:p>
            <w:pPr>
              <w:spacing w:before="0" w:after="0" w:line="252" w:lineRule="auto"/>
            </w:pPr>
            <w:r>
              <w:rPr>
                <w:rFonts w:ascii="Calibri" w:hAnsi="Calibri" w:eastAsia="Calibri"/>
                <w:b w:val="0"/>
                <w:color w:val="1A1A1A"/>
                <w:sz w:val="17"/>
              </w:rPr>
              <w:t>£20/month</w:t>
            </w:r>
          </w:p>
        </w:tc>
        <w:tc>
          <w:tcPr>
            <w:tcW w:type="dxa" w:w="4250"/>
            <w:tcMar>
              <w:top w:w="80" w:type="dxa"/>
              <w:start w:w="120" w:type="dxa"/>
              <w:bottom w:w="80" w:type="dxa"/>
              <w:end w:w="120" w:type="dxa"/>
            </w:tcMar>
            <w:tcBorders>
              <w:top w:val="single" w:sz="4" w:space="0" w:color="D9E0E7"/>
              <w:left w:val="single" w:sz="4" w:space="0" w:color="D9E0E7"/>
              <w:bottom w:val="single" w:sz="4" w:space="0" w:color="D9E0E7"/>
              <w:right w:val="single" w:sz="4" w:space="0" w:color="D9E0E7"/>
              <w:insideH w:val="single" w:sz="4" w:space="0" w:color="D9E0E7"/>
              <w:insideV w:val="single" w:sz="4" w:space="0" w:color="D9E0E7"/>
            </w:tcBorders>
            <w:vAlign w:val="center"/>
          </w:tcPr>
          <w:p>
            <w:pPr>
              <w:spacing w:before="0" w:after="0" w:line="252" w:lineRule="auto"/>
            </w:pPr>
            <w:r>
              <w:rPr>
                <w:rFonts w:ascii="Calibri" w:hAnsi="Calibri" w:eastAsia="Calibri"/>
                <w:b w:val="0"/>
                <w:color w:val="1A1A1A"/>
                <w:sz w:val="17"/>
              </w:rPr>
              <w:t>Content, webinars, forum, 30-minute consultation</w:t>
            </w:r>
          </w:p>
        </w:tc>
      </w:tr>
      <w:tr>
        <w:trPr>
          <w:cantSplit/>
        </w:trPr>
        <w:tc>
          <w:tcPr>
            <w:tcW w:type="dxa" w:w="1760"/>
            <w:shd w:fill="F7F9FB" w:val="clear"/>
            <w:tcMar>
              <w:top w:w="80" w:type="dxa"/>
              <w:start w:w="120" w:type="dxa"/>
              <w:bottom w:w="80" w:type="dxa"/>
              <w:end w:w="120" w:type="dxa"/>
            </w:tcMar>
            <w:tcBorders>
              <w:top w:val="single" w:sz="4" w:space="0" w:color="D9E0E7"/>
              <w:left w:val="single" w:sz="4" w:space="0" w:color="D9E0E7"/>
              <w:bottom w:val="single" w:sz="4" w:space="0" w:color="D9E0E7"/>
              <w:right w:val="single" w:sz="4" w:space="0" w:color="D9E0E7"/>
              <w:insideH w:val="single" w:sz="4" w:space="0" w:color="D9E0E7"/>
              <w:insideV w:val="single" w:sz="4" w:space="0" w:color="D9E0E7"/>
            </w:tcBorders>
            <w:vAlign w:val="center"/>
          </w:tcPr>
          <w:p>
            <w:pPr>
              <w:spacing w:before="0" w:after="0" w:line="252" w:lineRule="auto"/>
            </w:pPr>
            <w:r>
              <w:rPr>
                <w:rFonts w:ascii="Calibri" w:hAnsi="Calibri" w:eastAsia="Calibri"/>
                <w:b/>
                <w:color w:val="1A1A1A"/>
                <w:sz w:val="17"/>
              </w:rPr>
              <w:t>Divorce Recovery Workshop</w:t>
            </w:r>
          </w:p>
        </w:tc>
        <w:tc>
          <w:tcPr>
            <w:tcW w:type="dxa" w:w="1600"/>
            <w:shd w:fill="F7F9FB" w:val="clear"/>
            <w:tcMar>
              <w:top w:w="80" w:type="dxa"/>
              <w:start w:w="120" w:type="dxa"/>
              <w:bottom w:w="80" w:type="dxa"/>
              <w:end w:w="120" w:type="dxa"/>
            </w:tcMar>
            <w:tcBorders>
              <w:top w:val="single" w:sz="4" w:space="0" w:color="D9E0E7"/>
              <w:left w:val="single" w:sz="4" w:space="0" w:color="D9E0E7"/>
              <w:bottom w:val="single" w:sz="4" w:space="0" w:color="D9E0E7"/>
              <w:right w:val="single" w:sz="4" w:space="0" w:color="D9E0E7"/>
              <w:insideH w:val="single" w:sz="4" w:space="0" w:color="D9E0E7"/>
              <w:insideV w:val="single" w:sz="4" w:space="0" w:color="D9E0E7"/>
            </w:tcBorders>
            <w:vAlign w:val="center"/>
          </w:tcPr>
          <w:p>
            <w:pPr>
              <w:spacing w:before="0" w:after="0" w:line="252" w:lineRule="auto"/>
            </w:pPr>
            <w:r>
              <w:rPr>
                <w:rFonts w:ascii="Calibri" w:hAnsi="Calibri" w:eastAsia="Calibri"/>
                <w:b w:val="0"/>
                <w:color w:val="1A1A1A"/>
                <w:sz w:val="17"/>
              </w:rPr>
              <w:t>Residential</w:t>
            </w:r>
          </w:p>
        </w:tc>
        <w:tc>
          <w:tcPr>
            <w:tcW w:type="dxa" w:w="1750"/>
            <w:shd w:fill="F7F9FB" w:val="clear"/>
            <w:tcMar>
              <w:top w:w="80" w:type="dxa"/>
              <w:start w:w="120" w:type="dxa"/>
              <w:bottom w:w="80" w:type="dxa"/>
              <w:end w:w="120" w:type="dxa"/>
            </w:tcMar>
            <w:tcBorders>
              <w:top w:val="single" w:sz="4" w:space="0" w:color="D9E0E7"/>
              <w:left w:val="single" w:sz="4" w:space="0" w:color="D9E0E7"/>
              <w:bottom w:val="single" w:sz="4" w:space="0" w:color="D9E0E7"/>
              <w:right w:val="single" w:sz="4" w:space="0" w:color="D9E0E7"/>
              <w:insideH w:val="single" w:sz="4" w:space="0" w:color="D9E0E7"/>
              <w:insideV w:val="single" w:sz="4" w:space="0" w:color="D9E0E7"/>
            </w:tcBorders>
            <w:vAlign w:val="center"/>
          </w:tcPr>
          <w:p>
            <w:pPr>
              <w:spacing w:before="0" w:after="0" w:line="252" w:lineRule="auto"/>
            </w:pPr>
            <w:r>
              <w:rPr>
                <w:rFonts w:ascii="Calibri" w:hAnsi="Calibri" w:eastAsia="Calibri"/>
                <w:b w:val="0"/>
                <w:color w:val="1A1A1A"/>
                <w:sz w:val="17"/>
              </w:rPr>
              <w:t>£190–£280</w:t>
            </w:r>
          </w:p>
        </w:tc>
        <w:tc>
          <w:tcPr>
            <w:tcW w:type="dxa" w:w="4250"/>
            <w:shd w:fill="F7F9FB" w:val="clear"/>
            <w:tcMar>
              <w:top w:w="80" w:type="dxa"/>
              <w:start w:w="120" w:type="dxa"/>
              <w:bottom w:w="80" w:type="dxa"/>
              <w:end w:w="120" w:type="dxa"/>
            </w:tcMar>
            <w:tcBorders>
              <w:top w:val="single" w:sz="4" w:space="0" w:color="D9E0E7"/>
              <w:left w:val="single" w:sz="4" w:space="0" w:color="D9E0E7"/>
              <w:bottom w:val="single" w:sz="4" w:space="0" w:color="D9E0E7"/>
              <w:right w:val="single" w:sz="4" w:space="0" w:color="D9E0E7"/>
              <w:insideH w:val="single" w:sz="4" w:space="0" w:color="D9E0E7"/>
              <w:insideV w:val="single" w:sz="4" w:space="0" w:color="D9E0E7"/>
            </w:tcBorders>
            <w:vAlign w:val="center"/>
          </w:tcPr>
          <w:p>
            <w:pPr>
              <w:spacing w:before="0" w:after="0" w:line="252" w:lineRule="auto"/>
            </w:pPr>
            <w:r>
              <w:rPr>
                <w:rFonts w:ascii="Calibri" w:hAnsi="Calibri" w:eastAsia="Calibri"/>
                <w:b w:val="0"/>
                <w:color w:val="1A1A1A"/>
                <w:sz w:val="17"/>
              </w:rPr>
              <w:t>Two-day charity workshop; emotional recovery and peers</w:t>
            </w:r>
          </w:p>
        </w:tc>
      </w:tr>
      <w:tr>
        <w:trPr>
          <w:cantSplit/>
        </w:trPr>
        <w:tc>
          <w:tcPr>
            <w:tcW w:type="dxa" w:w="1760"/>
            <w:tcMar>
              <w:top w:w="80" w:type="dxa"/>
              <w:start w:w="120" w:type="dxa"/>
              <w:bottom w:w="80" w:type="dxa"/>
              <w:end w:w="120" w:type="dxa"/>
            </w:tcMar>
            <w:tcBorders>
              <w:top w:val="single" w:sz="4" w:space="0" w:color="D9E0E7"/>
              <w:left w:val="single" w:sz="4" w:space="0" w:color="D9E0E7"/>
              <w:bottom w:val="single" w:sz="4" w:space="0" w:color="D9E0E7"/>
              <w:right w:val="single" w:sz="4" w:space="0" w:color="D9E0E7"/>
              <w:insideH w:val="single" w:sz="4" w:space="0" w:color="D9E0E7"/>
              <w:insideV w:val="single" w:sz="4" w:space="0" w:color="D9E0E7"/>
            </w:tcBorders>
            <w:vAlign w:val="center"/>
          </w:tcPr>
          <w:p>
            <w:pPr>
              <w:spacing w:before="0" w:after="0" w:line="252" w:lineRule="auto"/>
            </w:pPr>
            <w:r>
              <w:rPr>
                <w:rFonts w:ascii="Calibri" w:hAnsi="Calibri" w:eastAsia="Calibri"/>
                <w:b/>
                <w:color w:val="1A1A1A"/>
                <w:sz w:val="17"/>
              </w:rPr>
              <w:t>Emma Rees-Davies</w:t>
            </w:r>
          </w:p>
        </w:tc>
        <w:tc>
          <w:tcPr>
            <w:tcW w:type="dxa" w:w="1600"/>
            <w:tcMar>
              <w:top w:w="80" w:type="dxa"/>
              <w:start w:w="120" w:type="dxa"/>
              <w:bottom w:w="80" w:type="dxa"/>
              <w:end w:w="120" w:type="dxa"/>
            </w:tcMar>
            <w:tcBorders>
              <w:top w:val="single" w:sz="4" w:space="0" w:color="D9E0E7"/>
              <w:left w:val="single" w:sz="4" w:space="0" w:color="D9E0E7"/>
              <w:bottom w:val="single" w:sz="4" w:space="0" w:color="D9E0E7"/>
              <w:right w:val="single" w:sz="4" w:space="0" w:color="D9E0E7"/>
              <w:insideH w:val="single" w:sz="4" w:space="0" w:color="D9E0E7"/>
              <w:insideV w:val="single" w:sz="4" w:space="0" w:color="D9E0E7"/>
            </w:tcBorders>
            <w:vAlign w:val="center"/>
          </w:tcPr>
          <w:p>
            <w:pPr>
              <w:spacing w:before="0" w:after="0" w:line="252" w:lineRule="auto"/>
            </w:pPr>
            <w:r>
              <w:rPr>
                <w:rFonts w:ascii="Calibri" w:hAnsi="Calibri" w:eastAsia="Calibri"/>
                <w:b w:val="0"/>
                <w:color w:val="1A1A1A"/>
                <w:sz w:val="17"/>
              </w:rPr>
              <w:t>Self-guided / group</w:t>
            </w:r>
          </w:p>
        </w:tc>
        <w:tc>
          <w:tcPr>
            <w:tcW w:type="dxa" w:w="1750"/>
            <w:tcMar>
              <w:top w:w="80" w:type="dxa"/>
              <w:start w:w="120" w:type="dxa"/>
              <w:bottom w:w="80" w:type="dxa"/>
              <w:end w:w="120" w:type="dxa"/>
            </w:tcMar>
            <w:tcBorders>
              <w:top w:val="single" w:sz="4" w:space="0" w:color="D9E0E7"/>
              <w:left w:val="single" w:sz="4" w:space="0" w:color="D9E0E7"/>
              <w:bottom w:val="single" w:sz="4" w:space="0" w:color="D9E0E7"/>
              <w:right w:val="single" w:sz="4" w:space="0" w:color="D9E0E7"/>
              <w:insideH w:val="single" w:sz="4" w:space="0" w:color="D9E0E7"/>
              <w:insideV w:val="single" w:sz="4" w:space="0" w:color="D9E0E7"/>
            </w:tcBorders>
            <w:vAlign w:val="center"/>
          </w:tcPr>
          <w:p>
            <w:pPr>
              <w:spacing w:before="0" w:after="0" w:line="252" w:lineRule="auto"/>
            </w:pPr>
            <w:r>
              <w:rPr>
                <w:rFonts w:ascii="Calibri" w:hAnsi="Calibri" w:eastAsia="Calibri"/>
                <w:b w:val="0"/>
                <w:color w:val="1A1A1A"/>
                <w:sz w:val="17"/>
              </w:rPr>
              <w:t>£249 / £699</w:t>
            </w:r>
          </w:p>
        </w:tc>
        <w:tc>
          <w:tcPr>
            <w:tcW w:type="dxa" w:w="4250"/>
            <w:tcMar>
              <w:top w:w="80" w:type="dxa"/>
              <w:start w:w="120" w:type="dxa"/>
              <w:bottom w:w="80" w:type="dxa"/>
              <w:end w:w="120" w:type="dxa"/>
            </w:tcMar>
            <w:tcBorders>
              <w:top w:val="single" w:sz="4" w:space="0" w:color="D9E0E7"/>
              <w:left w:val="single" w:sz="4" w:space="0" w:color="D9E0E7"/>
              <w:bottom w:val="single" w:sz="4" w:space="0" w:color="D9E0E7"/>
              <w:right w:val="single" w:sz="4" w:space="0" w:color="D9E0E7"/>
              <w:insideH w:val="single" w:sz="4" w:space="0" w:color="D9E0E7"/>
              <w:insideV w:val="single" w:sz="4" w:space="0" w:color="D9E0E7"/>
            </w:tcBorders>
            <w:vAlign w:val="center"/>
          </w:tcPr>
          <w:p>
            <w:pPr>
              <w:spacing w:before="0" w:after="0" w:line="252" w:lineRule="auto"/>
            </w:pPr>
            <w:r>
              <w:rPr>
                <w:rFonts w:ascii="Calibri" w:hAnsi="Calibri" w:eastAsia="Calibri"/>
                <w:b w:val="0"/>
                <w:color w:val="1A1A1A"/>
                <w:sz w:val="17"/>
              </w:rPr>
              <w:t>Course alone or course + 12 weekly group sessions</w:t>
            </w:r>
          </w:p>
        </w:tc>
      </w:tr>
      <w:tr>
        <w:trPr>
          <w:cantSplit/>
        </w:trPr>
        <w:tc>
          <w:tcPr>
            <w:tcW w:type="dxa" w:w="1760"/>
            <w:shd w:fill="F7F9FB" w:val="clear"/>
            <w:tcMar>
              <w:top w:w="80" w:type="dxa"/>
              <w:start w:w="120" w:type="dxa"/>
              <w:bottom w:w="80" w:type="dxa"/>
              <w:end w:w="120" w:type="dxa"/>
            </w:tcMar>
            <w:tcBorders>
              <w:top w:val="single" w:sz="4" w:space="0" w:color="D9E0E7"/>
              <w:left w:val="single" w:sz="4" w:space="0" w:color="D9E0E7"/>
              <w:bottom w:val="single" w:sz="4" w:space="0" w:color="D9E0E7"/>
              <w:right w:val="single" w:sz="4" w:space="0" w:color="D9E0E7"/>
              <w:insideH w:val="single" w:sz="4" w:space="0" w:color="D9E0E7"/>
              <w:insideV w:val="single" w:sz="4" w:space="0" w:color="D9E0E7"/>
            </w:tcBorders>
            <w:vAlign w:val="center"/>
          </w:tcPr>
          <w:p>
            <w:pPr>
              <w:spacing w:before="0" w:after="0" w:line="252" w:lineRule="auto"/>
            </w:pPr>
            <w:r>
              <w:rPr>
                <w:rFonts w:ascii="Calibri" w:hAnsi="Calibri" w:eastAsia="Calibri"/>
                <w:b/>
                <w:color w:val="1A1A1A"/>
                <w:sz w:val="17"/>
              </w:rPr>
              <w:t>Emma Rees-Davies</w:t>
            </w:r>
          </w:p>
        </w:tc>
        <w:tc>
          <w:tcPr>
            <w:tcW w:type="dxa" w:w="1600"/>
            <w:shd w:fill="F7F9FB" w:val="clear"/>
            <w:tcMar>
              <w:top w:w="80" w:type="dxa"/>
              <w:start w:w="120" w:type="dxa"/>
              <w:bottom w:w="80" w:type="dxa"/>
              <w:end w:w="120" w:type="dxa"/>
            </w:tcMar>
            <w:tcBorders>
              <w:top w:val="single" w:sz="4" w:space="0" w:color="D9E0E7"/>
              <w:left w:val="single" w:sz="4" w:space="0" w:color="D9E0E7"/>
              <w:bottom w:val="single" w:sz="4" w:space="0" w:color="D9E0E7"/>
              <w:right w:val="single" w:sz="4" w:space="0" w:color="D9E0E7"/>
              <w:insideH w:val="single" w:sz="4" w:space="0" w:color="D9E0E7"/>
              <w:insideV w:val="single" w:sz="4" w:space="0" w:color="D9E0E7"/>
            </w:tcBorders>
            <w:vAlign w:val="center"/>
          </w:tcPr>
          <w:p>
            <w:pPr>
              <w:spacing w:before="0" w:after="0" w:line="252" w:lineRule="auto"/>
            </w:pPr>
            <w:r>
              <w:rPr>
                <w:rFonts w:ascii="Calibri" w:hAnsi="Calibri" w:eastAsia="Calibri"/>
                <w:b w:val="0"/>
                <w:color w:val="1A1A1A"/>
                <w:sz w:val="17"/>
              </w:rPr>
              <w:t>Hybrid / VIP</w:t>
            </w:r>
          </w:p>
        </w:tc>
        <w:tc>
          <w:tcPr>
            <w:tcW w:type="dxa" w:w="1750"/>
            <w:shd w:fill="F7F9FB" w:val="clear"/>
            <w:tcMar>
              <w:top w:w="80" w:type="dxa"/>
              <w:start w:w="120" w:type="dxa"/>
              <w:bottom w:w="80" w:type="dxa"/>
              <w:end w:w="120" w:type="dxa"/>
            </w:tcMar>
            <w:tcBorders>
              <w:top w:val="single" w:sz="4" w:space="0" w:color="D9E0E7"/>
              <w:left w:val="single" w:sz="4" w:space="0" w:color="D9E0E7"/>
              <w:bottom w:val="single" w:sz="4" w:space="0" w:color="D9E0E7"/>
              <w:right w:val="single" w:sz="4" w:space="0" w:color="D9E0E7"/>
              <w:insideH w:val="single" w:sz="4" w:space="0" w:color="D9E0E7"/>
              <w:insideV w:val="single" w:sz="4" w:space="0" w:color="D9E0E7"/>
            </w:tcBorders>
            <w:vAlign w:val="center"/>
          </w:tcPr>
          <w:p>
            <w:pPr>
              <w:spacing w:before="0" w:after="0" w:line="252" w:lineRule="auto"/>
            </w:pPr>
            <w:r>
              <w:rPr>
                <w:rFonts w:ascii="Calibri" w:hAnsi="Calibri" w:eastAsia="Calibri"/>
                <w:b w:val="0"/>
                <w:color w:val="1A1A1A"/>
                <w:sz w:val="17"/>
              </w:rPr>
              <w:t>£899 / £1,099</w:t>
            </w:r>
          </w:p>
        </w:tc>
        <w:tc>
          <w:tcPr>
            <w:tcW w:type="dxa" w:w="4250"/>
            <w:shd w:fill="F7F9FB" w:val="clear"/>
            <w:tcMar>
              <w:top w:w="80" w:type="dxa"/>
              <w:start w:w="120" w:type="dxa"/>
              <w:bottom w:w="80" w:type="dxa"/>
              <w:end w:w="120" w:type="dxa"/>
            </w:tcMar>
            <w:tcBorders>
              <w:top w:val="single" w:sz="4" w:space="0" w:color="D9E0E7"/>
              <w:left w:val="single" w:sz="4" w:space="0" w:color="D9E0E7"/>
              <w:bottom w:val="single" w:sz="4" w:space="0" w:color="D9E0E7"/>
              <w:right w:val="single" w:sz="4" w:space="0" w:color="D9E0E7"/>
              <w:insideH w:val="single" w:sz="4" w:space="0" w:color="D9E0E7"/>
              <w:insideV w:val="single" w:sz="4" w:space="0" w:color="D9E0E7"/>
            </w:tcBorders>
            <w:vAlign w:val="center"/>
          </w:tcPr>
          <w:p>
            <w:pPr>
              <w:spacing w:before="0" w:after="0" w:line="252" w:lineRule="auto"/>
            </w:pPr>
            <w:r>
              <w:rPr>
                <w:rFonts w:ascii="Calibri" w:hAnsi="Calibri" w:eastAsia="Calibri"/>
                <w:b w:val="0"/>
                <w:color w:val="1A1A1A"/>
                <w:sz w:val="17"/>
              </w:rPr>
              <w:t>Group + 3 individual sessions, or course + 12 sessions</w:t>
            </w:r>
          </w:p>
        </w:tc>
      </w:tr>
      <w:tr>
        <w:trPr>
          <w:cantSplit/>
        </w:trPr>
        <w:tc>
          <w:tcPr>
            <w:tcW w:type="dxa" w:w="1760"/>
            <w:tcMar>
              <w:top w:w="80" w:type="dxa"/>
              <w:start w:w="120" w:type="dxa"/>
              <w:bottom w:w="80" w:type="dxa"/>
              <w:end w:w="120" w:type="dxa"/>
            </w:tcMar>
            <w:tcBorders>
              <w:top w:val="single" w:sz="4" w:space="0" w:color="D9E0E7"/>
              <w:left w:val="single" w:sz="4" w:space="0" w:color="D9E0E7"/>
              <w:bottom w:val="single" w:sz="4" w:space="0" w:color="D9E0E7"/>
              <w:right w:val="single" w:sz="4" w:space="0" w:color="D9E0E7"/>
              <w:insideH w:val="single" w:sz="4" w:space="0" w:color="D9E0E7"/>
              <w:insideV w:val="single" w:sz="4" w:space="0" w:color="D9E0E7"/>
            </w:tcBorders>
            <w:vAlign w:val="center"/>
          </w:tcPr>
          <w:p>
            <w:pPr>
              <w:spacing w:before="0" w:after="0" w:line="252" w:lineRule="auto"/>
            </w:pPr>
            <w:r>
              <w:rPr>
                <w:rFonts w:ascii="Calibri" w:hAnsi="Calibri" w:eastAsia="Calibri"/>
                <w:b/>
                <w:color w:val="1A1A1A"/>
                <w:sz w:val="17"/>
              </w:rPr>
              <w:t>Transition Solutions</w:t>
            </w:r>
          </w:p>
        </w:tc>
        <w:tc>
          <w:tcPr>
            <w:tcW w:type="dxa" w:w="1600"/>
            <w:tcMar>
              <w:top w:w="80" w:type="dxa"/>
              <w:start w:w="120" w:type="dxa"/>
              <w:bottom w:w="80" w:type="dxa"/>
              <w:end w:w="120" w:type="dxa"/>
            </w:tcMar>
            <w:tcBorders>
              <w:top w:val="single" w:sz="4" w:space="0" w:color="D9E0E7"/>
              <w:left w:val="single" w:sz="4" w:space="0" w:color="D9E0E7"/>
              <w:bottom w:val="single" w:sz="4" w:space="0" w:color="D9E0E7"/>
              <w:right w:val="single" w:sz="4" w:space="0" w:color="D9E0E7"/>
              <w:insideH w:val="single" w:sz="4" w:space="0" w:color="D9E0E7"/>
              <w:insideV w:val="single" w:sz="4" w:space="0" w:color="D9E0E7"/>
            </w:tcBorders>
            <w:vAlign w:val="center"/>
          </w:tcPr>
          <w:p>
            <w:pPr>
              <w:spacing w:before="0" w:after="0" w:line="252" w:lineRule="auto"/>
            </w:pPr>
            <w:r>
              <w:rPr>
                <w:rFonts w:ascii="Calibri" w:hAnsi="Calibri" w:eastAsia="Calibri"/>
                <w:b w:val="0"/>
                <w:color w:val="1A1A1A"/>
                <w:sz w:val="17"/>
              </w:rPr>
              <w:t>Transition package</w:t>
            </w:r>
          </w:p>
        </w:tc>
        <w:tc>
          <w:tcPr>
            <w:tcW w:type="dxa" w:w="1750"/>
            <w:tcMar>
              <w:top w:w="80" w:type="dxa"/>
              <w:start w:w="120" w:type="dxa"/>
              <w:bottom w:w="80" w:type="dxa"/>
              <w:end w:w="120" w:type="dxa"/>
            </w:tcMar>
            <w:tcBorders>
              <w:top w:val="single" w:sz="4" w:space="0" w:color="D9E0E7"/>
              <w:left w:val="single" w:sz="4" w:space="0" w:color="D9E0E7"/>
              <w:bottom w:val="single" w:sz="4" w:space="0" w:color="D9E0E7"/>
              <w:right w:val="single" w:sz="4" w:space="0" w:color="D9E0E7"/>
              <w:insideH w:val="single" w:sz="4" w:space="0" w:color="D9E0E7"/>
              <w:insideV w:val="single" w:sz="4" w:space="0" w:color="D9E0E7"/>
            </w:tcBorders>
            <w:vAlign w:val="center"/>
          </w:tcPr>
          <w:p>
            <w:pPr>
              <w:spacing w:before="0" w:after="0" w:line="252" w:lineRule="auto"/>
            </w:pPr>
            <w:r>
              <w:rPr>
                <w:rFonts w:ascii="Calibri" w:hAnsi="Calibri" w:eastAsia="Calibri"/>
                <w:b w:val="0"/>
                <w:color w:val="1A1A1A"/>
                <w:sz w:val="17"/>
              </w:rPr>
              <w:t>£949</w:t>
            </w:r>
          </w:p>
        </w:tc>
        <w:tc>
          <w:tcPr>
            <w:tcW w:type="dxa" w:w="4250"/>
            <w:tcMar>
              <w:top w:w="80" w:type="dxa"/>
              <w:start w:w="120" w:type="dxa"/>
              <w:bottom w:w="80" w:type="dxa"/>
              <w:end w:w="120" w:type="dxa"/>
            </w:tcMar>
            <w:tcBorders>
              <w:top w:val="single" w:sz="4" w:space="0" w:color="D9E0E7"/>
              <w:left w:val="single" w:sz="4" w:space="0" w:color="D9E0E7"/>
              <w:bottom w:val="single" w:sz="4" w:space="0" w:color="D9E0E7"/>
              <w:right w:val="single" w:sz="4" w:space="0" w:color="D9E0E7"/>
              <w:insideH w:val="single" w:sz="4" w:space="0" w:color="D9E0E7"/>
              <w:insideV w:val="single" w:sz="4" w:space="0" w:color="D9E0E7"/>
            </w:tcBorders>
            <w:vAlign w:val="center"/>
          </w:tcPr>
          <w:p>
            <w:pPr>
              <w:spacing w:before="0" w:after="0" w:line="252" w:lineRule="auto"/>
            </w:pPr>
            <w:r>
              <w:rPr>
                <w:rFonts w:ascii="Calibri" w:hAnsi="Calibri" w:eastAsia="Calibri"/>
                <w:b w:val="0"/>
                <w:color w:val="1A1A1A"/>
                <w:sz w:val="17"/>
              </w:rPr>
              <w:t>6.5 hours of 1:1 coaching incl. initial consultation</w:t>
            </w:r>
          </w:p>
        </w:tc>
      </w:tr>
      <w:tr>
        <w:trPr>
          <w:cantSplit/>
        </w:trPr>
        <w:tc>
          <w:tcPr>
            <w:tcW w:type="dxa" w:w="1760"/>
            <w:shd w:fill="F7F9FB" w:val="clear"/>
            <w:tcMar>
              <w:top w:w="80" w:type="dxa"/>
              <w:start w:w="120" w:type="dxa"/>
              <w:bottom w:w="80" w:type="dxa"/>
              <w:end w:w="120" w:type="dxa"/>
            </w:tcMar>
            <w:tcBorders>
              <w:top w:val="single" w:sz="4" w:space="0" w:color="D9E0E7"/>
              <w:left w:val="single" w:sz="4" w:space="0" w:color="D9E0E7"/>
              <w:bottom w:val="single" w:sz="4" w:space="0" w:color="D9E0E7"/>
              <w:right w:val="single" w:sz="4" w:space="0" w:color="D9E0E7"/>
              <w:insideH w:val="single" w:sz="4" w:space="0" w:color="D9E0E7"/>
              <w:insideV w:val="single" w:sz="4" w:space="0" w:color="D9E0E7"/>
            </w:tcBorders>
            <w:vAlign w:val="center"/>
          </w:tcPr>
          <w:p>
            <w:pPr>
              <w:spacing w:before="0" w:after="0" w:line="252" w:lineRule="auto"/>
            </w:pPr>
            <w:r>
              <w:rPr>
                <w:rFonts w:ascii="Calibri" w:hAnsi="Calibri" w:eastAsia="Calibri"/>
                <w:b/>
                <w:color w:val="1A1A1A"/>
                <w:sz w:val="17"/>
              </w:rPr>
              <w:t>Accountability Coaching London</w:t>
            </w:r>
          </w:p>
        </w:tc>
        <w:tc>
          <w:tcPr>
            <w:tcW w:type="dxa" w:w="1600"/>
            <w:shd w:fill="F7F9FB" w:val="clear"/>
            <w:tcMar>
              <w:top w:w="80" w:type="dxa"/>
              <w:start w:w="120" w:type="dxa"/>
              <w:bottom w:w="80" w:type="dxa"/>
              <w:end w:w="120" w:type="dxa"/>
            </w:tcMar>
            <w:tcBorders>
              <w:top w:val="single" w:sz="4" w:space="0" w:color="D9E0E7"/>
              <w:left w:val="single" w:sz="4" w:space="0" w:color="D9E0E7"/>
              <w:bottom w:val="single" w:sz="4" w:space="0" w:color="D9E0E7"/>
              <w:right w:val="single" w:sz="4" w:space="0" w:color="D9E0E7"/>
              <w:insideH w:val="single" w:sz="4" w:space="0" w:color="D9E0E7"/>
              <w:insideV w:val="single" w:sz="4" w:space="0" w:color="D9E0E7"/>
            </w:tcBorders>
            <w:vAlign w:val="center"/>
          </w:tcPr>
          <w:p>
            <w:pPr>
              <w:spacing w:before="0" w:after="0" w:line="252" w:lineRule="auto"/>
            </w:pPr>
            <w:r>
              <w:rPr>
                <w:rFonts w:ascii="Calibri" w:hAnsi="Calibri" w:eastAsia="Calibri"/>
                <w:b w:val="0"/>
                <w:color w:val="1A1A1A"/>
                <w:sz w:val="17"/>
              </w:rPr>
              <w:t>Full support</w:t>
            </w:r>
          </w:p>
        </w:tc>
        <w:tc>
          <w:tcPr>
            <w:tcW w:type="dxa" w:w="1750"/>
            <w:shd w:fill="F7F9FB" w:val="clear"/>
            <w:tcMar>
              <w:top w:w="80" w:type="dxa"/>
              <w:start w:w="120" w:type="dxa"/>
              <w:bottom w:w="80" w:type="dxa"/>
              <w:end w:w="120" w:type="dxa"/>
            </w:tcMar>
            <w:tcBorders>
              <w:top w:val="single" w:sz="4" w:space="0" w:color="D9E0E7"/>
              <w:left w:val="single" w:sz="4" w:space="0" w:color="D9E0E7"/>
              <w:bottom w:val="single" w:sz="4" w:space="0" w:color="D9E0E7"/>
              <w:right w:val="single" w:sz="4" w:space="0" w:color="D9E0E7"/>
              <w:insideH w:val="single" w:sz="4" w:space="0" w:color="D9E0E7"/>
              <w:insideV w:val="single" w:sz="4" w:space="0" w:color="D9E0E7"/>
            </w:tcBorders>
            <w:vAlign w:val="center"/>
          </w:tcPr>
          <w:p>
            <w:pPr>
              <w:spacing w:before="0" w:after="0" w:line="252" w:lineRule="auto"/>
            </w:pPr>
            <w:r>
              <w:rPr>
                <w:rFonts w:ascii="Calibri" w:hAnsi="Calibri" w:eastAsia="Calibri"/>
                <w:b w:val="0"/>
                <w:color w:val="1A1A1A"/>
                <w:sz w:val="17"/>
              </w:rPr>
              <w:t>£590/month</w:t>
            </w:r>
          </w:p>
        </w:tc>
        <w:tc>
          <w:tcPr>
            <w:tcW w:type="dxa" w:w="4250"/>
            <w:shd w:fill="F7F9FB" w:val="clear"/>
            <w:tcMar>
              <w:top w:w="80" w:type="dxa"/>
              <w:start w:w="120" w:type="dxa"/>
              <w:bottom w:w="80" w:type="dxa"/>
              <w:end w:w="120" w:type="dxa"/>
            </w:tcMar>
            <w:tcBorders>
              <w:top w:val="single" w:sz="4" w:space="0" w:color="D9E0E7"/>
              <w:left w:val="single" w:sz="4" w:space="0" w:color="D9E0E7"/>
              <w:bottom w:val="single" w:sz="4" w:space="0" w:color="D9E0E7"/>
              <w:right w:val="single" w:sz="4" w:space="0" w:color="D9E0E7"/>
              <w:insideH w:val="single" w:sz="4" w:space="0" w:color="D9E0E7"/>
              <w:insideV w:val="single" w:sz="4" w:space="0" w:color="D9E0E7"/>
            </w:tcBorders>
            <w:vAlign w:val="center"/>
          </w:tcPr>
          <w:p>
            <w:pPr>
              <w:spacing w:before="0" w:after="0" w:line="252" w:lineRule="auto"/>
            </w:pPr>
            <w:r>
              <w:rPr>
                <w:rFonts w:ascii="Calibri" w:hAnsi="Calibri" w:eastAsia="Calibri"/>
                <w:b w:val="0"/>
                <w:color w:val="1A1A1A"/>
                <w:sz w:val="17"/>
              </w:rPr>
              <w:t>Weekly calls + between-session checkpoints</w:t>
            </w:r>
          </w:p>
        </w:tc>
      </w:tr>
      <w:tr>
        <w:trPr>
          <w:cantSplit/>
        </w:trPr>
        <w:tc>
          <w:tcPr>
            <w:tcW w:type="dxa" w:w="1760"/>
            <w:tcMar>
              <w:top w:w="80" w:type="dxa"/>
              <w:start w:w="120" w:type="dxa"/>
              <w:bottom w:w="80" w:type="dxa"/>
              <w:end w:w="120" w:type="dxa"/>
            </w:tcMar>
            <w:tcBorders>
              <w:top w:val="single" w:sz="4" w:space="0" w:color="D9E0E7"/>
              <w:left w:val="single" w:sz="4" w:space="0" w:color="D9E0E7"/>
              <w:bottom w:val="single" w:sz="4" w:space="0" w:color="D9E0E7"/>
              <w:right w:val="single" w:sz="4" w:space="0" w:color="D9E0E7"/>
              <w:insideH w:val="single" w:sz="4" w:space="0" w:color="D9E0E7"/>
              <w:insideV w:val="single" w:sz="4" w:space="0" w:color="D9E0E7"/>
            </w:tcBorders>
            <w:vAlign w:val="center"/>
          </w:tcPr>
          <w:p>
            <w:pPr>
              <w:spacing w:before="0" w:after="0" w:line="252" w:lineRule="auto"/>
            </w:pPr>
            <w:r>
              <w:rPr>
                <w:rFonts w:ascii="Calibri" w:hAnsi="Calibri" w:eastAsia="Calibri"/>
                <w:b/>
                <w:color w:val="1A1A1A"/>
                <w:sz w:val="17"/>
              </w:rPr>
              <w:t>Nick Hatter</w:t>
            </w:r>
          </w:p>
        </w:tc>
        <w:tc>
          <w:tcPr>
            <w:tcW w:type="dxa" w:w="1600"/>
            <w:tcMar>
              <w:top w:w="80" w:type="dxa"/>
              <w:start w:w="120" w:type="dxa"/>
              <w:bottom w:w="80" w:type="dxa"/>
              <w:end w:w="120" w:type="dxa"/>
            </w:tcMar>
            <w:tcBorders>
              <w:top w:val="single" w:sz="4" w:space="0" w:color="D9E0E7"/>
              <w:left w:val="single" w:sz="4" w:space="0" w:color="D9E0E7"/>
              <w:bottom w:val="single" w:sz="4" w:space="0" w:color="D9E0E7"/>
              <w:right w:val="single" w:sz="4" w:space="0" w:color="D9E0E7"/>
              <w:insideH w:val="single" w:sz="4" w:space="0" w:color="D9E0E7"/>
              <w:insideV w:val="single" w:sz="4" w:space="0" w:color="D9E0E7"/>
            </w:tcBorders>
            <w:vAlign w:val="center"/>
          </w:tcPr>
          <w:p>
            <w:pPr>
              <w:spacing w:before="0" w:after="0" w:line="252" w:lineRule="auto"/>
            </w:pPr>
            <w:r>
              <w:rPr>
                <w:rFonts w:ascii="Calibri" w:hAnsi="Calibri" w:eastAsia="Calibri"/>
                <w:b w:val="0"/>
                <w:color w:val="1A1A1A"/>
                <w:sz w:val="17"/>
              </w:rPr>
              <w:t>Premium coaching</w:t>
            </w:r>
          </w:p>
        </w:tc>
        <w:tc>
          <w:tcPr>
            <w:tcW w:type="dxa" w:w="1750"/>
            <w:tcMar>
              <w:top w:w="80" w:type="dxa"/>
              <w:start w:w="120" w:type="dxa"/>
              <w:bottom w:w="80" w:type="dxa"/>
              <w:end w:w="120" w:type="dxa"/>
            </w:tcMar>
            <w:tcBorders>
              <w:top w:val="single" w:sz="4" w:space="0" w:color="D9E0E7"/>
              <w:left w:val="single" w:sz="4" w:space="0" w:color="D9E0E7"/>
              <w:bottom w:val="single" w:sz="4" w:space="0" w:color="D9E0E7"/>
              <w:right w:val="single" w:sz="4" w:space="0" w:color="D9E0E7"/>
              <w:insideH w:val="single" w:sz="4" w:space="0" w:color="D9E0E7"/>
              <w:insideV w:val="single" w:sz="4" w:space="0" w:color="D9E0E7"/>
            </w:tcBorders>
            <w:vAlign w:val="center"/>
          </w:tcPr>
          <w:p>
            <w:pPr>
              <w:spacing w:before="0" w:after="0" w:line="252" w:lineRule="auto"/>
            </w:pPr>
            <w:r>
              <w:rPr>
                <w:rFonts w:ascii="Calibri" w:hAnsi="Calibri" w:eastAsia="Calibri"/>
                <w:b w:val="0"/>
                <w:color w:val="1A1A1A"/>
                <w:sz w:val="17"/>
              </w:rPr>
              <w:t>£4,320 / 6 weeks</w:t>
            </w:r>
          </w:p>
        </w:tc>
        <w:tc>
          <w:tcPr>
            <w:tcW w:type="dxa" w:w="4250"/>
            <w:tcMar>
              <w:top w:w="80" w:type="dxa"/>
              <w:start w:w="120" w:type="dxa"/>
              <w:bottom w:w="80" w:type="dxa"/>
              <w:end w:w="120" w:type="dxa"/>
            </w:tcMar>
            <w:tcBorders>
              <w:top w:val="single" w:sz="4" w:space="0" w:color="D9E0E7"/>
              <w:left w:val="single" w:sz="4" w:space="0" w:color="D9E0E7"/>
              <w:bottom w:val="single" w:sz="4" w:space="0" w:color="D9E0E7"/>
              <w:right w:val="single" w:sz="4" w:space="0" w:color="D9E0E7"/>
              <w:insideH w:val="single" w:sz="4" w:space="0" w:color="D9E0E7"/>
              <w:insideV w:val="single" w:sz="4" w:space="0" w:color="D9E0E7"/>
            </w:tcBorders>
            <w:vAlign w:val="center"/>
          </w:tcPr>
          <w:p>
            <w:pPr>
              <w:spacing w:before="0" w:after="0" w:line="252" w:lineRule="auto"/>
            </w:pPr>
            <w:r>
              <w:rPr>
                <w:rFonts w:ascii="Calibri" w:hAnsi="Calibri" w:eastAsia="Calibri"/>
                <w:b w:val="0"/>
                <w:color w:val="1A1A1A"/>
                <w:sz w:val="17"/>
              </w:rPr>
              <w:t>Weekly sessions, assessment, assignments, 24/7* support</w:t>
            </w:r>
          </w:p>
        </w:tc>
      </w:tr>
    </w:tbl>
    <w:p>
      <w:pPr>
        <w:spacing w:before="80" w:after="200"/>
        <w:keepLines/>
      </w:pPr>
      <w:r>
        <w:rPr>
          <w:rFonts w:ascii="Calibri" w:hAnsi="Calibri" w:eastAsia="Calibri"/>
          <w:i/>
          <w:color w:val="5F6B76"/>
        </w:rPr>
        <w:t>Sources: [13,15–18,24]. *Provider states subject to availability and reasonable use.</w:t>
      </w:r>
    </w:p>
    <w:p>
      <w:pPr>
        <w:pStyle w:val="Caption"/>
        <w:keepNext/>
      </w:pPr>
      <w:r>
        <w:t>Table 5. Specialist and practical alternatives</w:t>
      </w:r>
    </w:p>
    <w:tbl>
      <w:tblPr>
        <w:tblW w:type="dxa" w:w="9360"/>
        <w:tblLayout w:type="fixed"/>
        <w:tblLook w:firstColumn="1" w:firstRow="1" w:lastColumn="0" w:lastRow="0" w:noHBand="0" w:noVBand="1" w:val="04A0"/>
        <w:jc w:val="left"/>
        <w:tblInd w:w="120" w:type="dxa"/>
      </w:tblPr>
      <w:tblGrid>
        <w:gridCol w:w="2050"/>
        <w:gridCol w:w="2100"/>
        <w:gridCol w:w="2630"/>
        <w:gridCol w:w="2580"/>
      </w:tblGrid>
      <w:tr>
        <w:trPr>
          <w:cantSplit/>
          <w:tblHeader w:val="true"/>
        </w:trPr>
        <w:tc>
          <w:tcPr>
            <w:tcW w:type="dxa" w:w="2050"/>
            <w:tcMar>
              <w:top w:w="80" w:type="dxa"/>
              <w:start w:w="120" w:type="dxa"/>
              <w:bottom w:w="80" w:type="dxa"/>
              <w:end w:w="120" w:type="dxa"/>
            </w:tcMar>
            <w:tcBorders>
              <w:top w:val="single" w:sz="4" w:space="0" w:color="D9E0E7"/>
              <w:left w:val="single" w:sz="4" w:space="0" w:color="D9E0E7"/>
              <w:bottom w:val="single" w:sz="4" w:space="0" w:color="D9E0E7"/>
              <w:right w:val="single" w:sz="4" w:space="0" w:color="D9E0E7"/>
              <w:insideH w:val="single" w:sz="4" w:space="0" w:color="D9E0E7"/>
              <w:insideV w:val="single" w:sz="4" w:space="0" w:color="D9E0E7"/>
            </w:tcBorders>
            <w:vAlign w:val="center"/>
            <w:shd w:fill="F2F4F7" w:val="clear"/>
          </w:tcPr>
          <w:p>
            <w:pPr>
              <w:spacing w:before="0" w:after="0" w:line="240" w:lineRule="auto"/>
              <w:jc w:val="left"/>
            </w:pPr>
            <w:r>
              <w:rPr>
                <w:rFonts w:ascii="Calibri" w:hAnsi="Calibri" w:eastAsia="Calibri"/>
                <w:b/>
                <w:color w:val="0B2545"/>
                <w:sz w:val="17"/>
              </w:rPr>
              <w:t>Provider / route</w:t>
            </w:r>
          </w:p>
        </w:tc>
        <w:tc>
          <w:tcPr>
            <w:tcW w:type="dxa" w:w="2100"/>
            <w:tcMar>
              <w:top w:w="80" w:type="dxa"/>
              <w:start w:w="120" w:type="dxa"/>
              <w:bottom w:w="80" w:type="dxa"/>
              <w:end w:w="120" w:type="dxa"/>
            </w:tcMar>
            <w:tcBorders>
              <w:top w:val="single" w:sz="4" w:space="0" w:color="D9E0E7"/>
              <w:left w:val="single" w:sz="4" w:space="0" w:color="D9E0E7"/>
              <w:bottom w:val="single" w:sz="4" w:space="0" w:color="D9E0E7"/>
              <w:right w:val="single" w:sz="4" w:space="0" w:color="D9E0E7"/>
              <w:insideH w:val="single" w:sz="4" w:space="0" w:color="D9E0E7"/>
              <w:insideV w:val="single" w:sz="4" w:space="0" w:color="D9E0E7"/>
            </w:tcBorders>
            <w:vAlign w:val="center"/>
            <w:shd w:fill="F2F4F7" w:val="clear"/>
          </w:tcPr>
          <w:p>
            <w:pPr>
              <w:spacing w:before="0" w:after="0" w:line="240" w:lineRule="auto"/>
              <w:jc w:val="left"/>
            </w:pPr>
            <w:r>
              <w:rPr>
                <w:rFonts w:ascii="Calibri" w:hAnsi="Calibri" w:eastAsia="Calibri"/>
                <w:b/>
                <w:color w:val="0B2545"/>
                <w:sz w:val="17"/>
              </w:rPr>
              <w:t>Public price</w:t>
            </w:r>
          </w:p>
        </w:tc>
        <w:tc>
          <w:tcPr>
            <w:tcW w:type="dxa" w:w="2630"/>
            <w:tcMar>
              <w:top w:w="80" w:type="dxa"/>
              <w:start w:w="120" w:type="dxa"/>
              <w:bottom w:w="80" w:type="dxa"/>
              <w:end w:w="120" w:type="dxa"/>
            </w:tcMar>
            <w:tcBorders>
              <w:top w:val="single" w:sz="4" w:space="0" w:color="D9E0E7"/>
              <w:left w:val="single" w:sz="4" w:space="0" w:color="D9E0E7"/>
              <w:bottom w:val="single" w:sz="4" w:space="0" w:color="D9E0E7"/>
              <w:right w:val="single" w:sz="4" w:space="0" w:color="D9E0E7"/>
              <w:insideH w:val="single" w:sz="4" w:space="0" w:color="D9E0E7"/>
              <w:insideV w:val="single" w:sz="4" w:space="0" w:color="D9E0E7"/>
            </w:tcBorders>
            <w:vAlign w:val="center"/>
            <w:shd w:fill="F2F4F7" w:val="clear"/>
          </w:tcPr>
          <w:p>
            <w:pPr>
              <w:spacing w:before="0" w:after="0" w:line="240" w:lineRule="auto"/>
              <w:jc w:val="left"/>
            </w:pPr>
            <w:r>
              <w:rPr>
                <w:rFonts w:ascii="Calibri" w:hAnsi="Calibri" w:eastAsia="Calibri"/>
                <w:b/>
                <w:color w:val="0B2545"/>
                <w:sz w:val="17"/>
              </w:rPr>
              <w:t>What it solves</w:t>
            </w:r>
          </w:p>
        </w:tc>
        <w:tc>
          <w:tcPr>
            <w:tcW w:type="dxa" w:w="2580"/>
            <w:tcMar>
              <w:top w:w="80" w:type="dxa"/>
              <w:start w:w="120" w:type="dxa"/>
              <w:bottom w:w="80" w:type="dxa"/>
              <w:end w:w="120" w:type="dxa"/>
            </w:tcMar>
            <w:tcBorders>
              <w:top w:val="single" w:sz="4" w:space="0" w:color="D9E0E7"/>
              <w:left w:val="single" w:sz="4" w:space="0" w:color="D9E0E7"/>
              <w:bottom w:val="single" w:sz="4" w:space="0" w:color="D9E0E7"/>
              <w:right w:val="single" w:sz="4" w:space="0" w:color="D9E0E7"/>
              <w:insideH w:val="single" w:sz="4" w:space="0" w:color="D9E0E7"/>
              <w:insideV w:val="single" w:sz="4" w:space="0" w:color="D9E0E7"/>
            </w:tcBorders>
            <w:vAlign w:val="center"/>
            <w:shd w:fill="F2F4F7" w:val="clear"/>
          </w:tcPr>
          <w:p>
            <w:pPr>
              <w:spacing w:before="0" w:after="0" w:line="240" w:lineRule="auto"/>
              <w:jc w:val="left"/>
            </w:pPr>
            <w:r>
              <w:rPr>
                <w:rFonts w:ascii="Calibri" w:hAnsi="Calibri" w:eastAsia="Calibri"/>
                <w:b/>
                <w:color w:val="0B2545"/>
                <w:sz w:val="17"/>
              </w:rPr>
              <w:t>Key boundary</w:t>
            </w:r>
          </w:p>
        </w:tc>
      </w:tr>
      <w:tr>
        <w:trPr>
          <w:cantSplit/>
        </w:trPr>
        <w:tc>
          <w:tcPr>
            <w:tcW w:type="dxa" w:w="2050"/>
            <w:tcMar>
              <w:top w:w="80" w:type="dxa"/>
              <w:start w:w="120" w:type="dxa"/>
              <w:bottom w:w="80" w:type="dxa"/>
              <w:end w:w="120" w:type="dxa"/>
            </w:tcMar>
            <w:tcBorders>
              <w:top w:val="single" w:sz="4" w:space="0" w:color="D9E0E7"/>
              <w:left w:val="single" w:sz="4" w:space="0" w:color="D9E0E7"/>
              <w:bottom w:val="single" w:sz="4" w:space="0" w:color="D9E0E7"/>
              <w:right w:val="single" w:sz="4" w:space="0" w:color="D9E0E7"/>
              <w:insideH w:val="single" w:sz="4" w:space="0" w:color="D9E0E7"/>
              <w:insideV w:val="single" w:sz="4" w:space="0" w:color="D9E0E7"/>
            </w:tcBorders>
            <w:vAlign w:val="center"/>
          </w:tcPr>
          <w:p>
            <w:pPr>
              <w:spacing w:before="0" w:after="0" w:line="252" w:lineRule="auto"/>
            </w:pPr>
            <w:r>
              <w:rPr>
                <w:rFonts w:ascii="Calibri" w:hAnsi="Calibri" w:eastAsia="Calibri"/>
                <w:b/>
                <w:color w:val="1A1A1A"/>
                <w:sz w:val="17"/>
              </w:rPr>
              <w:t>Private therapist</w:t>
            </w:r>
          </w:p>
        </w:tc>
        <w:tc>
          <w:tcPr>
            <w:tcW w:type="dxa" w:w="2100"/>
            <w:tcMar>
              <w:top w:w="80" w:type="dxa"/>
              <w:start w:w="120" w:type="dxa"/>
              <w:bottom w:w="80" w:type="dxa"/>
              <w:end w:w="120" w:type="dxa"/>
            </w:tcMar>
            <w:tcBorders>
              <w:top w:val="single" w:sz="4" w:space="0" w:color="D9E0E7"/>
              <w:left w:val="single" w:sz="4" w:space="0" w:color="D9E0E7"/>
              <w:bottom w:val="single" w:sz="4" w:space="0" w:color="D9E0E7"/>
              <w:right w:val="single" w:sz="4" w:space="0" w:color="D9E0E7"/>
              <w:insideH w:val="single" w:sz="4" w:space="0" w:color="D9E0E7"/>
              <w:insideV w:val="single" w:sz="4" w:space="0" w:color="D9E0E7"/>
            </w:tcBorders>
            <w:vAlign w:val="center"/>
          </w:tcPr>
          <w:p>
            <w:pPr>
              <w:spacing w:before="0" w:after="0" w:line="252" w:lineRule="auto"/>
            </w:pPr>
            <w:r>
              <w:rPr>
                <w:rFonts w:ascii="Calibri" w:hAnsi="Calibri" w:eastAsia="Calibri"/>
                <w:b w:val="0"/>
                <w:color w:val="1A1A1A"/>
                <w:sz w:val="17"/>
              </w:rPr>
              <w:t>Often £40–£60/session; £60.60 average listing</w:t>
            </w:r>
          </w:p>
        </w:tc>
        <w:tc>
          <w:tcPr>
            <w:tcW w:type="dxa" w:w="2630"/>
            <w:tcMar>
              <w:top w:w="80" w:type="dxa"/>
              <w:start w:w="120" w:type="dxa"/>
              <w:bottom w:w="80" w:type="dxa"/>
              <w:end w:w="120" w:type="dxa"/>
            </w:tcMar>
            <w:tcBorders>
              <w:top w:val="single" w:sz="4" w:space="0" w:color="D9E0E7"/>
              <w:left w:val="single" w:sz="4" w:space="0" w:color="D9E0E7"/>
              <w:bottom w:val="single" w:sz="4" w:space="0" w:color="D9E0E7"/>
              <w:right w:val="single" w:sz="4" w:space="0" w:color="D9E0E7"/>
              <w:insideH w:val="single" w:sz="4" w:space="0" w:color="D9E0E7"/>
              <w:insideV w:val="single" w:sz="4" w:space="0" w:color="D9E0E7"/>
            </w:tcBorders>
            <w:vAlign w:val="center"/>
          </w:tcPr>
          <w:p>
            <w:pPr>
              <w:spacing w:before="0" w:after="0" w:line="252" w:lineRule="auto"/>
            </w:pPr>
            <w:r>
              <w:rPr>
                <w:rFonts w:ascii="Calibri" w:hAnsi="Calibri" w:eastAsia="Calibri"/>
                <w:b w:val="0"/>
                <w:color w:val="1A1A1A"/>
                <w:sz w:val="17"/>
              </w:rPr>
              <w:t>Emotional/mental-health work</w:t>
            </w:r>
          </w:p>
        </w:tc>
        <w:tc>
          <w:tcPr>
            <w:tcW w:type="dxa" w:w="2580"/>
            <w:tcMar>
              <w:top w:w="80" w:type="dxa"/>
              <w:start w:w="120" w:type="dxa"/>
              <w:bottom w:w="80" w:type="dxa"/>
              <w:end w:w="120" w:type="dxa"/>
            </w:tcMar>
            <w:tcBorders>
              <w:top w:val="single" w:sz="4" w:space="0" w:color="D9E0E7"/>
              <w:left w:val="single" w:sz="4" w:space="0" w:color="D9E0E7"/>
              <w:bottom w:val="single" w:sz="4" w:space="0" w:color="D9E0E7"/>
              <w:right w:val="single" w:sz="4" w:space="0" w:color="D9E0E7"/>
              <w:insideH w:val="single" w:sz="4" w:space="0" w:color="D9E0E7"/>
              <w:insideV w:val="single" w:sz="4" w:space="0" w:color="D9E0E7"/>
            </w:tcBorders>
            <w:vAlign w:val="center"/>
          </w:tcPr>
          <w:p>
            <w:pPr>
              <w:spacing w:before="0" w:after="0" w:line="252" w:lineRule="auto"/>
            </w:pPr>
            <w:r>
              <w:rPr>
                <w:rFonts w:ascii="Calibri" w:hAnsi="Calibri" w:eastAsia="Calibri"/>
                <w:b w:val="0"/>
                <w:color w:val="1A1A1A"/>
                <w:sz w:val="17"/>
              </w:rPr>
              <w:t>Not usually admin or specialist coordination</w:t>
            </w:r>
          </w:p>
        </w:tc>
      </w:tr>
      <w:tr>
        <w:trPr>
          <w:cantSplit/>
        </w:trPr>
        <w:tc>
          <w:tcPr>
            <w:tcW w:type="dxa" w:w="2050"/>
            <w:shd w:fill="F7F9FB" w:val="clear"/>
            <w:tcMar>
              <w:top w:w="80" w:type="dxa"/>
              <w:start w:w="120" w:type="dxa"/>
              <w:bottom w:w="80" w:type="dxa"/>
              <w:end w:w="120" w:type="dxa"/>
            </w:tcMar>
            <w:tcBorders>
              <w:top w:val="single" w:sz="4" w:space="0" w:color="D9E0E7"/>
              <w:left w:val="single" w:sz="4" w:space="0" w:color="D9E0E7"/>
              <w:bottom w:val="single" w:sz="4" w:space="0" w:color="D9E0E7"/>
              <w:right w:val="single" w:sz="4" w:space="0" w:color="D9E0E7"/>
              <w:insideH w:val="single" w:sz="4" w:space="0" w:color="D9E0E7"/>
              <w:insideV w:val="single" w:sz="4" w:space="0" w:color="D9E0E7"/>
            </w:tcBorders>
            <w:vAlign w:val="center"/>
          </w:tcPr>
          <w:p>
            <w:pPr>
              <w:spacing w:before="0" w:after="0" w:line="252" w:lineRule="auto"/>
            </w:pPr>
            <w:r>
              <w:rPr>
                <w:rFonts w:ascii="Calibri" w:hAnsi="Calibri" w:eastAsia="Calibri"/>
                <w:b/>
                <w:color w:val="1A1A1A"/>
                <w:sz w:val="17"/>
              </w:rPr>
              <w:t>GOV.UK divorce application</w:t>
            </w:r>
          </w:p>
        </w:tc>
        <w:tc>
          <w:tcPr>
            <w:tcW w:type="dxa" w:w="2100"/>
            <w:shd w:fill="F7F9FB" w:val="clear"/>
            <w:tcMar>
              <w:top w:w="80" w:type="dxa"/>
              <w:start w:w="120" w:type="dxa"/>
              <w:bottom w:w="80" w:type="dxa"/>
              <w:end w:w="120" w:type="dxa"/>
            </w:tcMar>
            <w:tcBorders>
              <w:top w:val="single" w:sz="4" w:space="0" w:color="D9E0E7"/>
              <w:left w:val="single" w:sz="4" w:space="0" w:color="D9E0E7"/>
              <w:bottom w:val="single" w:sz="4" w:space="0" w:color="D9E0E7"/>
              <w:right w:val="single" w:sz="4" w:space="0" w:color="D9E0E7"/>
              <w:insideH w:val="single" w:sz="4" w:space="0" w:color="D9E0E7"/>
              <w:insideV w:val="single" w:sz="4" w:space="0" w:color="D9E0E7"/>
            </w:tcBorders>
            <w:vAlign w:val="center"/>
          </w:tcPr>
          <w:p>
            <w:pPr>
              <w:spacing w:before="0" w:after="0" w:line="252" w:lineRule="auto"/>
            </w:pPr>
            <w:r>
              <w:rPr>
                <w:rFonts w:ascii="Calibri" w:hAnsi="Calibri" w:eastAsia="Calibri"/>
                <w:b w:val="0"/>
                <w:color w:val="1A1A1A"/>
                <w:sz w:val="17"/>
              </w:rPr>
              <w:t>£628</w:t>
            </w:r>
          </w:p>
        </w:tc>
        <w:tc>
          <w:tcPr>
            <w:tcW w:type="dxa" w:w="2630"/>
            <w:shd w:fill="F7F9FB" w:val="clear"/>
            <w:tcMar>
              <w:top w:w="80" w:type="dxa"/>
              <w:start w:w="120" w:type="dxa"/>
              <w:bottom w:w="80" w:type="dxa"/>
              <w:end w:w="120" w:type="dxa"/>
            </w:tcMar>
            <w:tcBorders>
              <w:top w:val="single" w:sz="4" w:space="0" w:color="D9E0E7"/>
              <w:left w:val="single" w:sz="4" w:space="0" w:color="D9E0E7"/>
              <w:bottom w:val="single" w:sz="4" w:space="0" w:color="D9E0E7"/>
              <w:right w:val="single" w:sz="4" w:space="0" w:color="D9E0E7"/>
              <w:insideH w:val="single" w:sz="4" w:space="0" w:color="D9E0E7"/>
              <w:insideV w:val="single" w:sz="4" w:space="0" w:color="D9E0E7"/>
            </w:tcBorders>
            <w:vAlign w:val="center"/>
          </w:tcPr>
          <w:p>
            <w:pPr>
              <w:spacing w:before="0" w:after="0" w:line="252" w:lineRule="auto"/>
            </w:pPr>
            <w:r>
              <w:rPr>
                <w:rFonts w:ascii="Calibri" w:hAnsi="Calibri" w:eastAsia="Calibri"/>
                <w:b w:val="0"/>
                <w:color w:val="1A1A1A"/>
                <w:sz w:val="17"/>
              </w:rPr>
              <w:t>Formal divorce application</w:t>
            </w:r>
          </w:p>
        </w:tc>
        <w:tc>
          <w:tcPr>
            <w:tcW w:type="dxa" w:w="2580"/>
            <w:shd w:fill="F7F9FB" w:val="clear"/>
            <w:tcMar>
              <w:top w:w="80" w:type="dxa"/>
              <w:start w:w="120" w:type="dxa"/>
              <w:bottom w:w="80" w:type="dxa"/>
              <w:end w:w="120" w:type="dxa"/>
            </w:tcMar>
            <w:tcBorders>
              <w:top w:val="single" w:sz="4" w:space="0" w:color="D9E0E7"/>
              <w:left w:val="single" w:sz="4" w:space="0" w:color="D9E0E7"/>
              <w:bottom w:val="single" w:sz="4" w:space="0" w:color="D9E0E7"/>
              <w:right w:val="single" w:sz="4" w:space="0" w:color="D9E0E7"/>
              <w:insideH w:val="single" w:sz="4" w:space="0" w:color="D9E0E7"/>
              <w:insideV w:val="single" w:sz="4" w:space="0" w:color="D9E0E7"/>
            </w:tcBorders>
            <w:vAlign w:val="center"/>
          </w:tcPr>
          <w:p>
            <w:pPr>
              <w:spacing w:before="0" w:after="0" w:line="252" w:lineRule="auto"/>
            </w:pPr>
            <w:r>
              <w:rPr>
                <w:rFonts w:ascii="Calibri" w:hAnsi="Calibri" w:eastAsia="Calibri"/>
                <w:b w:val="0"/>
                <w:color w:val="1A1A1A"/>
                <w:sz w:val="17"/>
              </w:rPr>
              <w:t>Not financial settlement or personal support</w:t>
            </w:r>
          </w:p>
        </w:tc>
      </w:tr>
      <w:tr>
        <w:trPr>
          <w:cantSplit/>
        </w:trPr>
        <w:tc>
          <w:tcPr>
            <w:tcW w:type="dxa" w:w="2050"/>
            <w:tcMar>
              <w:top w:w="80" w:type="dxa"/>
              <w:start w:w="120" w:type="dxa"/>
              <w:bottom w:w="80" w:type="dxa"/>
              <w:end w:w="120" w:type="dxa"/>
            </w:tcMar>
            <w:tcBorders>
              <w:top w:val="single" w:sz="4" w:space="0" w:color="D9E0E7"/>
              <w:left w:val="single" w:sz="4" w:space="0" w:color="D9E0E7"/>
              <w:bottom w:val="single" w:sz="4" w:space="0" w:color="D9E0E7"/>
              <w:right w:val="single" w:sz="4" w:space="0" w:color="D9E0E7"/>
              <w:insideH w:val="single" w:sz="4" w:space="0" w:color="D9E0E7"/>
              <w:insideV w:val="single" w:sz="4" w:space="0" w:color="D9E0E7"/>
            </w:tcBorders>
            <w:vAlign w:val="center"/>
          </w:tcPr>
          <w:p>
            <w:pPr>
              <w:spacing w:before="0" w:after="0" w:line="252" w:lineRule="auto"/>
            </w:pPr>
            <w:r>
              <w:rPr>
                <w:rFonts w:ascii="Calibri" w:hAnsi="Calibri" w:eastAsia="Calibri"/>
                <w:b/>
                <w:color w:val="1A1A1A"/>
                <w:sz w:val="17"/>
              </w:rPr>
              <w:t>MIAM / mediation</w:t>
            </w:r>
          </w:p>
        </w:tc>
        <w:tc>
          <w:tcPr>
            <w:tcW w:type="dxa" w:w="2100"/>
            <w:tcMar>
              <w:top w:w="80" w:type="dxa"/>
              <w:start w:w="120" w:type="dxa"/>
              <w:bottom w:w="80" w:type="dxa"/>
              <w:end w:w="120" w:type="dxa"/>
            </w:tcMar>
            <w:tcBorders>
              <w:top w:val="single" w:sz="4" w:space="0" w:color="D9E0E7"/>
              <w:left w:val="single" w:sz="4" w:space="0" w:color="D9E0E7"/>
              <w:bottom w:val="single" w:sz="4" w:space="0" w:color="D9E0E7"/>
              <w:right w:val="single" w:sz="4" w:space="0" w:color="D9E0E7"/>
              <w:insideH w:val="single" w:sz="4" w:space="0" w:color="D9E0E7"/>
              <w:insideV w:val="single" w:sz="4" w:space="0" w:color="D9E0E7"/>
            </w:tcBorders>
            <w:vAlign w:val="center"/>
          </w:tcPr>
          <w:p>
            <w:pPr>
              <w:spacing w:before="0" w:after="0" w:line="252" w:lineRule="auto"/>
            </w:pPr>
            <w:r>
              <w:rPr>
                <w:rFonts w:ascii="Calibri" w:hAnsi="Calibri" w:eastAsia="Calibri"/>
                <w:b w:val="0"/>
                <w:color w:val="1A1A1A"/>
                <w:sz w:val="17"/>
              </w:rPr>
              <w:t>MIAM ≈ £120; voucher up to £500</w:t>
            </w:r>
          </w:p>
        </w:tc>
        <w:tc>
          <w:tcPr>
            <w:tcW w:type="dxa" w:w="2630"/>
            <w:tcMar>
              <w:top w:w="80" w:type="dxa"/>
              <w:start w:w="120" w:type="dxa"/>
              <w:bottom w:w="80" w:type="dxa"/>
              <w:end w:w="120" w:type="dxa"/>
            </w:tcMar>
            <w:tcBorders>
              <w:top w:val="single" w:sz="4" w:space="0" w:color="D9E0E7"/>
              <w:left w:val="single" w:sz="4" w:space="0" w:color="D9E0E7"/>
              <w:bottom w:val="single" w:sz="4" w:space="0" w:color="D9E0E7"/>
              <w:right w:val="single" w:sz="4" w:space="0" w:color="D9E0E7"/>
              <w:insideH w:val="single" w:sz="4" w:space="0" w:color="D9E0E7"/>
              <w:insideV w:val="single" w:sz="4" w:space="0" w:color="D9E0E7"/>
            </w:tcBorders>
            <w:vAlign w:val="center"/>
          </w:tcPr>
          <w:p>
            <w:pPr>
              <w:spacing w:before="0" w:after="0" w:line="252" w:lineRule="auto"/>
            </w:pPr>
            <w:r>
              <w:rPr>
                <w:rFonts w:ascii="Calibri" w:hAnsi="Calibri" w:eastAsia="Calibri"/>
                <w:b w:val="0"/>
                <w:color w:val="1A1A1A"/>
                <w:sz w:val="17"/>
              </w:rPr>
              <w:t>Explore and negotiate child/financial arrangements</w:t>
            </w:r>
          </w:p>
        </w:tc>
        <w:tc>
          <w:tcPr>
            <w:tcW w:type="dxa" w:w="2580"/>
            <w:tcMar>
              <w:top w:w="80" w:type="dxa"/>
              <w:start w:w="120" w:type="dxa"/>
              <w:bottom w:w="80" w:type="dxa"/>
              <w:end w:w="120" w:type="dxa"/>
            </w:tcMar>
            <w:tcBorders>
              <w:top w:val="single" w:sz="4" w:space="0" w:color="D9E0E7"/>
              <w:left w:val="single" w:sz="4" w:space="0" w:color="D9E0E7"/>
              <w:bottom w:val="single" w:sz="4" w:space="0" w:color="D9E0E7"/>
              <w:right w:val="single" w:sz="4" w:space="0" w:color="D9E0E7"/>
              <w:insideH w:val="single" w:sz="4" w:space="0" w:color="D9E0E7"/>
              <w:insideV w:val="single" w:sz="4" w:space="0" w:color="D9E0E7"/>
            </w:tcBorders>
            <w:vAlign w:val="center"/>
          </w:tcPr>
          <w:p>
            <w:pPr>
              <w:spacing w:before="0" w:after="0" w:line="252" w:lineRule="auto"/>
            </w:pPr>
            <w:r>
              <w:rPr>
                <w:rFonts w:ascii="Calibri" w:hAnsi="Calibri" w:eastAsia="Calibri"/>
                <w:b w:val="0"/>
                <w:color w:val="1A1A1A"/>
                <w:sz w:val="17"/>
              </w:rPr>
              <w:t>Not counselling; agreement may need legal formalisation</w:t>
            </w:r>
          </w:p>
        </w:tc>
      </w:tr>
      <w:tr>
        <w:trPr>
          <w:cantSplit/>
        </w:trPr>
        <w:tc>
          <w:tcPr>
            <w:tcW w:type="dxa" w:w="2050"/>
            <w:shd w:fill="F7F9FB" w:val="clear"/>
            <w:tcMar>
              <w:top w:w="80" w:type="dxa"/>
              <w:start w:w="120" w:type="dxa"/>
              <w:bottom w:w="80" w:type="dxa"/>
              <w:end w:w="120" w:type="dxa"/>
            </w:tcMar>
            <w:tcBorders>
              <w:top w:val="single" w:sz="4" w:space="0" w:color="D9E0E7"/>
              <w:left w:val="single" w:sz="4" w:space="0" w:color="D9E0E7"/>
              <w:bottom w:val="single" w:sz="4" w:space="0" w:color="D9E0E7"/>
              <w:right w:val="single" w:sz="4" w:space="0" w:color="D9E0E7"/>
              <w:insideH w:val="single" w:sz="4" w:space="0" w:color="D9E0E7"/>
              <w:insideV w:val="single" w:sz="4" w:space="0" w:color="D9E0E7"/>
            </w:tcBorders>
            <w:vAlign w:val="center"/>
          </w:tcPr>
          <w:p>
            <w:pPr>
              <w:spacing w:before="0" w:after="0" w:line="252" w:lineRule="auto"/>
            </w:pPr>
            <w:r>
              <w:rPr>
                <w:rFonts w:ascii="Calibri" w:hAnsi="Calibri" w:eastAsia="Calibri"/>
                <w:b/>
                <w:color w:val="1A1A1A"/>
                <w:sz w:val="17"/>
              </w:rPr>
              <w:t>amicable</w:t>
            </w:r>
          </w:p>
        </w:tc>
        <w:tc>
          <w:tcPr>
            <w:tcW w:type="dxa" w:w="2100"/>
            <w:shd w:fill="F7F9FB" w:val="clear"/>
            <w:tcMar>
              <w:top w:w="80" w:type="dxa"/>
              <w:start w:w="120" w:type="dxa"/>
              <w:bottom w:w="80" w:type="dxa"/>
              <w:end w:w="120" w:type="dxa"/>
            </w:tcMar>
            <w:tcBorders>
              <w:top w:val="single" w:sz="4" w:space="0" w:color="D9E0E7"/>
              <w:left w:val="single" w:sz="4" w:space="0" w:color="D9E0E7"/>
              <w:bottom w:val="single" w:sz="4" w:space="0" w:color="D9E0E7"/>
              <w:right w:val="single" w:sz="4" w:space="0" w:color="D9E0E7"/>
              <w:insideH w:val="single" w:sz="4" w:space="0" w:color="D9E0E7"/>
              <w:insideV w:val="single" w:sz="4" w:space="0" w:color="D9E0E7"/>
            </w:tcBorders>
            <w:vAlign w:val="center"/>
          </w:tcPr>
          <w:p>
            <w:pPr>
              <w:spacing w:before="0" w:after="0" w:line="252" w:lineRule="auto"/>
            </w:pPr>
            <w:r>
              <w:rPr>
                <w:rFonts w:ascii="Calibri" w:hAnsi="Calibri" w:eastAsia="Calibri"/>
                <w:b w:val="0"/>
                <w:color w:val="1A1A1A"/>
                <w:sz w:val="17"/>
              </w:rPr>
              <w:t>£1,200–£5,910</w:t>
            </w:r>
          </w:p>
        </w:tc>
        <w:tc>
          <w:tcPr>
            <w:tcW w:type="dxa" w:w="2630"/>
            <w:shd w:fill="F7F9FB" w:val="clear"/>
            <w:tcMar>
              <w:top w:w="80" w:type="dxa"/>
              <w:start w:w="120" w:type="dxa"/>
              <w:bottom w:w="80" w:type="dxa"/>
              <w:end w:w="120" w:type="dxa"/>
            </w:tcMar>
            <w:tcBorders>
              <w:top w:val="single" w:sz="4" w:space="0" w:color="D9E0E7"/>
              <w:left w:val="single" w:sz="4" w:space="0" w:color="D9E0E7"/>
              <w:bottom w:val="single" w:sz="4" w:space="0" w:color="D9E0E7"/>
              <w:right w:val="single" w:sz="4" w:space="0" w:color="D9E0E7"/>
              <w:insideH w:val="single" w:sz="4" w:space="0" w:color="D9E0E7"/>
              <w:insideV w:val="single" w:sz="4" w:space="0" w:color="D9E0E7"/>
            </w:tcBorders>
            <w:vAlign w:val="center"/>
          </w:tcPr>
          <w:p>
            <w:pPr>
              <w:spacing w:before="0" w:after="0" w:line="252" w:lineRule="auto"/>
            </w:pPr>
            <w:r>
              <w:rPr>
                <w:rFonts w:ascii="Calibri" w:hAnsi="Calibri" w:eastAsia="Calibri"/>
                <w:b w:val="0"/>
                <w:color w:val="1A1A1A"/>
                <w:sz w:val="17"/>
              </w:rPr>
              <w:t>Divorce, consent order and negotiation services</w:t>
            </w:r>
          </w:p>
        </w:tc>
        <w:tc>
          <w:tcPr>
            <w:tcW w:type="dxa" w:w="2580"/>
            <w:shd w:fill="F7F9FB" w:val="clear"/>
            <w:tcMar>
              <w:top w:w="80" w:type="dxa"/>
              <w:start w:w="120" w:type="dxa"/>
              <w:bottom w:w="80" w:type="dxa"/>
              <w:end w:w="120" w:type="dxa"/>
            </w:tcMar>
            <w:tcBorders>
              <w:top w:val="single" w:sz="4" w:space="0" w:color="D9E0E7"/>
              <w:left w:val="single" w:sz="4" w:space="0" w:color="D9E0E7"/>
              <w:bottom w:val="single" w:sz="4" w:space="0" w:color="D9E0E7"/>
              <w:right w:val="single" w:sz="4" w:space="0" w:color="D9E0E7"/>
              <w:insideH w:val="single" w:sz="4" w:space="0" w:color="D9E0E7"/>
              <w:insideV w:val="single" w:sz="4" w:space="0" w:color="D9E0E7"/>
            </w:tcBorders>
            <w:vAlign w:val="center"/>
          </w:tcPr>
          <w:p>
            <w:pPr>
              <w:spacing w:before="0" w:after="0" w:line="252" w:lineRule="auto"/>
            </w:pPr>
            <w:r>
              <w:rPr>
                <w:rFonts w:ascii="Calibri" w:hAnsi="Calibri" w:eastAsia="Calibri"/>
                <w:b w:val="0"/>
                <w:color w:val="1A1A1A"/>
                <w:sz w:val="17"/>
              </w:rPr>
              <w:t>Couple/legal process focus</w:t>
            </w:r>
          </w:p>
        </w:tc>
      </w:tr>
      <w:tr>
        <w:trPr>
          <w:cantSplit/>
        </w:trPr>
        <w:tc>
          <w:tcPr>
            <w:tcW w:type="dxa" w:w="2050"/>
            <w:tcMar>
              <w:top w:w="80" w:type="dxa"/>
              <w:start w:w="120" w:type="dxa"/>
              <w:bottom w:w="80" w:type="dxa"/>
              <w:end w:w="120" w:type="dxa"/>
            </w:tcMar>
            <w:tcBorders>
              <w:top w:val="single" w:sz="4" w:space="0" w:color="D9E0E7"/>
              <w:left w:val="single" w:sz="4" w:space="0" w:color="D9E0E7"/>
              <w:bottom w:val="single" w:sz="4" w:space="0" w:color="D9E0E7"/>
              <w:right w:val="single" w:sz="4" w:space="0" w:color="D9E0E7"/>
              <w:insideH w:val="single" w:sz="4" w:space="0" w:color="D9E0E7"/>
              <w:insideV w:val="single" w:sz="4" w:space="0" w:color="D9E0E7"/>
            </w:tcBorders>
            <w:vAlign w:val="center"/>
          </w:tcPr>
          <w:p>
            <w:pPr>
              <w:spacing w:before="0" w:after="0" w:line="252" w:lineRule="auto"/>
            </w:pPr>
            <w:r>
              <w:rPr>
                <w:rFonts w:ascii="Calibri" w:hAnsi="Calibri" w:eastAsia="Calibri"/>
                <w:b/>
                <w:color w:val="1A1A1A"/>
                <w:sz w:val="17"/>
              </w:rPr>
              <w:t>Action PAs</w:t>
            </w:r>
          </w:p>
        </w:tc>
        <w:tc>
          <w:tcPr>
            <w:tcW w:type="dxa" w:w="2100"/>
            <w:tcMar>
              <w:top w:w="80" w:type="dxa"/>
              <w:start w:w="120" w:type="dxa"/>
              <w:bottom w:w="80" w:type="dxa"/>
              <w:end w:w="120" w:type="dxa"/>
            </w:tcMar>
            <w:tcBorders>
              <w:top w:val="single" w:sz="4" w:space="0" w:color="D9E0E7"/>
              <w:left w:val="single" w:sz="4" w:space="0" w:color="D9E0E7"/>
              <w:bottom w:val="single" w:sz="4" w:space="0" w:color="D9E0E7"/>
              <w:right w:val="single" w:sz="4" w:space="0" w:color="D9E0E7"/>
              <w:insideH w:val="single" w:sz="4" w:space="0" w:color="D9E0E7"/>
              <w:insideV w:val="single" w:sz="4" w:space="0" w:color="D9E0E7"/>
            </w:tcBorders>
            <w:vAlign w:val="center"/>
          </w:tcPr>
          <w:p>
            <w:pPr>
              <w:spacing w:before="0" w:after="0" w:line="252" w:lineRule="auto"/>
            </w:pPr>
            <w:r>
              <w:rPr>
                <w:rFonts w:ascii="Calibri" w:hAnsi="Calibri" w:eastAsia="Calibri"/>
                <w:b w:val="0"/>
                <w:color w:val="1A1A1A"/>
                <w:sz w:val="17"/>
              </w:rPr>
              <w:t>£40/hour; 5h £185; 20h £740 + VAT</w:t>
            </w:r>
          </w:p>
        </w:tc>
        <w:tc>
          <w:tcPr>
            <w:tcW w:type="dxa" w:w="2630"/>
            <w:tcMar>
              <w:top w:w="80" w:type="dxa"/>
              <w:start w:w="120" w:type="dxa"/>
              <w:bottom w:w="80" w:type="dxa"/>
              <w:end w:w="120" w:type="dxa"/>
            </w:tcMar>
            <w:tcBorders>
              <w:top w:val="single" w:sz="4" w:space="0" w:color="D9E0E7"/>
              <w:left w:val="single" w:sz="4" w:space="0" w:color="D9E0E7"/>
              <w:bottom w:val="single" w:sz="4" w:space="0" w:color="D9E0E7"/>
              <w:right w:val="single" w:sz="4" w:space="0" w:color="D9E0E7"/>
              <w:insideH w:val="single" w:sz="4" w:space="0" w:color="D9E0E7"/>
              <w:insideV w:val="single" w:sz="4" w:space="0" w:color="D9E0E7"/>
            </w:tcBorders>
            <w:vAlign w:val="center"/>
          </w:tcPr>
          <w:p>
            <w:pPr>
              <w:spacing w:before="0" w:after="0" w:line="252" w:lineRule="auto"/>
            </w:pPr>
            <w:r>
              <w:rPr>
                <w:rFonts w:ascii="Calibri" w:hAnsi="Calibri" w:eastAsia="Calibri"/>
                <w:b w:val="0"/>
                <w:color w:val="1A1A1A"/>
                <w:sz w:val="17"/>
              </w:rPr>
              <w:t>Delegated admin and operational support</w:t>
            </w:r>
          </w:p>
        </w:tc>
        <w:tc>
          <w:tcPr>
            <w:tcW w:type="dxa" w:w="2580"/>
            <w:tcMar>
              <w:top w:w="80" w:type="dxa"/>
              <w:start w:w="120" w:type="dxa"/>
              <w:bottom w:w="80" w:type="dxa"/>
              <w:end w:w="120" w:type="dxa"/>
            </w:tcMar>
            <w:tcBorders>
              <w:top w:val="single" w:sz="4" w:space="0" w:color="D9E0E7"/>
              <w:left w:val="single" w:sz="4" w:space="0" w:color="D9E0E7"/>
              <w:bottom w:val="single" w:sz="4" w:space="0" w:color="D9E0E7"/>
              <w:right w:val="single" w:sz="4" w:space="0" w:color="D9E0E7"/>
              <w:insideH w:val="single" w:sz="4" w:space="0" w:color="D9E0E7"/>
              <w:insideV w:val="single" w:sz="4" w:space="0" w:color="D9E0E7"/>
            </w:tcBorders>
            <w:vAlign w:val="center"/>
          </w:tcPr>
          <w:p>
            <w:pPr>
              <w:spacing w:before="0" w:after="0" w:line="252" w:lineRule="auto"/>
            </w:pPr>
            <w:r>
              <w:rPr>
                <w:rFonts w:ascii="Calibri" w:hAnsi="Calibri" w:eastAsia="Calibri"/>
                <w:b w:val="0"/>
                <w:color w:val="1A1A1A"/>
                <w:sz w:val="17"/>
              </w:rPr>
              <w:t>Not emotional or clinical support</w:t>
            </w:r>
          </w:p>
        </w:tc>
      </w:tr>
      <w:tr>
        <w:trPr>
          <w:cantSplit/>
        </w:trPr>
        <w:tc>
          <w:tcPr>
            <w:tcW w:type="dxa" w:w="2050"/>
            <w:shd w:fill="F7F9FB" w:val="clear"/>
            <w:tcMar>
              <w:top w:w="80" w:type="dxa"/>
              <w:start w:w="120" w:type="dxa"/>
              <w:bottom w:w="80" w:type="dxa"/>
              <w:end w:w="120" w:type="dxa"/>
            </w:tcMar>
            <w:tcBorders>
              <w:top w:val="single" w:sz="4" w:space="0" w:color="D9E0E7"/>
              <w:left w:val="single" w:sz="4" w:space="0" w:color="D9E0E7"/>
              <w:bottom w:val="single" w:sz="4" w:space="0" w:color="D9E0E7"/>
              <w:right w:val="single" w:sz="4" w:space="0" w:color="D9E0E7"/>
              <w:insideH w:val="single" w:sz="4" w:space="0" w:color="D9E0E7"/>
              <w:insideV w:val="single" w:sz="4" w:space="0" w:color="D9E0E7"/>
            </w:tcBorders>
            <w:vAlign w:val="center"/>
          </w:tcPr>
          <w:p>
            <w:pPr>
              <w:spacing w:before="0" w:after="0" w:line="252" w:lineRule="auto"/>
            </w:pPr>
            <w:r>
              <w:rPr>
                <w:rFonts w:ascii="Calibri" w:hAnsi="Calibri" w:eastAsia="Calibri"/>
                <w:b/>
                <w:color w:val="1A1A1A"/>
                <w:sz w:val="17"/>
              </w:rPr>
              <w:t>Transform Each Day</w:t>
            </w:r>
          </w:p>
        </w:tc>
        <w:tc>
          <w:tcPr>
            <w:tcW w:type="dxa" w:w="2100"/>
            <w:shd w:fill="F7F9FB" w:val="clear"/>
            <w:tcMar>
              <w:top w:w="80" w:type="dxa"/>
              <w:start w:w="120" w:type="dxa"/>
              <w:bottom w:w="80" w:type="dxa"/>
              <w:end w:w="120" w:type="dxa"/>
            </w:tcMar>
            <w:tcBorders>
              <w:top w:val="single" w:sz="4" w:space="0" w:color="D9E0E7"/>
              <w:left w:val="single" w:sz="4" w:space="0" w:color="D9E0E7"/>
              <w:bottom w:val="single" w:sz="4" w:space="0" w:color="D9E0E7"/>
              <w:right w:val="single" w:sz="4" w:space="0" w:color="D9E0E7"/>
              <w:insideH w:val="single" w:sz="4" w:space="0" w:color="D9E0E7"/>
              <w:insideV w:val="single" w:sz="4" w:space="0" w:color="D9E0E7"/>
            </w:tcBorders>
            <w:vAlign w:val="center"/>
          </w:tcPr>
          <w:p>
            <w:pPr>
              <w:spacing w:before="0" w:after="0" w:line="252" w:lineRule="auto"/>
            </w:pPr>
            <w:r>
              <w:rPr>
                <w:rFonts w:ascii="Calibri" w:hAnsi="Calibri" w:eastAsia="Calibri"/>
                <w:b w:val="0"/>
                <w:color w:val="1A1A1A"/>
                <w:sz w:val="17"/>
              </w:rPr>
              <w:t>£129–£229/month</w:t>
            </w:r>
          </w:p>
        </w:tc>
        <w:tc>
          <w:tcPr>
            <w:tcW w:type="dxa" w:w="2630"/>
            <w:shd w:fill="F7F9FB" w:val="clear"/>
            <w:tcMar>
              <w:top w:w="80" w:type="dxa"/>
              <w:start w:w="120" w:type="dxa"/>
              <w:bottom w:w="80" w:type="dxa"/>
              <w:end w:w="120" w:type="dxa"/>
            </w:tcMar>
            <w:tcBorders>
              <w:top w:val="single" w:sz="4" w:space="0" w:color="D9E0E7"/>
              <w:left w:val="single" w:sz="4" w:space="0" w:color="D9E0E7"/>
              <w:bottom w:val="single" w:sz="4" w:space="0" w:color="D9E0E7"/>
              <w:right w:val="single" w:sz="4" w:space="0" w:color="D9E0E7"/>
              <w:insideH w:val="single" w:sz="4" w:space="0" w:color="D9E0E7"/>
              <w:insideV w:val="single" w:sz="4" w:space="0" w:color="D9E0E7"/>
            </w:tcBorders>
            <w:vAlign w:val="center"/>
          </w:tcPr>
          <w:p>
            <w:pPr>
              <w:spacing w:before="0" w:after="0" w:line="252" w:lineRule="auto"/>
            </w:pPr>
            <w:r>
              <w:rPr>
                <w:rFonts w:ascii="Calibri" w:hAnsi="Calibri" w:eastAsia="Calibri"/>
                <w:b w:val="0"/>
                <w:color w:val="1A1A1A"/>
                <w:sz w:val="17"/>
              </w:rPr>
              <w:t>Daily WhatsApp accountability</w:t>
            </w:r>
          </w:p>
        </w:tc>
        <w:tc>
          <w:tcPr>
            <w:tcW w:type="dxa" w:w="2580"/>
            <w:shd w:fill="F7F9FB" w:val="clear"/>
            <w:tcMar>
              <w:top w:w="80" w:type="dxa"/>
              <w:start w:w="120" w:type="dxa"/>
              <w:bottom w:w="80" w:type="dxa"/>
              <w:end w:w="120" w:type="dxa"/>
            </w:tcMar>
            <w:tcBorders>
              <w:top w:val="single" w:sz="4" w:space="0" w:color="D9E0E7"/>
              <w:left w:val="single" w:sz="4" w:space="0" w:color="D9E0E7"/>
              <w:bottom w:val="single" w:sz="4" w:space="0" w:color="D9E0E7"/>
              <w:right w:val="single" w:sz="4" w:space="0" w:color="D9E0E7"/>
              <w:insideH w:val="single" w:sz="4" w:space="0" w:color="D9E0E7"/>
              <w:insideV w:val="single" w:sz="4" w:space="0" w:color="D9E0E7"/>
            </w:tcBorders>
            <w:vAlign w:val="center"/>
          </w:tcPr>
          <w:p>
            <w:pPr>
              <w:spacing w:before="0" w:after="0" w:line="252" w:lineRule="auto"/>
            </w:pPr>
            <w:r>
              <w:rPr>
                <w:rFonts w:ascii="Calibri" w:hAnsi="Calibri" w:eastAsia="Calibri"/>
                <w:b w:val="0"/>
                <w:color w:val="1A1A1A"/>
                <w:sz w:val="17"/>
              </w:rPr>
              <w:t>No scheduled therapy or specialist advice</w:t>
            </w:r>
          </w:p>
        </w:tc>
      </w:tr>
      <w:tr>
        <w:trPr>
          <w:cantSplit/>
        </w:trPr>
        <w:tc>
          <w:tcPr>
            <w:tcW w:type="dxa" w:w="2050"/>
            <w:tcMar>
              <w:top w:w="80" w:type="dxa"/>
              <w:start w:w="120" w:type="dxa"/>
              <w:bottom w:w="80" w:type="dxa"/>
              <w:end w:w="120" w:type="dxa"/>
            </w:tcMar>
            <w:tcBorders>
              <w:top w:val="single" w:sz="4" w:space="0" w:color="D9E0E7"/>
              <w:left w:val="single" w:sz="4" w:space="0" w:color="D9E0E7"/>
              <w:bottom w:val="single" w:sz="4" w:space="0" w:color="D9E0E7"/>
              <w:right w:val="single" w:sz="4" w:space="0" w:color="D9E0E7"/>
              <w:insideH w:val="single" w:sz="4" w:space="0" w:color="D9E0E7"/>
              <w:insideV w:val="single" w:sz="4" w:space="0" w:color="D9E0E7"/>
            </w:tcBorders>
            <w:vAlign w:val="center"/>
          </w:tcPr>
          <w:p>
            <w:pPr>
              <w:spacing w:before="0" w:after="0" w:line="252" w:lineRule="auto"/>
            </w:pPr>
            <w:r>
              <w:rPr>
                <w:rFonts w:ascii="Calibri" w:hAnsi="Calibri" w:eastAsia="Calibri"/>
                <w:b/>
                <w:color w:val="1A1A1A"/>
                <w:sz w:val="17"/>
              </w:rPr>
              <w:t>Wysa</w:t>
            </w:r>
          </w:p>
        </w:tc>
        <w:tc>
          <w:tcPr>
            <w:tcW w:type="dxa" w:w="2100"/>
            <w:tcMar>
              <w:top w:w="80" w:type="dxa"/>
              <w:start w:w="120" w:type="dxa"/>
              <w:bottom w:w="80" w:type="dxa"/>
              <w:end w:w="120" w:type="dxa"/>
            </w:tcMar>
            <w:tcBorders>
              <w:top w:val="single" w:sz="4" w:space="0" w:color="D9E0E7"/>
              <w:left w:val="single" w:sz="4" w:space="0" w:color="D9E0E7"/>
              <w:bottom w:val="single" w:sz="4" w:space="0" w:color="D9E0E7"/>
              <w:right w:val="single" w:sz="4" w:space="0" w:color="D9E0E7"/>
              <w:insideH w:val="single" w:sz="4" w:space="0" w:color="D9E0E7"/>
              <w:insideV w:val="single" w:sz="4" w:space="0" w:color="D9E0E7"/>
            </w:tcBorders>
            <w:vAlign w:val="center"/>
          </w:tcPr>
          <w:p>
            <w:pPr>
              <w:spacing w:before="0" w:after="0" w:line="252" w:lineRule="auto"/>
            </w:pPr>
            <w:r>
              <w:rPr>
                <w:rFonts w:ascii="Calibri" w:hAnsi="Calibri" w:eastAsia="Calibri"/>
                <w:b w:val="0"/>
                <w:color w:val="1A1A1A"/>
                <w:sz w:val="17"/>
              </w:rPr>
              <w:t>Free; £11.99/month Premium shown</w:t>
            </w:r>
          </w:p>
        </w:tc>
        <w:tc>
          <w:tcPr>
            <w:tcW w:type="dxa" w:w="2630"/>
            <w:tcMar>
              <w:top w:w="80" w:type="dxa"/>
              <w:start w:w="120" w:type="dxa"/>
              <w:bottom w:w="80" w:type="dxa"/>
              <w:end w:w="120" w:type="dxa"/>
            </w:tcMar>
            <w:tcBorders>
              <w:top w:val="single" w:sz="4" w:space="0" w:color="D9E0E7"/>
              <w:left w:val="single" w:sz="4" w:space="0" w:color="D9E0E7"/>
              <w:bottom w:val="single" w:sz="4" w:space="0" w:color="D9E0E7"/>
              <w:right w:val="single" w:sz="4" w:space="0" w:color="D9E0E7"/>
              <w:insideH w:val="single" w:sz="4" w:space="0" w:color="D9E0E7"/>
              <w:insideV w:val="single" w:sz="4" w:space="0" w:color="D9E0E7"/>
            </w:tcBorders>
            <w:vAlign w:val="center"/>
          </w:tcPr>
          <w:p>
            <w:pPr>
              <w:spacing w:before="0" w:after="0" w:line="252" w:lineRule="auto"/>
            </w:pPr>
            <w:r>
              <w:rPr>
                <w:rFonts w:ascii="Calibri" w:hAnsi="Calibri" w:eastAsia="Calibri"/>
                <w:b w:val="0"/>
                <w:color w:val="1A1A1A"/>
                <w:sz w:val="17"/>
              </w:rPr>
              <w:t>AI reflection and wellbeing tools</w:t>
            </w:r>
          </w:p>
        </w:tc>
        <w:tc>
          <w:tcPr>
            <w:tcW w:type="dxa" w:w="2580"/>
            <w:tcMar>
              <w:top w:w="80" w:type="dxa"/>
              <w:start w:w="120" w:type="dxa"/>
              <w:bottom w:w="80" w:type="dxa"/>
              <w:end w:w="120" w:type="dxa"/>
            </w:tcMar>
            <w:tcBorders>
              <w:top w:val="single" w:sz="4" w:space="0" w:color="D9E0E7"/>
              <w:left w:val="single" w:sz="4" w:space="0" w:color="D9E0E7"/>
              <w:bottom w:val="single" w:sz="4" w:space="0" w:color="D9E0E7"/>
              <w:right w:val="single" w:sz="4" w:space="0" w:color="D9E0E7"/>
              <w:insideH w:val="single" w:sz="4" w:space="0" w:color="D9E0E7"/>
              <w:insideV w:val="single" w:sz="4" w:space="0" w:color="D9E0E7"/>
            </w:tcBorders>
            <w:vAlign w:val="center"/>
          </w:tcPr>
          <w:p>
            <w:pPr>
              <w:spacing w:before="0" w:after="0" w:line="252" w:lineRule="auto"/>
            </w:pPr>
            <w:r>
              <w:rPr>
                <w:rFonts w:ascii="Calibri" w:hAnsi="Calibri" w:eastAsia="Calibri"/>
                <w:b w:val="0"/>
                <w:color w:val="1A1A1A"/>
                <w:sz w:val="17"/>
              </w:rPr>
              <w:t>Not crisis care or replacement for a professional</w:t>
            </w:r>
          </w:p>
        </w:tc>
      </w:tr>
    </w:tbl>
    <w:p>
      <w:pPr>
        <w:spacing w:before="80" w:after="200"/>
        <w:keepLines/>
      </w:pPr>
      <w:r>
        <w:rPr>
          <w:rFonts w:ascii="Calibri" w:hAnsi="Calibri" w:eastAsia="Calibri"/>
          <w:i/>
          <w:color w:val="5F6B76"/>
        </w:rPr>
        <w:t>Sources: [3–4,19–23,25–26].</w:t>
      </w:r>
    </w:p>
    <w:p>
      <w:pPr>
        <w:pStyle w:val="Heading1"/>
        <w:keepNext/>
      </w:pPr>
      <w:r>
        <w:t>5. What £500–£1,000 currently buys</w:t>
      </w:r>
    </w:p>
    <w:p>
      <w:pPr>
        <w:pStyle w:val="Caption"/>
        <w:keepNext/>
      </w:pPr>
      <w:r>
        <w:t>Table 6. Like-for-like is impossible; this shows the customer’s visible trade-offs</w:t>
      </w:r>
    </w:p>
    <w:tbl>
      <w:tblPr>
        <w:tblW w:type="dxa" w:w="9360"/>
        <w:tblLayout w:type="fixed"/>
        <w:tblLook w:firstColumn="1" w:firstRow="1" w:lastColumn="0" w:lastRow="0" w:noHBand="0" w:noVBand="1" w:val="04A0"/>
        <w:jc w:val="left"/>
        <w:tblInd w:w="120" w:type="dxa"/>
      </w:tblPr>
      <w:tblGrid>
        <w:gridCol w:w="1100"/>
        <w:gridCol w:w="3220"/>
        <w:gridCol w:w="2510"/>
        <w:gridCol w:w="2530"/>
      </w:tblGrid>
      <w:tr>
        <w:trPr>
          <w:cantSplit/>
          <w:tblHeader w:val="true"/>
        </w:trPr>
        <w:tc>
          <w:tcPr>
            <w:tcW w:type="dxa" w:w="1100"/>
            <w:tcMar>
              <w:top w:w="80" w:type="dxa"/>
              <w:start w:w="120" w:type="dxa"/>
              <w:bottom w:w="80" w:type="dxa"/>
              <w:end w:w="120" w:type="dxa"/>
            </w:tcMar>
            <w:tcBorders>
              <w:top w:val="single" w:sz="4" w:space="0" w:color="D9E0E7"/>
              <w:left w:val="single" w:sz="4" w:space="0" w:color="D9E0E7"/>
              <w:bottom w:val="single" w:sz="4" w:space="0" w:color="D9E0E7"/>
              <w:right w:val="single" w:sz="4" w:space="0" w:color="D9E0E7"/>
              <w:insideH w:val="single" w:sz="4" w:space="0" w:color="D9E0E7"/>
              <w:insideV w:val="single" w:sz="4" w:space="0" w:color="D9E0E7"/>
            </w:tcBorders>
            <w:vAlign w:val="center"/>
            <w:shd w:fill="F2F4F7" w:val="clear"/>
          </w:tcPr>
          <w:p>
            <w:pPr>
              <w:spacing w:before="0" w:after="0" w:line="240" w:lineRule="auto"/>
              <w:jc w:val="left"/>
            </w:pPr>
            <w:r>
              <w:rPr>
                <w:rFonts w:ascii="Calibri" w:hAnsi="Calibri" w:eastAsia="Calibri"/>
                <w:b/>
                <w:color w:val="0B2545"/>
                <w:sz w:val="17"/>
              </w:rPr>
              <w:t>Budget</w:t>
            </w:r>
          </w:p>
        </w:tc>
        <w:tc>
          <w:tcPr>
            <w:tcW w:type="dxa" w:w="3220"/>
            <w:tcMar>
              <w:top w:w="80" w:type="dxa"/>
              <w:start w:w="120" w:type="dxa"/>
              <w:bottom w:w="80" w:type="dxa"/>
              <w:end w:w="120" w:type="dxa"/>
            </w:tcMar>
            <w:tcBorders>
              <w:top w:val="single" w:sz="4" w:space="0" w:color="D9E0E7"/>
              <w:left w:val="single" w:sz="4" w:space="0" w:color="D9E0E7"/>
              <w:bottom w:val="single" w:sz="4" w:space="0" w:color="D9E0E7"/>
              <w:right w:val="single" w:sz="4" w:space="0" w:color="D9E0E7"/>
              <w:insideH w:val="single" w:sz="4" w:space="0" w:color="D9E0E7"/>
              <w:insideV w:val="single" w:sz="4" w:space="0" w:color="D9E0E7"/>
            </w:tcBorders>
            <w:vAlign w:val="center"/>
            <w:shd w:fill="F2F4F7" w:val="clear"/>
          </w:tcPr>
          <w:p>
            <w:pPr>
              <w:spacing w:before="0" w:after="0" w:line="240" w:lineRule="auto"/>
              <w:jc w:val="left"/>
            </w:pPr>
            <w:r>
              <w:rPr>
                <w:rFonts w:ascii="Calibri" w:hAnsi="Calibri" w:eastAsia="Calibri"/>
                <w:b/>
                <w:color w:val="0B2545"/>
                <w:sz w:val="17"/>
              </w:rPr>
              <w:t>Observable alternatives</w:t>
            </w:r>
          </w:p>
        </w:tc>
        <w:tc>
          <w:tcPr>
            <w:tcW w:type="dxa" w:w="2510"/>
            <w:tcMar>
              <w:top w:w="80" w:type="dxa"/>
              <w:start w:w="120" w:type="dxa"/>
              <w:bottom w:w="80" w:type="dxa"/>
              <w:end w:w="120" w:type="dxa"/>
            </w:tcMar>
            <w:tcBorders>
              <w:top w:val="single" w:sz="4" w:space="0" w:color="D9E0E7"/>
              <w:left w:val="single" w:sz="4" w:space="0" w:color="D9E0E7"/>
              <w:bottom w:val="single" w:sz="4" w:space="0" w:color="D9E0E7"/>
              <w:right w:val="single" w:sz="4" w:space="0" w:color="D9E0E7"/>
              <w:insideH w:val="single" w:sz="4" w:space="0" w:color="D9E0E7"/>
              <w:insideV w:val="single" w:sz="4" w:space="0" w:color="D9E0E7"/>
            </w:tcBorders>
            <w:vAlign w:val="center"/>
            <w:shd w:fill="F2F4F7" w:val="clear"/>
          </w:tcPr>
          <w:p>
            <w:pPr>
              <w:spacing w:before="0" w:after="0" w:line="240" w:lineRule="auto"/>
              <w:jc w:val="left"/>
            </w:pPr>
            <w:r>
              <w:rPr>
                <w:rFonts w:ascii="Calibri" w:hAnsi="Calibri" w:eastAsia="Calibri"/>
                <w:b/>
                <w:color w:val="0B2545"/>
                <w:sz w:val="17"/>
              </w:rPr>
              <w:t>Likely customer conclusion</w:t>
            </w:r>
          </w:p>
        </w:tc>
        <w:tc>
          <w:tcPr>
            <w:tcW w:type="dxa" w:w="2530"/>
            <w:tcMar>
              <w:top w:w="80" w:type="dxa"/>
              <w:start w:w="120" w:type="dxa"/>
              <w:bottom w:w="80" w:type="dxa"/>
              <w:end w:w="120" w:type="dxa"/>
            </w:tcMar>
            <w:tcBorders>
              <w:top w:val="single" w:sz="4" w:space="0" w:color="D9E0E7"/>
              <w:left w:val="single" w:sz="4" w:space="0" w:color="D9E0E7"/>
              <w:bottom w:val="single" w:sz="4" w:space="0" w:color="D9E0E7"/>
              <w:right w:val="single" w:sz="4" w:space="0" w:color="D9E0E7"/>
              <w:insideH w:val="single" w:sz="4" w:space="0" w:color="D9E0E7"/>
              <w:insideV w:val="single" w:sz="4" w:space="0" w:color="D9E0E7"/>
            </w:tcBorders>
            <w:vAlign w:val="center"/>
            <w:shd w:fill="F2F4F7" w:val="clear"/>
          </w:tcPr>
          <w:p>
            <w:pPr>
              <w:spacing w:before="0" w:after="0" w:line="240" w:lineRule="auto"/>
              <w:jc w:val="left"/>
            </w:pPr>
            <w:r>
              <w:rPr>
                <w:rFonts w:ascii="Calibri" w:hAnsi="Calibri" w:eastAsia="Calibri"/>
                <w:b/>
                <w:color w:val="0B2545"/>
                <w:sz w:val="17"/>
              </w:rPr>
              <w:t>Implication for Emotional Life Support</w:t>
            </w:r>
          </w:p>
        </w:tc>
      </w:tr>
      <w:tr>
        <w:trPr>
          <w:cantSplit/>
        </w:trPr>
        <w:tc>
          <w:tcPr>
            <w:tcW w:type="dxa" w:w="1100"/>
            <w:tcMar>
              <w:top w:w="80" w:type="dxa"/>
              <w:start w:w="120" w:type="dxa"/>
              <w:bottom w:w="80" w:type="dxa"/>
              <w:end w:w="120" w:type="dxa"/>
            </w:tcMar>
            <w:tcBorders>
              <w:top w:val="single" w:sz="4" w:space="0" w:color="D9E0E7"/>
              <w:left w:val="single" w:sz="4" w:space="0" w:color="D9E0E7"/>
              <w:bottom w:val="single" w:sz="4" w:space="0" w:color="D9E0E7"/>
              <w:right w:val="single" w:sz="4" w:space="0" w:color="D9E0E7"/>
              <w:insideH w:val="single" w:sz="4" w:space="0" w:color="D9E0E7"/>
              <w:insideV w:val="single" w:sz="4" w:space="0" w:color="D9E0E7"/>
            </w:tcBorders>
            <w:vAlign w:val="center"/>
          </w:tcPr>
          <w:p>
            <w:pPr>
              <w:spacing w:before="0" w:after="0" w:line="252" w:lineRule="auto"/>
            </w:pPr>
            <w:r>
              <w:rPr>
                <w:rFonts w:ascii="Calibri" w:hAnsi="Calibri" w:eastAsia="Calibri"/>
                <w:b/>
                <w:color w:val="1A1A1A"/>
                <w:sz w:val="17"/>
              </w:rPr>
              <w:t>≈ £500</w:t>
            </w:r>
          </w:p>
        </w:tc>
        <w:tc>
          <w:tcPr>
            <w:tcW w:type="dxa" w:w="3220"/>
            <w:tcMar>
              <w:top w:w="80" w:type="dxa"/>
              <w:start w:w="120" w:type="dxa"/>
              <w:bottom w:w="80" w:type="dxa"/>
              <w:end w:w="120" w:type="dxa"/>
            </w:tcMar>
            <w:tcBorders>
              <w:top w:val="single" w:sz="4" w:space="0" w:color="D9E0E7"/>
              <w:left w:val="single" w:sz="4" w:space="0" w:color="D9E0E7"/>
              <w:bottom w:val="single" w:sz="4" w:space="0" w:color="D9E0E7"/>
              <w:right w:val="single" w:sz="4" w:space="0" w:color="D9E0E7"/>
              <w:insideH w:val="single" w:sz="4" w:space="0" w:color="D9E0E7"/>
              <w:insideV w:val="single" w:sz="4" w:space="0" w:color="D9E0E7"/>
            </w:tcBorders>
            <w:vAlign w:val="center"/>
          </w:tcPr>
          <w:p>
            <w:pPr>
              <w:spacing w:before="0" w:after="0" w:line="252" w:lineRule="auto"/>
            </w:pPr>
            <w:r>
              <w:rPr>
                <w:rFonts w:ascii="Calibri" w:hAnsi="Calibri" w:eastAsia="Calibri"/>
                <w:b w:val="0"/>
                <w:color w:val="1A1A1A"/>
                <w:sz w:val="17"/>
              </w:rPr>
              <w:t>Four weekly divorce-coaching sessions + messaging (£375–£520); or ≈8 weekly therapy sessions at £60.60; or 10 VA hours £370 + VAT</w:t>
            </w:r>
          </w:p>
        </w:tc>
        <w:tc>
          <w:tcPr>
            <w:tcW w:type="dxa" w:w="2510"/>
            <w:tcMar>
              <w:top w:w="80" w:type="dxa"/>
              <w:start w:w="120" w:type="dxa"/>
              <w:bottom w:w="80" w:type="dxa"/>
              <w:end w:w="120" w:type="dxa"/>
            </w:tcMar>
            <w:tcBorders>
              <w:top w:val="single" w:sz="4" w:space="0" w:color="D9E0E7"/>
              <w:left w:val="single" w:sz="4" w:space="0" w:color="D9E0E7"/>
              <w:bottom w:val="single" w:sz="4" w:space="0" w:color="D9E0E7"/>
              <w:right w:val="single" w:sz="4" w:space="0" w:color="D9E0E7"/>
              <w:insideH w:val="single" w:sz="4" w:space="0" w:color="D9E0E7"/>
              <w:insideV w:val="single" w:sz="4" w:space="0" w:color="D9E0E7"/>
            </w:tcBorders>
            <w:vAlign w:val="center"/>
          </w:tcPr>
          <w:p>
            <w:pPr>
              <w:spacing w:before="0" w:after="0" w:line="252" w:lineRule="auto"/>
            </w:pPr>
            <w:r>
              <w:rPr>
                <w:rFonts w:ascii="Calibri" w:hAnsi="Calibri" w:eastAsia="Calibri"/>
                <w:b w:val="0"/>
                <w:color w:val="1A1A1A"/>
                <w:sz w:val="17"/>
              </w:rPr>
              <w:t>A meaningful month of human support is available below £500</w:t>
            </w:r>
          </w:p>
        </w:tc>
        <w:tc>
          <w:tcPr>
            <w:tcW w:type="dxa" w:w="2530"/>
            <w:tcMar>
              <w:top w:w="80" w:type="dxa"/>
              <w:start w:w="120" w:type="dxa"/>
              <w:bottom w:w="80" w:type="dxa"/>
              <w:end w:w="120" w:type="dxa"/>
            </w:tcMar>
            <w:tcBorders>
              <w:top w:val="single" w:sz="4" w:space="0" w:color="D9E0E7"/>
              <w:left w:val="single" w:sz="4" w:space="0" w:color="D9E0E7"/>
              <w:bottom w:val="single" w:sz="4" w:space="0" w:color="D9E0E7"/>
              <w:right w:val="single" w:sz="4" w:space="0" w:color="D9E0E7"/>
              <w:insideH w:val="single" w:sz="4" w:space="0" w:color="D9E0E7"/>
              <w:insideV w:val="single" w:sz="4" w:space="0" w:color="D9E0E7"/>
            </w:tcBorders>
            <w:vAlign w:val="center"/>
          </w:tcPr>
          <w:p>
            <w:pPr>
              <w:spacing w:before="0" w:after="0" w:line="252" w:lineRule="auto"/>
            </w:pPr>
            <w:r>
              <w:rPr>
                <w:rFonts w:ascii="Calibri" w:hAnsi="Calibri" w:eastAsia="Calibri"/>
                <w:b w:val="0"/>
                <w:color w:val="1A1A1A"/>
                <w:sz w:val="17"/>
              </w:rPr>
              <w:t>A base offer at this level can be credible before strong proof exists</w:t>
            </w:r>
          </w:p>
        </w:tc>
      </w:tr>
      <w:tr>
        <w:trPr>
          <w:cantSplit/>
        </w:trPr>
        <w:tc>
          <w:tcPr>
            <w:tcW w:type="dxa" w:w="1100"/>
            <w:shd w:fill="F7F9FB" w:val="clear"/>
            <w:tcMar>
              <w:top w:w="80" w:type="dxa"/>
              <w:start w:w="120" w:type="dxa"/>
              <w:bottom w:w="80" w:type="dxa"/>
              <w:end w:w="120" w:type="dxa"/>
            </w:tcMar>
            <w:tcBorders>
              <w:top w:val="single" w:sz="4" w:space="0" w:color="D9E0E7"/>
              <w:left w:val="single" w:sz="4" w:space="0" w:color="D9E0E7"/>
              <w:bottom w:val="single" w:sz="4" w:space="0" w:color="D9E0E7"/>
              <w:right w:val="single" w:sz="4" w:space="0" w:color="D9E0E7"/>
              <w:insideH w:val="single" w:sz="4" w:space="0" w:color="D9E0E7"/>
              <w:insideV w:val="single" w:sz="4" w:space="0" w:color="D9E0E7"/>
            </w:tcBorders>
            <w:vAlign w:val="center"/>
          </w:tcPr>
          <w:p>
            <w:pPr>
              <w:spacing w:before="0" w:after="0" w:line="252" w:lineRule="auto"/>
            </w:pPr>
            <w:r>
              <w:rPr>
                <w:rFonts w:ascii="Calibri" w:hAnsi="Calibri" w:eastAsia="Calibri"/>
                <w:b/>
                <w:color w:val="1A1A1A"/>
                <w:sz w:val="17"/>
              </w:rPr>
              <w:t>≈ £750</w:t>
            </w:r>
          </w:p>
        </w:tc>
        <w:tc>
          <w:tcPr>
            <w:tcW w:type="dxa" w:w="3220"/>
            <w:shd w:fill="F7F9FB" w:val="clear"/>
            <w:tcMar>
              <w:top w:w="80" w:type="dxa"/>
              <w:start w:w="120" w:type="dxa"/>
              <w:bottom w:w="80" w:type="dxa"/>
              <w:end w:w="120" w:type="dxa"/>
            </w:tcMar>
            <w:tcBorders>
              <w:top w:val="single" w:sz="4" w:space="0" w:color="D9E0E7"/>
              <w:left w:val="single" w:sz="4" w:space="0" w:color="D9E0E7"/>
              <w:bottom w:val="single" w:sz="4" w:space="0" w:color="D9E0E7"/>
              <w:right w:val="single" w:sz="4" w:space="0" w:color="D9E0E7"/>
              <w:insideH w:val="single" w:sz="4" w:space="0" w:color="D9E0E7"/>
              <w:insideV w:val="single" w:sz="4" w:space="0" w:color="D9E0E7"/>
            </w:tcBorders>
            <w:vAlign w:val="center"/>
          </w:tcPr>
          <w:p>
            <w:pPr>
              <w:spacing w:before="0" w:after="0" w:line="252" w:lineRule="auto"/>
            </w:pPr>
            <w:r>
              <w:rPr>
                <w:rFonts w:ascii="Calibri" w:hAnsi="Calibri" w:eastAsia="Calibri"/>
                <w:b w:val="0"/>
                <w:color w:val="1A1A1A"/>
                <w:sz w:val="17"/>
              </w:rPr>
              <w:t>Six-session divorce package (£930, one-off); intensive six-week package £650; 20 VA hours £740 + VAT; group/hybrid programmes £699–£899</w:t>
            </w:r>
          </w:p>
        </w:tc>
        <w:tc>
          <w:tcPr>
            <w:tcW w:type="dxa" w:w="2510"/>
            <w:shd w:fill="F7F9FB" w:val="clear"/>
            <w:tcMar>
              <w:top w:w="80" w:type="dxa"/>
              <w:start w:w="120" w:type="dxa"/>
              <w:bottom w:w="80" w:type="dxa"/>
              <w:end w:w="120" w:type="dxa"/>
            </w:tcMar>
            <w:tcBorders>
              <w:top w:val="single" w:sz="4" w:space="0" w:color="D9E0E7"/>
              <w:left w:val="single" w:sz="4" w:space="0" w:color="D9E0E7"/>
              <w:bottom w:val="single" w:sz="4" w:space="0" w:color="D9E0E7"/>
              <w:right w:val="single" w:sz="4" w:space="0" w:color="D9E0E7"/>
              <w:insideH w:val="single" w:sz="4" w:space="0" w:color="D9E0E7"/>
              <w:insideV w:val="single" w:sz="4" w:space="0" w:color="D9E0E7"/>
            </w:tcBorders>
            <w:vAlign w:val="center"/>
          </w:tcPr>
          <w:p>
            <w:pPr>
              <w:spacing w:before="0" w:after="0" w:line="252" w:lineRule="auto"/>
            </w:pPr>
            <w:r>
              <w:rPr>
                <w:rFonts w:ascii="Calibri" w:hAnsi="Calibri" w:eastAsia="Calibri"/>
                <w:b w:val="0"/>
                <w:color w:val="1A1A1A"/>
                <w:sz w:val="17"/>
              </w:rPr>
              <w:t>Buyer expects either intensity, many hours or a structured programme</w:t>
            </w:r>
          </w:p>
        </w:tc>
        <w:tc>
          <w:tcPr>
            <w:tcW w:type="dxa" w:w="2530"/>
            <w:shd w:fill="F7F9FB" w:val="clear"/>
            <w:tcMar>
              <w:top w:w="80" w:type="dxa"/>
              <w:start w:w="120" w:type="dxa"/>
              <w:bottom w:w="80" w:type="dxa"/>
              <w:end w:w="120" w:type="dxa"/>
            </w:tcMar>
            <w:tcBorders>
              <w:top w:val="single" w:sz="4" w:space="0" w:color="D9E0E7"/>
              <w:left w:val="single" w:sz="4" w:space="0" w:color="D9E0E7"/>
              <w:bottom w:val="single" w:sz="4" w:space="0" w:color="D9E0E7"/>
              <w:right w:val="single" w:sz="4" w:space="0" w:color="D9E0E7"/>
              <w:insideH w:val="single" w:sz="4" w:space="0" w:color="D9E0E7"/>
              <w:insideV w:val="single" w:sz="4" w:space="0" w:color="D9E0E7"/>
            </w:tcBorders>
            <w:vAlign w:val="center"/>
          </w:tcPr>
          <w:p>
            <w:pPr>
              <w:spacing w:before="0" w:after="0" w:line="252" w:lineRule="auto"/>
            </w:pPr>
            <w:r>
              <w:rPr>
                <w:rFonts w:ascii="Calibri" w:hAnsi="Calibri" w:eastAsia="Calibri"/>
                <w:b w:val="0"/>
                <w:color w:val="1A1A1A"/>
                <w:sz w:val="17"/>
              </w:rPr>
              <w:t>Define access, response times, practical hours and duration precisely</w:t>
            </w:r>
          </w:p>
        </w:tc>
      </w:tr>
      <w:tr>
        <w:trPr>
          <w:cantSplit/>
        </w:trPr>
        <w:tc>
          <w:tcPr>
            <w:tcW w:type="dxa" w:w="1100"/>
            <w:tcMar>
              <w:top w:w="80" w:type="dxa"/>
              <w:start w:w="120" w:type="dxa"/>
              <w:bottom w:w="80" w:type="dxa"/>
              <w:end w:w="120" w:type="dxa"/>
            </w:tcMar>
            <w:tcBorders>
              <w:top w:val="single" w:sz="4" w:space="0" w:color="D9E0E7"/>
              <w:left w:val="single" w:sz="4" w:space="0" w:color="D9E0E7"/>
              <w:bottom w:val="single" w:sz="4" w:space="0" w:color="D9E0E7"/>
              <w:right w:val="single" w:sz="4" w:space="0" w:color="D9E0E7"/>
              <w:insideH w:val="single" w:sz="4" w:space="0" w:color="D9E0E7"/>
              <w:insideV w:val="single" w:sz="4" w:space="0" w:color="D9E0E7"/>
            </w:tcBorders>
            <w:vAlign w:val="center"/>
          </w:tcPr>
          <w:p>
            <w:pPr>
              <w:spacing w:before="0" w:after="0" w:line="252" w:lineRule="auto"/>
            </w:pPr>
            <w:r>
              <w:rPr>
                <w:rFonts w:ascii="Calibri" w:hAnsi="Calibri" w:eastAsia="Calibri"/>
                <w:b/>
                <w:color w:val="1A1A1A"/>
                <w:sz w:val="17"/>
              </w:rPr>
              <w:t>≈ £1,000</w:t>
            </w:r>
          </w:p>
        </w:tc>
        <w:tc>
          <w:tcPr>
            <w:tcW w:type="dxa" w:w="3220"/>
            <w:tcMar>
              <w:top w:w="80" w:type="dxa"/>
              <w:start w:w="120" w:type="dxa"/>
              <w:bottom w:w="80" w:type="dxa"/>
              <w:end w:w="120" w:type="dxa"/>
            </w:tcMar>
            <w:tcBorders>
              <w:top w:val="single" w:sz="4" w:space="0" w:color="D9E0E7"/>
              <w:left w:val="single" w:sz="4" w:space="0" w:color="D9E0E7"/>
              <w:bottom w:val="single" w:sz="4" w:space="0" w:color="D9E0E7"/>
              <w:right w:val="single" w:sz="4" w:space="0" w:color="D9E0E7"/>
              <w:insideH w:val="single" w:sz="4" w:space="0" w:color="D9E0E7"/>
              <w:insideV w:val="single" w:sz="4" w:space="0" w:color="D9E0E7"/>
            </w:tcBorders>
            <w:vAlign w:val="center"/>
          </w:tcPr>
          <w:p>
            <w:pPr>
              <w:spacing w:before="0" w:after="0" w:line="252" w:lineRule="auto"/>
            </w:pPr>
            <w:r>
              <w:rPr>
                <w:rFonts w:ascii="Calibri" w:hAnsi="Calibri" w:eastAsia="Calibri"/>
                <w:b w:val="0"/>
                <w:color w:val="1A1A1A"/>
                <w:sz w:val="17"/>
              </w:rPr>
              <w:t>Ten-session divorce programme over three months (£995); 16 weekly guided sessions (£960); 12-session + course VIP (£1,099)</w:t>
            </w:r>
          </w:p>
        </w:tc>
        <w:tc>
          <w:tcPr>
            <w:tcW w:type="dxa" w:w="2510"/>
            <w:tcMar>
              <w:top w:w="80" w:type="dxa"/>
              <w:start w:w="120" w:type="dxa"/>
              <w:bottom w:w="80" w:type="dxa"/>
              <w:end w:w="120" w:type="dxa"/>
            </w:tcMar>
            <w:tcBorders>
              <w:top w:val="single" w:sz="4" w:space="0" w:color="D9E0E7"/>
              <w:left w:val="single" w:sz="4" w:space="0" w:color="D9E0E7"/>
              <w:bottom w:val="single" w:sz="4" w:space="0" w:color="D9E0E7"/>
              <w:right w:val="single" w:sz="4" w:space="0" w:color="D9E0E7"/>
              <w:insideH w:val="single" w:sz="4" w:space="0" w:color="D9E0E7"/>
              <w:insideV w:val="single" w:sz="4" w:space="0" w:color="D9E0E7"/>
            </w:tcBorders>
            <w:vAlign w:val="center"/>
          </w:tcPr>
          <w:p>
            <w:pPr>
              <w:spacing w:before="0" w:after="0" w:line="252" w:lineRule="auto"/>
            </w:pPr>
            <w:r>
              <w:rPr>
                <w:rFonts w:ascii="Calibri" w:hAnsi="Calibri" w:eastAsia="Calibri"/>
                <w:b w:val="0"/>
                <w:color w:val="1A1A1A"/>
                <w:sz w:val="17"/>
              </w:rPr>
              <w:t>£1,000 can buy substantial contact time, although often spread over months</w:t>
            </w:r>
          </w:p>
        </w:tc>
        <w:tc>
          <w:tcPr>
            <w:tcW w:type="dxa" w:w="2530"/>
            <w:tcMar>
              <w:top w:w="80" w:type="dxa"/>
              <w:start w:w="120" w:type="dxa"/>
              <w:bottom w:w="80" w:type="dxa"/>
              <w:end w:w="120" w:type="dxa"/>
            </w:tcMar>
            <w:tcBorders>
              <w:top w:val="single" w:sz="4" w:space="0" w:color="D9E0E7"/>
              <w:left w:val="single" w:sz="4" w:space="0" w:color="D9E0E7"/>
              <w:bottom w:val="single" w:sz="4" w:space="0" w:color="D9E0E7"/>
              <w:right w:val="single" w:sz="4" w:space="0" w:color="D9E0E7"/>
              <w:insideH w:val="single" w:sz="4" w:space="0" w:color="D9E0E7"/>
              <w:insideV w:val="single" w:sz="4" w:space="0" w:color="D9E0E7"/>
            </w:tcBorders>
            <w:vAlign w:val="center"/>
          </w:tcPr>
          <w:p>
            <w:pPr>
              <w:spacing w:before="0" w:after="0" w:line="252" w:lineRule="auto"/>
            </w:pPr>
            <w:r>
              <w:rPr>
                <w:rFonts w:ascii="Calibri" w:hAnsi="Calibri" w:eastAsia="Calibri"/>
                <w:b w:val="0"/>
                <w:color w:val="1A1A1A"/>
                <w:sz w:val="17"/>
              </w:rPr>
              <w:t>Four standard sessions alone will look thin</w:t>
            </w:r>
          </w:p>
        </w:tc>
      </w:tr>
      <w:tr>
        <w:trPr>
          <w:cantSplit/>
        </w:trPr>
        <w:tc>
          <w:tcPr>
            <w:tcW w:type="dxa" w:w="1100"/>
            <w:shd w:fill="F7F9FB" w:val="clear"/>
            <w:tcMar>
              <w:top w:w="80" w:type="dxa"/>
              <w:start w:w="120" w:type="dxa"/>
              <w:bottom w:w="80" w:type="dxa"/>
              <w:end w:w="120" w:type="dxa"/>
            </w:tcMar>
            <w:tcBorders>
              <w:top w:val="single" w:sz="4" w:space="0" w:color="D9E0E7"/>
              <w:left w:val="single" w:sz="4" w:space="0" w:color="D9E0E7"/>
              <w:bottom w:val="single" w:sz="4" w:space="0" w:color="D9E0E7"/>
              <w:right w:val="single" w:sz="4" w:space="0" w:color="D9E0E7"/>
              <w:insideH w:val="single" w:sz="4" w:space="0" w:color="D9E0E7"/>
              <w:insideV w:val="single" w:sz="4" w:space="0" w:color="D9E0E7"/>
            </w:tcBorders>
            <w:vAlign w:val="center"/>
          </w:tcPr>
          <w:p>
            <w:pPr>
              <w:spacing w:before="0" w:after="0" w:line="252" w:lineRule="auto"/>
            </w:pPr>
            <w:r>
              <w:rPr>
                <w:rFonts w:ascii="Calibri" w:hAnsi="Calibri" w:eastAsia="Calibri"/>
                <w:b/>
                <w:color w:val="1A1A1A"/>
                <w:sz w:val="17"/>
              </w:rPr>
              <w:t>£1,500+ / month</w:t>
            </w:r>
          </w:p>
        </w:tc>
        <w:tc>
          <w:tcPr>
            <w:tcW w:type="dxa" w:w="3220"/>
            <w:shd w:fill="F7F9FB" w:val="clear"/>
            <w:tcMar>
              <w:top w:w="80" w:type="dxa"/>
              <w:start w:w="120" w:type="dxa"/>
              <w:bottom w:w="80" w:type="dxa"/>
              <w:end w:w="120" w:type="dxa"/>
            </w:tcMar>
            <w:tcBorders>
              <w:top w:val="single" w:sz="4" w:space="0" w:color="D9E0E7"/>
              <w:left w:val="single" w:sz="4" w:space="0" w:color="D9E0E7"/>
              <w:bottom w:val="single" w:sz="4" w:space="0" w:color="D9E0E7"/>
              <w:right w:val="single" w:sz="4" w:space="0" w:color="D9E0E7"/>
              <w:insideH w:val="single" w:sz="4" w:space="0" w:color="D9E0E7"/>
              <w:insideV w:val="single" w:sz="4" w:space="0" w:color="D9E0E7"/>
            </w:tcBorders>
            <w:vAlign w:val="center"/>
          </w:tcPr>
          <w:p>
            <w:pPr>
              <w:spacing w:before="0" w:after="0" w:line="252" w:lineRule="auto"/>
            </w:pPr>
            <w:r>
              <w:rPr>
                <w:rFonts w:ascii="Calibri" w:hAnsi="Calibri" w:eastAsia="Calibri"/>
                <w:b w:val="0"/>
                <w:color w:val="1A1A1A"/>
                <w:sz w:val="17"/>
              </w:rPr>
              <w:t>Ultra-premium life coaching equivalents; multi-provider stacks; complex legal work</w:t>
            </w:r>
          </w:p>
        </w:tc>
        <w:tc>
          <w:tcPr>
            <w:tcW w:type="dxa" w:w="2510"/>
            <w:shd w:fill="F7F9FB" w:val="clear"/>
            <w:tcMar>
              <w:top w:w="80" w:type="dxa"/>
              <w:start w:w="120" w:type="dxa"/>
              <w:bottom w:w="80" w:type="dxa"/>
              <w:end w:w="120" w:type="dxa"/>
            </w:tcMar>
            <w:tcBorders>
              <w:top w:val="single" w:sz="4" w:space="0" w:color="D9E0E7"/>
              <w:left w:val="single" w:sz="4" w:space="0" w:color="D9E0E7"/>
              <w:bottom w:val="single" w:sz="4" w:space="0" w:color="D9E0E7"/>
              <w:right w:val="single" w:sz="4" w:space="0" w:color="D9E0E7"/>
              <w:insideH w:val="single" w:sz="4" w:space="0" w:color="D9E0E7"/>
              <w:insideV w:val="single" w:sz="4" w:space="0" w:color="D9E0E7"/>
            </w:tcBorders>
            <w:vAlign w:val="center"/>
          </w:tcPr>
          <w:p>
            <w:pPr>
              <w:spacing w:before="0" w:after="0" w:line="252" w:lineRule="auto"/>
            </w:pPr>
            <w:r>
              <w:rPr>
                <w:rFonts w:ascii="Calibri" w:hAnsi="Calibri" w:eastAsia="Calibri"/>
                <w:b w:val="0"/>
                <w:color w:val="1A1A1A"/>
                <w:sz w:val="17"/>
              </w:rPr>
              <w:t>Reputation, urgency or specialist consequence drives spend</w:t>
            </w:r>
          </w:p>
        </w:tc>
        <w:tc>
          <w:tcPr>
            <w:tcW w:type="dxa" w:w="2530"/>
            <w:shd w:fill="F7F9FB" w:val="clear"/>
            <w:tcMar>
              <w:top w:w="80" w:type="dxa"/>
              <w:start w:w="120" w:type="dxa"/>
              <w:bottom w:w="80" w:type="dxa"/>
              <w:end w:w="120" w:type="dxa"/>
            </w:tcMar>
            <w:tcBorders>
              <w:top w:val="single" w:sz="4" w:space="0" w:color="D9E0E7"/>
              <w:left w:val="single" w:sz="4" w:space="0" w:color="D9E0E7"/>
              <w:bottom w:val="single" w:sz="4" w:space="0" w:color="D9E0E7"/>
              <w:right w:val="single" w:sz="4" w:space="0" w:color="D9E0E7"/>
              <w:insideH w:val="single" w:sz="4" w:space="0" w:color="D9E0E7"/>
              <w:insideV w:val="single" w:sz="4" w:space="0" w:color="D9E0E7"/>
            </w:tcBorders>
            <w:vAlign w:val="center"/>
          </w:tcPr>
          <w:p>
            <w:pPr>
              <w:spacing w:before="0" w:after="0" w:line="252" w:lineRule="auto"/>
            </w:pPr>
            <w:r>
              <w:rPr>
                <w:rFonts w:ascii="Calibri" w:hAnsi="Calibri" w:eastAsia="Calibri"/>
                <w:b w:val="0"/>
                <w:color w:val="1A1A1A"/>
                <w:sz w:val="17"/>
              </w:rPr>
              <w:t>Not an appropriate launch anchor without trust, evidence and affluent demand</w:t>
            </w:r>
          </w:p>
        </w:tc>
      </w:tr>
    </w:tbl>
    <w:p>
      <w:pPr>
        <w:pStyle w:val="Heading2"/>
        <w:keepNext/>
      </w:pPr>
      <w:r>
        <w:t>5.1 The £1,000 test</w:t>
      </w:r>
    </w:p>
    <w:p>
      <w:pPr>
        <w:keepLines/>
      </w:pPr>
      <w:r>
        <w:rPr>
          <w:rFonts w:ascii="Calibri" w:hAnsi="Calibri" w:eastAsia="Calibri"/>
          <w:i w:val="0"/>
        </w:rPr>
        <w:t>At £1,000 per month, four clients produce £4,000 monthly revenue and five produce £5,000 before insurance, supervision, software, taxes, marketing, non-billable administration, cancellations and leave. If the service consumes 10–14 founder hours per client each month, effective revenue is roughly £71–£100 per service hour before overhead. This is commercially plausible but not obviously generous for emotionally demanding, high-liability work.</w:t>
      </w:r>
    </w:p>
    <w:p>
      <w:pPr>
        <w:spacing w:before="160" w:after="200" w:line="264" w:lineRule="auto"/>
        <w:ind w:left="230" w:right="173"/>
        <w:shd w:fill="EAF2F8" w:val="clear"/>
        <w:pBdr>
          <w:left w:val="single" w:sz="18" w:space="8" w:color="2E74B5"/>
        </w:pBdr>
        <w:keepLines/>
      </w:pPr>
      <w:r>
        <w:rPr>
          <w:rFonts w:ascii="Calibri" w:hAnsi="Calibri" w:eastAsia="Calibri"/>
          <w:b/>
          <w:color w:val="2E74B5"/>
          <w:sz w:val="19"/>
        </w:rPr>
        <w:t xml:space="preserve">PRICING CONCLUSION  </w:t>
      </w:r>
      <w:r>
        <w:rPr>
          <w:rFonts w:ascii="Calibri" w:hAnsi="Calibri" w:eastAsia="Calibri"/>
          <w:color w:val="0B2545"/>
          <w:sz w:val="21"/>
        </w:rPr>
        <w:t>£1,000 should be tested as an intensive tier, not treated as the single default. The customer should be able to point to concrete capacity—longer sessions, bounded rapid contact, practical organisation and structured reviews—that cannot be obtained from a £375–£520 monthly coach.</w:t>
      </w:r>
    </w:p>
    <w:p>
      <w:pPr>
        <w:pStyle w:val="Heading2"/>
        <w:keepNext/>
      </w:pPr>
      <w:r>
        <w:t>5.2 Estimated offer ladder to test</w:t>
      </w:r>
    </w:p>
    <w:tbl>
      <w:tblPr>
        <w:tblW w:type="dxa" w:w="9360"/>
        <w:tblLayout w:type="fixed"/>
        <w:tblLook w:firstColumn="1" w:firstRow="1" w:lastColumn="0" w:lastRow="0" w:noHBand="0" w:noVBand="1" w:val="04A0"/>
        <w:jc w:val="left"/>
        <w:tblInd w:w="120" w:type="dxa"/>
      </w:tblPr>
      <w:tblGrid>
        <w:gridCol w:w="1800"/>
        <w:gridCol w:w="1550"/>
        <w:gridCol w:w="3670"/>
        <w:gridCol w:w="2340"/>
      </w:tblGrid>
      <w:tr>
        <w:trPr>
          <w:cantSplit/>
          <w:tblHeader w:val="true"/>
        </w:trPr>
        <w:tc>
          <w:tcPr>
            <w:tcW w:type="dxa" w:w="1800"/>
            <w:tcMar>
              <w:top w:w="80" w:type="dxa"/>
              <w:start w:w="120" w:type="dxa"/>
              <w:bottom w:w="80" w:type="dxa"/>
              <w:end w:w="120" w:type="dxa"/>
            </w:tcMar>
            <w:tcBorders>
              <w:top w:val="single" w:sz="4" w:space="0" w:color="D9E0E7"/>
              <w:left w:val="single" w:sz="4" w:space="0" w:color="D9E0E7"/>
              <w:bottom w:val="single" w:sz="4" w:space="0" w:color="D9E0E7"/>
              <w:right w:val="single" w:sz="4" w:space="0" w:color="D9E0E7"/>
              <w:insideH w:val="single" w:sz="4" w:space="0" w:color="D9E0E7"/>
              <w:insideV w:val="single" w:sz="4" w:space="0" w:color="D9E0E7"/>
            </w:tcBorders>
            <w:vAlign w:val="center"/>
            <w:shd w:fill="F2F4F7" w:val="clear"/>
          </w:tcPr>
          <w:p>
            <w:pPr>
              <w:spacing w:before="0" w:after="0" w:line="240" w:lineRule="auto"/>
              <w:jc w:val="left"/>
            </w:pPr>
            <w:r>
              <w:rPr>
                <w:rFonts w:ascii="Calibri" w:hAnsi="Calibri" w:eastAsia="Calibri"/>
                <w:b/>
                <w:color w:val="0B2545"/>
                <w:sz w:val="17"/>
              </w:rPr>
              <w:t>Hypothesis</w:t>
            </w:r>
          </w:p>
        </w:tc>
        <w:tc>
          <w:tcPr>
            <w:tcW w:type="dxa" w:w="1550"/>
            <w:tcMar>
              <w:top w:w="80" w:type="dxa"/>
              <w:start w:w="120" w:type="dxa"/>
              <w:bottom w:w="80" w:type="dxa"/>
              <w:end w:w="120" w:type="dxa"/>
            </w:tcMar>
            <w:tcBorders>
              <w:top w:val="single" w:sz="4" w:space="0" w:color="D9E0E7"/>
              <w:left w:val="single" w:sz="4" w:space="0" w:color="D9E0E7"/>
              <w:bottom w:val="single" w:sz="4" w:space="0" w:color="D9E0E7"/>
              <w:right w:val="single" w:sz="4" w:space="0" w:color="D9E0E7"/>
              <w:insideH w:val="single" w:sz="4" w:space="0" w:color="D9E0E7"/>
              <w:insideV w:val="single" w:sz="4" w:space="0" w:color="D9E0E7"/>
            </w:tcBorders>
            <w:vAlign w:val="center"/>
            <w:shd w:fill="F2F4F7" w:val="clear"/>
          </w:tcPr>
          <w:p>
            <w:pPr>
              <w:spacing w:before="0" w:after="0" w:line="240" w:lineRule="auto"/>
              <w:jc w:val="left"/>
            </w:pPr>
            <w:r>
              <w:rPr>
                <w:rFonts w:ascii="Calibri" w:hAnsi="Calibri" w:eastAsia="Calibri"/>
                <w:b/>
                <w:color w:val="0B2545"/>
                <w:sz w:val="17"/>
              </w:rPr>
              <w:t>Indicative price</w:t>
            </w:r>
          </w:p>
        </w:tc>
        <w:tc>
          <w:tcPr>
            <w:tcW w:type="dxa" w:w="3670"/>
            <w:tcMar>
              <w:top w:w="80" w:type="dxa"/>
              <w:start w:w="120" w:type="dxa"/>
              <w:bottom w:w="80" w:type="dxa"/>
              <w:end w:w="120" w:type="dxa"/>
            </w:tcMar>
            <w:tcBorders>
              <w:top w:val="single" w:sz="4" w:space="0" w:color="D9E0E7"/>
              <w:left w:val="single" w:sz="4" w:space="0" w:color="D9E0E7"/>
              <w:bottom w:val="single" w:sz="4" w:space="0" w:color="D9E0E7"/>
              <w:right w:val="single" w:sz="4" w:space="0" w:color="D9E0E7"/>
              <w:insideH w:val="single" w:sz="4" w:space="0" w:color="D9E0E7"/>
              <w:insideV w:val="single" w:sz="4" w:space="0" w:color="D9E0E7"/>
            </w:tcBorders>
            <w:vAlign w:val="center"/>
            <w:shd w:fill="F2F4F7" w:val="clear"/>
          </w:tcPr>
          <w:p>
            <w:pPr>
              <w:spacing w:before="0" w:after="0" w:line="240" w:lineRule="auto"/>
              <w:jc w:val="left"/>
            </w:pPr>
            <w:r>
              <w:rPr>
                <w:rFonts w:ascii="Calibri" w:hAnsi="Calibri" w:eastAsia="Calibri"/>
                <w:b/>
                <w:color w:val="0B2545"/>
                <w:sz w:val="17"/>
              </w:rPr>
              <w:t>Indicative capacity</w:t>
            </w:r>
          </w:p>
        </w:tc>
        <w:tc>
          <w:tcPr>
            <w:tcW w:type="dxa" w:w="2340"/>
            <w:tcMar>
              <w:top w:w="80" w:type="dxa"/>
              <w:start w:w="120" w:type="dxa"/>
              <w:bottom w:w="80" w:type="dxa"/>
              <w:end w:w="120" w:type="dxa"/>
            </w:tcMar>
            <w:tcBorders>
              <w:top w:val="single" w:sz="4" w:space="0" w:color="D9E0E7"/>
              <w:left w:val="single" w:sz="4" w:space="0" w:color="D9E0E7"/>
              <w:bottom w:val="single" w:sz="4" w:space="0" w:color="D9E0E7"/>
              <w:right w:val="single" w:sz="4" w:space="0" w:color="D9E0E7"/>
              <w:insideH w:val="single" w:sz="4" w:space="0" w:color="D9E0E7"/>
              <w:insideV w:val="single" w:sz="4" w:space="0" w:color="D9E0E7"/>
            </w:tcBorders>
            <w:vAlign w:val="center"/>
            <w:shd w:fill="F2F4F7" w:val="clear"/>
          </w:tcPr>
          <w:p>
            <w:pPr>
              <w:spacing w:before="0" w:after="0" w:line="240" w:lineRule="auto"/>
              <w:jc w:val="left"/>
            </w:pPr>
            <w:r>
              <w:rPr>
                <w:rFonts w:ascii="Calibri" w:hAnsi="Calibri" w:eastAsia="Calibri"/>
                <w:b/>
                <w:color w:val="0B2545"/>
                <w:sz w:val="17"/>
              </w:rPr>
              <w:t>Why test it</w:t>
            </w:r>
          </w:p>
        </w:tc>
      </w:tr>
      <w:tr>
        <w:trPr>
          <w:cantSplit/>
        </w:trPr>
        <w:tc>
          <w:tcPr>
            <w:tcW w:type="dxa" w:w="1800"/>
            <w:tcMar>
              <w:top w:w="80" w:type="dxa"/>
              <w:start w:w="120" w:type="dxa"/>
              <w:bottom w:w="80" w:type="dxa"/>
              <w:end w:w="120" w:type="dxa"/>
            </w:tcMar>
            <w:tcBorders>
              <w:top w:val="single" w:sz="4" w:space="0" w:color="D9E0E7"/>
              <w:left w:val="single" w:sz="4" w:space="0" w:color="D9E0E7"/>
              <w:bottom w:val="single" w:sz="4" w:space="0" w:color="D9E0E7"/>
              <w:right w:val="single" w:sz="4" w:space="0" w:color="D9E0E7"/>
              <w:insideH w:val="single" w:sz="4" w:space="0" w:color="D9E0E7"/>
              <w:insideV w:val="single" w:sz="4" w:space="0" w:color="D9E0E7"/>
            </w:tcBorders>
            <w:vAlign w:val="center"/>
          </w:tcPr>
          <w:p>
            <w:pPr>
              <w:spacing w:before="0" w:after="0" w:line="252" w:lineRule="auto"/>
            </w:pPr>
            <w:r>
              <w:rPr>
                <w:rFonts w:ascii="Calibri" w:hAnsi="Calibri" w:eastAsia="Calibri"/>
                <w:b/>
                <w:color w:val="1A1A1A"/>
                <w:sz w:val="17"/>
              </w:rPr>
              <w:t>Reset / diagnostic sprint</w:t>
            </w:r>
          </w:p>
        </w:tc>
        <w:tc>
          <w:tcPr>
            <w:tcW w:type="dxa" w:w="1550"/>
            <w:tcMar>
              <w:top w:w="80" w:type="dxa"/>
              <w:start w:w="120" w:type="dxa"/>
              <w:bottom w:w="80" w:type="dxa"/>
              <w:end w:w="120" w:type="dxa"/>
            </w:tcMar>
            <w:tcBorders>
              <w:top w:val="single" w:sz="4" w:space="0" w:color="D9E0E7"/>
              <w:left w:val="single" w:sz="4" w:space="0" w:color="D9E0E7"/>
              <w:bottom w:val="single" w:sz="4" w:space="0" w:color="D9E0E7"/>
              <w:right w:val="single" w:sz="4" w:space="0" w:color="D9E0E7"/>
              <w:insideH w:val="single" w:sz="4" w:space="0" w:color="D9E0E7"/>
              <w:insideV w:val="single" w:sz="4" w:space="0" w:color="D9E0E7"/>
            </w:tcBorders>
            <w:vAlign w:val="center"/>
          </w:tcPr>
          <w:p>
            <w:pPr>
              <w:spacing w:before="0" w:after="0" w:line="252" w:lineRule="auto"/>
            </w:pPr>
            <w:r>
              <w:rPr>
                <w:rFonts w:ascii="Calibri" w:hAnsi="Calibri" w:eastAsia="Calibri"/>
                <w:b w:val="0"/>
                <w:color w:val="1A1A1A"/>
                <w:sz w:val="17"/>
              </w:rPr>
              <w:t>£295–£450 once</w:t>
            </w:r>
          </w:p>
        </w:tc>
        <w:tc>
          <w:tcPr>
            <w:tcW w:type="dxa" w:w="3670"/>
            <w:tcMar>
              <w:top w:w="80" w:type="dxa"/>
              <w:start w:w="120" w:type="dxa"/>
              <w:bottom w:w="80" w:type="dxa"/>
              <w:end w:w="120" w:type="dxa"/>
            </w:tcMar>
            <w:tcBorders>
              <w:top w:val="single" w:sz="4" w:space="0" w:color="D9E0E7"/>
              <w:left w:val="single" w:sz="4" w:space="0" w:color="D9E0E7"/>
              <w:bottom w:val="single" w:sz="4" w:space="0" w:color="D9E0E7"/>
              <w:right w:val="single" w:sz="4" w:space="0" w:color="D9E0E7"/>
              <w:insideH w:val="single" w:sz="4" w:space="0" w:color="D9E0E7"/>
              <w:insideV w:val="single" w:sz="4" w:space="0" w:color="D9E0E7"/>
            </w:tcBorders>
            <w:vAlign w:val="center"/>
          </w:tcPr>
          <w:p>
            <w:pPr>
              <w:spacing w:before="0" w:after="0" w:line="252" w:lineRule="auto"/>
            </w:pPr>
            <w:r>
              <w:rPr>
                <w:rFonts w:ascii="Calibri" w:hAnsi="Calibri" w:eastAsia="Calibri"/>
                <w:b w:val="0"/>
                <w:color w:val="1A1A1A"/>
                <w:sz w:val="17"/>
              </w:rPr>
              <w:t>Two deep sessions, situation map, priorities and referrals over 2–3 weeks</w:t>
            </w:r>
          </w:p>
        </w:tc>
        <w:tc>
          <w:tcPr>
            <w:tcW w:type="dxa" w:w="2340"/>
            <w:tcMar>
              <w:top w:w="80" w:type="dxa"/>
              <w:start w:w="120" w:type="dxa"/>
              <w:bottom w:w="80" w:type="dxa"/>
              <w:end w:w="120" w:type="dxa"/>
            </w:tcMar>
            <w:tcBorders>
              <w:top w:val="single" w:sz="4" w:space="0" w:color="D9E0E7"/>
              <w:left w:val="single" w:sz="4" w:space="0" w:color="D9E0E7"/>
              <w:bottom w:val="single" w:sz="4" w:space="0" w:color="D9E0E7"/>
              <w:right w:val="single" w:sz="4" w:space="0" w:color="D9E0E7"/>
              <w:insideH w:val="single" w:sz="4" w:space="0" w:color="D9E0E7"/>
              <w:insideV w:val="single" w:sz="4" w:space="0" w:color="D9E0E7"/>
            </w:tcBorders>
            <w:vAlign w:val="center"/>
          </w:tcPr>
          <w:p>
            <w:pPr>
              <w:spacing w:before="0" w:after="0" w:line="252" w:lineRule="auto"/>
            </w:pPr>
            <w:r>
              <w:rPr>
                <w:rFonts w:ascii="Calibri" w:hAnsi="Calibri" w:eastAsia="Calibri"/>
                <w:b w:val="0"/>
                <w:color w:val="1A1A1A"/>
                <w:sz w:val="17"/>
              </w:rPr>
              <w:t>Lower-risk way to experience the method; reveals urgent jobs</w:t>
            </w:r>
          </w:p>
        </w:tc>
      </w:tr>
      <w:tr>
        <w:trPr>
          <w:cantSplit/>
        </w:trPr>
        <w:tc>
          <w:tcPr>
            <w:tcW w:type="dxa" w:w="1800"/>
            <w:shd w:fill="F7F9FB" w:val="clear"/>
            <w:tcMar>
              <w:top w:w="80" w:type="dxa"/>
              <w:start w:w="120" w:type="dxa"/>
              <w:bottom w:w="80" w:type="dxa"/>
              <w:end w:w="120" w:type="dxa"/>
            </w:tcMar>
            <w:tcBorders>
              <w:top w:val="single" w:sz="4" w:space="0" w:color="D9E0E7"/>
              <w:left w:val="single" w:sz="4" w:space="0" w:color="D9E0E7"/>
              <w:bottom w:val="single" w:sz="4" w:space="0" w:color="D9E0E7"/>
              <w:right w:val="single" w:sz="4" w:space="0" w:color="D9E0E7"/>
              <w:insideH w:val="single" w:sz="4" w:space="0" w:color="D9E0E7"/>
              <w:insideV w:val="single" w:sz="4" w:space="0" w:color="D9E0E7"/>
            </w:tcBorders>
            <w:vAlign w:val="center"/>
          </w:tcPr>
          <w:p>
            <w:pPr>
              <w:spacing w:before="0" w:after="0" w:line="252" w:lineRule="auto"/>
            </w:pPr>
            <w:r>
              <w:rPr>
                <w:rFonts w:ascii="Calibri" w:hAnsi="Calibri" w:eastAsia="Calibri"/>
                <w:b/>
                <w:color w:val="1A1A1A"/>
                <w:sz w:val="17"/>
              </w:rPr>
              <w:t>Rebuild</w:t>
            </w:r>
          </w:p>
        </w:tc>
        <w:tc>
          <w:tcPr>
            <w:tcW w:type="dxa" w:w="1550"/>
            <w:shd w:fill="F7F9FB" w:val="clear"/>
            <w:tcMar>
              <w:top w:w="80" w:type="dxa"/>
              <w:start w:w="120" w:type="dxa"/>
              <w:bottom w:w="80" w:type="dxa"/>
              <w:end w:w="120" w:type="dxa"/>
            </w:tcMar>
            <w:tcBorders>
              <w:top w:val="single" w:sz="4" w:space="0" w:color="D9E0E7"/>
              <w:left w:val="single" w:sz="4" w:space="0" w:color="D9E0E7"/>
              <w:bottom w:val="single" w:sz="4" w:space="0" w:color="D9E0E7"/>
              <w:right w:val="single" w:sz="4" w:space="0" w:color="D9E0E7"/>
              <w:insideH w:val="single" w:sz="4" w:space="0" w:color="D9E0E7"/>
              <w:insideV w:val="single" w:sz="4" w:space="0" w:color="D9E0E7"/>
            </w:tcBorders>
            <w:vAlign w:val="center"/>
          </w:tcPr>
          <w:p>
            <w:pPr>
              <w:spacing w:before="0" w:after="0" w:line="252" w:lineRule="auto"/>
            </w:pPr>
            <w:r>
              <w:rPr>
                <w:rFonts w:ascii="Calibri" w:hAnsi="Calibri" w:eastAsia="Calibri"/>
                <w:b w:val="0"/>
                <w:color w:val="1A1A1A"/>
                <w:sz w:val="17"/>
              </w:rPr>
              <w:t>£550–£700/month</w:t>
            </w:r>
          </w:p>
        </w:tc>
        <w:tc>
          <w:tcPr>
            <w:tcW w:type="dxa" w:w="3670"/>
            <w:shd w:fill="F7F9FB" w:val="clear"/>
            <w:tcMar>
              <w:top w:w="80" w:type="dxa"/>
              <w:start w:w="120" w:type="dxa"/>
              <w:bottom w:w="80" w:type="dxa"/>
              <w:end w:w="120" w:type="dxa"/>
            </w:tcMar>
            <w:tcBorders>
              <w:top w:val="single" w:sz="4" w:space="0" w:color="D9E0E7"/>
              <w:left w:val="single" w:sz="4" w:space="0" w:color="D9E0E7"/>
              <w:bottom w:val="single" w:sz="4" w:space="0" w:color="D9E0E7"/>
              <w:right w:val="single" w:sz="4" w:space="0" w:color="D9E0E7"/>
              <w:insideH w:val="single" w:sz="4" w:space="0" w:color="D9E0E7"/>
              <w:insideV w:val="single" w:sz="4" w:space="0" w:color="D9E0E7"/>
            </w:tcBorders>
            <w:vAlign w:val="center"/>
          </w:tcPr>
          <w:p>
            <w:pPr>
              <w:spacing w:before="0" w:after="0" w:line="252" w:lineRule="auto"/>
            </w:pPr>
            <w:r>
              <w:rPr>
                <w:rFonts w:ascii="Calibri" w:hAnsi="Calibri" w:eastAsia="Calibri"/>
                <w:b w:val="0"/>
                <w:color w:val="1A1A1A"/>
                <w:sz w:val="17"/>
              </w:rPr>
              <w:t>Four sessions, bounded weekday messaging, action plan and review</w:t>
            </w:r>
          </w:p>
        </w:tc>
        <w:tc>
          <w:tcPr>
            <w:tcW w:type="dxa" w:w="2340"/>
            <w:shd w:fill="F7F9FB" w:val="clear"/>
            <w:tcMar>
              <w:top w:w="80" w:type="dxa"/>
              <w:start w:w="120" w:type="dxa"/>
              <w:bottom w:w="80" w:type="dxa"/>
              <w:end w:w="120" w:type="dxa"/>
            </w:tcMar>
            <w:tcBorders>
              <w:top w:val="single" w:sz="4" w:space="0" w:color="D9E0E7"/>
              <w:left w:val="single" w:sz="4" w:space="0" w:color="D9E0E7"/>
              <w:bottom w:val="single" w:sz="4" w:space="0" w:color="D9E0E7"/>
              <w:right w:val="single" w:sz="4" w:space="0" w:color="D9E0E7"/>
              <w:insideH w:val="single" w:sz="4" w:space="0" w:color="D9E0E7"/>
              <w:insideV w:val="single" w:sz="4" w:space="0" w:color="D9E0E7"/>
            </w:tcBorders>
            <w:vAlign w:val="center"/>
          </w:tcPr>
          <w:p>
            <w:pPr>
              <w:spacing w:before="0" w:after="0" w:line="252" w:lineRule="auto"/>
            </w:pPr>
            <w:r>
              <w:rPr>
                <w:rFonts w:ascii="Calibri" w:hAnsi="Calibri" w:eastAsia="Calibri"/>
                <w:b w:val="0"/>
                <w:color w:val="1A1A1A"/>
                <w:sz w:val="17"/>
              </w:rPr>
              <w:t>Competitive with strong coaching while allowing broader integration</w:t>
            </w:r>
          </w:p>
        </w:tc>
      </w:tr>
      <w:tr>
        <w:trPr>
          <w:cantSplit/>
        </w:trPr>
        <w:tc>
          <w:tcPr>
            <w:tcW w:type="dxa" w:w="1800"/>
            <w:tcMar>
              <w:top w:w="80" w:type="dxa"/>
              <w:start w:w="120" w:type="dxa"/>
              <w:bottom w:w="80" w:type="dxa"/>
              <w:end w:w="120" w:type="dxa"/>
            </w:tcMar>
            <w:tcBorders>
              <w:top w:val="single" w:sz="4" w:space="0" w:color="D9E0E7"/>
              <w:left w:val="single" w:sz="4" w:space="0" w:color="D9E0E7"/>
              <w:bottom w:val="single" w:sz="4" w:space="0" w:color="D9E0E7"/>
              <w:right w:val="single" w:sz="4" w:space="0" w:color="D9E0E7"/>
              <w:insideH w:val="single" w:sz="4" w:space="0" w:color="D9E0E7"/>
              <w:insideV w:val="single" w:sz="4" w:space="0" w:color="D9E0E7"/>
            </w:tcBorders>
            <w:vAlign w:val="center"/>
          </w:tcPr>
          <w:p>
            <w:pPr>
              <w:spacing w:before="0" w:after="0" w:line="252" w:lineRule="auto"/>
            </w:pPr>
            <w:r>
              <w:rPr>
                <w:rFonts w:ascii="Calibri" w:hAnsi="Calibri" w:eastAsia="Calibri"/>
                <w:b/>
                <w:color w:val="1A1A1A"/>
                <w:sz w:val="17"/>
              </w:rPr>
              <w:t>Intensive navigation</w:t>
            </w:r>
          </w:p>
        </w:tc>
        <w:tc>
          <w:tcPr>
            <w:tcW w:type="dxa" w:w="1550"/>
            <w:tcMar>
              <w:top w:w="80" w:type="dxa"/>
              <w:start w:w="120" w:type="dxa"/>
              <w:bottom w:w="80" w:type="dxa"/>
              <w:end w:w="120" w:type="dxa"/>
            </w:tcMar>
            <w:tcBorders>
              <w:top w:val="single" w:sz="4" w:space="0" w:color="D9E0E7"/>
              <w:left w:val="single" w:sz="4" w:space="0" w:color="D9E0E7"/>
              <w:bottom w:val="single" w:sz="4" w:space="0" w:color="D9E0E7"/>
              <w:right w:val="single" w:sz="4" w:space="0" w:color="D9E0E7"/>
              <w:insideH w:val="single" w:sz="4" w:space="0" w:color="D9E0E7"/>
              <w:insideV w:val="single" w:sz="4" w:space="0" w:color="D9E0E7"/>
            </w:tcBorders>
            <w:vAlign w:val="center"/>
          </w:tcPr>
          <w:p>
            <w:pPr>
              <w:spacing w:before="0" w:after="0" w:line="252" w:lineRule="auto"/>
            </w:pPr>
            <w:r>
              <w:rPr>
                <w:rFonts w:ascii="Calibri" w:hAnsi="Calibri" w:eastAsia="Calibri"/>
                <w:b w:val="0"/>
                <w:color w:val="1A1A1A"/>
                <w:sz w:val="17"/>
              </w:rPr>
              <w:t>£850–£1,100/month</w:t>
            </w:r>
          </w:p>
        </w:tc>
        <w:tc>
          <w:tcPr>
            <w:tcW w:type="dxa" w:w="3670"/>
            <w:tcMar>
              <w:top w:w="80" w:type="dxa"/>
              <w:start w:w="120" w:type="dxa"/>
              <w:bottom w:w="80" w:type="dxa"/>
              <w:end w:w="120" w:type="dxa"/>
            </w:tcMar>
            <w:tcBorders>
              <w:top w:val="single" w:sz="4" w:space="0" w:color="D9E0E7"/>
              <w:left w:val="single" w:sz="4" w:space="0" w:color="D9E0E7"/>
              <w:bottom w:val="single" w:sz="4" w:space="0" w:color="D9E0E7"/>
              <w:right w:val="single" w:sz="4" w:space="0" w:color="D9E0E7"/>
              <w:insideH w:val="single" w:sz="4" w:space="0" w:color="D9E0E7"/>
              <w:insideV w:val="single" w:sz="4" w:space="0" w:color="D9E0E7"/>
            </w:tcBorders>
            <w:vAlign w:val="center"/>
          </w:tcPr>
          <w:p>
            <w:pPr>
              <w:spacing w:before="0" w:after="0" w:line="252" w:lineRule="auto"/>
            </w:pPr>
            <w:r>
              <w:rPr>
                <w:rFonts w:ascii="Calibri" w:hAnsi="Calibri" w:eastAsia="Calibri"/>
                <w:b w:val="0"/>
                <w:color w:val="1A1A1A"/>
                <w:sz w:val="17"/>
              </w:rPr>
              <w:t>Four longer sessions, short reset calls, bounded messaging, 3–4 hours practical work, specialist coordination</w:t>
            </w:r>
          </w:p>
        </w:tc>
        <w:tc>
          <w:tcPr>
            <w:tcW w:type="dxa" w:w="2340"/>
            <w:tcMar>
              <w:top w:w="80" w:type="dxa"/>
              <w:start w:w="120" w:type="dxa"/>
              <w:bottom w:w="80" w:type="dxa"/>
              <w:end w:w="120" w:type="dxa"/>
            </w:tcMar>
            <w:tcBorders>
              <w:top w:val="single" w:sz="4" w:space="0" w:color="D9E0E7"/>
              <w:left w:val="single" w:sz="4" w:space="0" w:color="D9E0E7"/>
              <w:bottom w:val="single" w:sz="4" w:space="0" w:color="D9E0E7"/>
              <w:right w:val="single" w:sz="4" w:space="0" w:color="D9E0E7"/>
              <w:insideH w:val="single" w:sz="4" w:space="0" w:color="D9E0E7"/>
              <w:insideV w:val="single" w:sz="4" w:space="0" w:color="D9E0E7"/>
            </w:tcBorders>
            <w:vAlign w:val="center"/>
          </w:tcPr>
          <w:p>
            <w:pPr>
              <w:spacing w:before="0" w:after="0" w:line="252" w:lineRule="auto"/>
            </w:pPr>
            <w:r>
              <w:rPr>
                <w:rFonts w:ascii="Calibri" w:hAnsi="Calibri" w:eastAsia="Calibri"/>
                <w:b w:val="0"/>
                <w:color w:val="1A1A1A"/>
                <w:sz w:val="17"/>
              </w:rPr>
              <w:t>Tests the original premium hypothesis with visible substance</w:t>
            </w:r>
          </w:p>
        </w:tc>
      </w:tr>
      <w:tr>
        <w:trPr>
          <w:cantSplit/>
        </w:trPr>
        <w:tc>
          <w:tcPr>
            <w:tcW w:type="dxa" w:w="1800"/>
            <w:shd w:fill="F7F9FB" w:val="clear"/>
            <w:tcMar>
              <w:top w:w="80" w:type="dxa"/>
              <w:start w:w="120" w:type="dxa"/>
              <w:bottom w:w="80" w:type="dxa"/>
              <w:end w:w="120" w:type="dxa"/>
            </w:tcMar>
            <w:tcBorders>
              <w:top w:val="single" w:sz="4" w:space="0" w:color="D9E0E7"/>
              <w:left w:val="single" w:sz="4" w:space="0" w:color="D9E0E7"/>
              <w:bottom w:val="single" w:sz="4" w:space="0" w:color="D9E0E7"/>
              <w:right w:val="single" w:sz="4" w:space="0" w:color="D9E0E7"/>
              <w:insideH w:val="single" w:sz="4" w:space="0" w:color="D9E0E7"/>
              <w:insideV w:val="single" w:sz="4" w:space="0" w:color="D9E0E7"/>
            </w:tcBorders>
            <w:vAlign w:val="center"/>
          </w:tcPr>
          <w:p>
            <w:pPr>
              <w:spacing w:before="0" w:after="0" w:line="252" w:lineRule="auto"/>
            </w:pPr>
            <w:r>
              <w:rPr>
                <w:rFonts w:ascii="Calibri" w:hAnsi="Calibri" w:eastAsia="Calibri"/>
                <w:b/>
                <w:color w:val="1A1A1A"/>
                <w:sz w:val="17"/>
              </w:rPr>
              <w:t>Maintenance</w:t>
            </w:r>
          </w:p>
        </w:tc>
        <w:tc>
          <w:tcPr>
            <w:tcW w:type="dxa" w:w="1550"/>
            <w:shd w:fill="F7F9FB" w:val="clear"/>
            <w:tcMar>
              <w:top w:w="80" w:type="dxa"/>
              <w:start w:w="120" w:type="dxa"/>
              <w:bottom w:w="80" w:type="dxa"/>
              <w:end w:w="120" w:type="dxa"/>
            </w:tcMar>
            <w:tcBorders>
              <w:top w:val="single" w:sz="4" w:space="0" w:color="D9E0E7"/>
              <w:left w:val="single" w:sz="4" w:space="0" w:color="D9E0E7"/>
              <w:bottom w:val="single" w:sz="4" w:space="0" w:color="D9E0E7"/>
              <w:right w:val="single" w:sz="4" w:space="0" w:color="D9E0E7"/>
              <w:insideH w:val="single" w:sz="4" w:space="0" w:color="D9E0E7"/>
              <w:insideV w:val="single" w:sz="4" w:space="0" w:color="D9E0E7"/>
            </w:tcBorders>
            <w:vAlign w:val="center"/>
          </w:tcPr>
          <w:p>
            <w:pPr>
              <w:spacing w:before="0" w:after="0" w:line="252" w:lineRule="auto"/>
            </w:pPr>
            <w:r>
              <w:rPr>
                <w:rFonts w:ascii="Calibri" w:hAnsi="Calibri" w:eastAsia="Calibri"/>
                <w:b w:val="0"/>
                <w:color w:val="1A1A1A"/>
                <w:sz w:val="17"/>
              </w:rPr>
              <w:t>£175–£300/month</w:t>
            </w:r>
          </w:p>
        </w:tc>
        <w:tc>
          <w:tcPr>
            <w:tcW w:type="dxa" w:w="3670"/>
            <w:shd w:fill="F7F9FB" w:val="clear"/>
            <w:tcMar>
              <w:top w:w="80" w:type="dxa"/>
              <w:start w:w="120" w:type="dxa"/>
              <w:bottom w:w="80" w:type="dxa"/>
              <w:end w:w="120" w:type="dxa"/>
            </w:tcMar>
            <w:tcBorders>
              <w:top w:val="single" w:sz="4" w:space="0" w:color="D9E0E7"/>
              <w:left w:val="single" w:sz="4" w:space="0" w:color="D9E0E7"/>
              <w:bottom w:val="single" w:sz="4" w:space="0" w:color="D9E0E7"/>
              <w:right w:val="single" w:sz="4" w:space="0" w:color="D9E0E7"/>
              <w:insideH w:val="single" w:sz="4" w:space="0" w:color="D9E0E7"/>
              <w:insideV w:val="single" w:sz="4" w:space="0" w:color="D9E0E7"/>
            </w:tcBorders>
            <w:vAlign w:val="center"/>
          </w:tcPr>
          <w:p>
            <w:pPr>
              <w:spacing w:before="0" w:after="0" w:line="252" w:lineRule="auto"/>
            </w:pPr>
            <w:r>
              <w:rPr>
                <w:rFonts w:ascii="Calibri" w:hAnsi="Calibri" w:eastAsia="Calibri"/>
                <w:b w:val="0"/>
                <w:color w:val="1A1A1A"/>
                <w:sz w:val="17"/>
              </w:rPr>
              <w:t>One session, light check-ins and quarterly review</w:t>
            </w:r>
          </w:p>
        </w:tc>
        <w:tc>
          <w:tcPr>
            <w:tcW w:type="dxa" w:w="2340"/>
            <w:shd w:fill="F7F9FB" w:val="clear"/>
            <w:tcMar>
              <w:top w:w="80" w:type="dxa"/>
              <w:start w:w="120" w:type="dxa"/>
              <w:bottom w:w="80" w:type="dxa"/>
              <w:end w:w="120" w:type="dxa"/>
            </w:tcMar>
            <w:tcBorders>
              <w:top w:val="single" w:sz="4" w:space="0" w:color="D9E0E7"/>
              <w:left w:val="single" w:sz="4" w:space="0" w:color="D9E0E7"/>
              <w:bottom w:val="single" w:sz="4" w:space="0" w:color="D9E0E7"/>
              <w:right w:val="single" w:sz="4" w:space="0" w:color="D9E0E7"/>
              <w:insideH w:val="single" w:sz="4" w:space="0" w:color="D9E0E7"/>
              <w:insideV w:val="single" w:sz="4" w:space="0" w:color="D9E0E7"/>
            </w:tcBorders>
            <w:vAlign w:val="center"/>
          </w:tcPr>
          <w:p>
            <w:pPr>
              <w:spacing w:before="0" w:after="0" w:line="252" w:lineRule="auto"/>
            </w:pPr>
            <w:r>
              <w:rPr>
                <w:rFonts w:ascii="Calibri" w:hAnsi="Calibri" w:eastAsia="Calibri"/>
                <w:b w:val="0"/>
                <w:color w:val="1A1A1A"/>
                <w:sz w:val="17"/>
              </w:rPr>
              <w:t>Supports step-down and reduces dependency incentives</w:t>
            </w:r>
          </w:p>
        </w:tc>
      </w:tr>
    </w:tbl>
    <w:p>
      <w:pPr>
        <w:spacing w:before="80" w:after="200"/>
        <w:keepLines/>
      </w:pPr>
      <w:r>
        <w:rPr>
          <w:rFonts w:ascii="Calibri" w:hAnsi="Calibri" w:eastAsia="Calibri"/>
          <w:i/>
          <w:color w:val="5F6B76"/>
        </w:rPr>
        <w:t>These are research hypotheses, not recommended published prices. They should be tested through paid behaviour with clear eligibility and scope.</w:t>
      </w:r>
    </w:p>
    <w:p>
      <w:pPr>
        <w:pStyle w:val="Heading1"/>
        <w:keepNext/>
      </w:pPr>
      <w:r>
        <w:t>6. Where Emotional Life Support can credibly differentiate</w:t>
      </w:r>
    </w:p>
    <w:p>
      <w:pPr>
        <w:pStyle w:val="Heading2"/>
        <w:keepNext/>
      </w:pPr>
      <w:r>
        <w:t>6.1 Defensible gaps</w:t>
      </w:r>
    </w:p>
    <w:p>
      <w:pPr>
        <w:numPr>
          <w:ilvl w:val="0"/>
          <w:numId w:val="10"/>
        </w:numPr>
        <w:spacing w:after="80" w:line="280" w:lineRule="auto"/>
        <w:keepLines/>
      </w:pPr>
      <w:r>
        <w:rPr>
          <w:rFonts w:ascii="Calibri" w:hAnsi="Calibri" w:eastAsia="Calibri"/>
          <w:b/>
        </w:rPr>
        <w:t>One relationship across the messy middle.</w:t>
      </w:r>
      <w:r>
        <w:rPr>
          <w:rFonts w:ascii="Calibri" w:hAnsi="Calibri" w:eastAsia="Calibri"/>
        </w:rPr>
        <w:t xml:space="preserve"> A consistent person can connect emotion, meaning, decisions, appointments and action while specialists remain in their lanes.</w:t>
      </w:r>
    </w:p>
    <w:p>
      <w:pPr>
        <w:numPr>
          <w:ilvl w:val="0"/>
          <w:numId w:val="10"/>
        </w:numPr>
        <w:spacing w:after="80" w:line="280" w:lineRule="auto"/>
        <w:keepLines/>
      </w:pPr>
      <w:r>
        <w:rPr>
          <w:rFonts w:ascii="Calibri" w:hAnsi="Calibri" w:eastAsia="Calibri"/>
          <w:b/>
        </w:rPr>
        <w:t>Emotional safety plus visible movement.</w:t>
      </w:r>
      <w:r>
        <w:rPr>
          <w:rFonts w:ascii="Calibri" w:hAnsi="Calibri" w:eastAsia="Calibri"/>
        </w:rPr>
        <w:t xml:space="preserve"> The service can make being heard the condition for action, then track whether decisions and practical steps actually happen.</w:t>
      </w:r>
    </w:p>
    <w:p>
      <w:pPr>
        <w:numPr>
          <w:ilvl w:val="0"/>
          <w:numId w:val="10"/>
        </w:numPr>
        <w:spacing w:after="80" w:line="280" w:lineRule="auto"/>
        <w:keepLines/>
      </w:pPr>
      <w:r>
        <w:rPr>
          <w:rFonts w:ascii="Calibri" w:hAnsi="Calibri" w:eastAsia="Calibri"/>
          <w:b/>
        </w:rPr>
        <w:t>Variable intensity with deliberate step-down.</w:t>
      </w:r>
      <w:r>
        <w:rPr>
          <w:rFonts w:ascii="Calibri" w:hAnsi="Calibri" w:eastAsia="Calibri"/>
        </w:rPr>
        <w:t xml:space="preserve"> Support can rise around shocks and milestones, then reduce as capacity returns. This turns agency into an operating rule.</w:t>
      </w:r>
    </w:p>
    <w:p>
      <w:pPr>
        <w:numPr>
          <w:ilvl w:val="0"/>
          <w:numId w:val="10"/>
        </w:numPr>
        <w:spacing w:after="80" w:line="280" w:lineRule="auto"/>
        <w:keepLines/>
      </w:pPr>
      <w:r>
        <w:rPr>
          <w:rFonts w:ascii="Calibri" w:hAnsi="Calibri" w:eastAsia="Calibri"/>
          <w:b/>
        </w:rPr>
        <w:t>Specialist navigation.</w:t>
      </w:r>
      <w:r>
        <w:rPr>
          <w:rFonts w:ascii="Calibri" w:hAnsi="Calibri" w:eastAsia="Calibri"/>
        </w:rPr>
        <w:t xml:space="preserve"> Preparing questions, organising documents and closing the loop after appointments is valuable without pretending to offer legal, financial, medical or clinical advice.</w:t>
      </w:r>
    </w:p>
    <w:p>
      <w:pPr>
        <w:numPr>
          <w:ilvl w:val="0"/>
          <w:numId w:val="10"/>
        </w:numPr>
        <w:spacing w:after="80" w:line="280" w:lineRule="auto"/>
        <w:keepLines/>
      </w:pPr>
      <w:r>
        <w:rPr>
          <w:rFonts w:ascii="Calibri" w:hAnsi="Calibri" w:eastAsia="Calibri"/>
          <w:b/>
        </w:rPr>
        <w:t>Practical organisation as a real deliverable.</w:t>
      </w:r>
      <w:r>
        <w:rPr>
          <w:rFonts w:ascii="Calibri" w:hAnsi="Calibri" w:eastAsia="Calibri"/>
        </w:rPr>
        <w:t xml:space="preserve"> Situation maps, decision logs, next-action plans and bounded research distinguish the service from conversation-only coaching.</w:t>
      </w:r>
    </w:p>
    <w:p>
      <w:pPr>
        <w:pStyle w:val="Heading2"/>
        <w:keepNext/>
      </w:pPr>
      <w:r>
        <w:t>6.2 Weak or dangerous differentiation claims</w:t>
      </w:r>
    </w:p>
    <w:p>
      <w:pPr>
        <w:numPr>
          <w:ilvl w:val="0"/>
          <w:numId w:val="10"/>
        </w:numPr>
        <w:spacing w:after="80" w:line="280" w:lineRule="auto"/>
        <w:keepLines/>
      </w:pPr>
      <w:r>
        <w:rPr>
          <w:rFonts w:ascii="Calibri" w:hAnsi="Calibri" w:eastAsia="Calibri"/>
        </w:rPr>
        <w:t>‘Therapy plus action’—this invites clinical comparison and may imply unqualified treatment.</w:t>
      </w:r>
    </w:p>
    <w:p>
      <w:pPr>
        <w:numPr>
          <w:ilvl w:val="0"/>
          <w:numId w:val="10"/>
        </w:numPr>
        <w:spacing w:after="80" w:line="280" w:lineRule="auto"/>
        <w:keepLines/>
      </w:pPr>
      <w:r>
        <w:rPr>
          <w:rFonts w:ascii="Calibri" w:hAnsi="Calibri" w:eastAsia="Calibri"/>
        </w:rPr>
        <w:t>‘Available whenever you need me’—this creates crisis expectations, dependency and unbounded founder capacity.</w:t>
      </w:r>
    </w:p>
    <w:p>
      <w:pPr>
        <w:numPr>
          <w:ilvl w:val="0"/>
          <w:numId w:val="10"/>
        </w:numPr>
        <w:spacing w:after="80" w:line="280" w:lineRule="auto"/>
        <w:keepLines/>
      </w:pPr>
      <w:r>
        <w:rPr>
          <w:rFonts w:ascii="Calibri" w:hAnsi="Calibri" w:eastAsia="Calibri"/>
        </w:rPr>
        <w:t>‘One person for everything’—no individual should be positioned as the source of legal, financial, medical and mental-health authority.</w:t>
      </w:r>
    </w:p>
    <w:p>
      <w:pPr>
        <w:numPr>
          <w:ilvl w:val="0"/>
          <w:numId w:val="10"/>
        </w:numPr>
        <w:spacing w:after="80" w:line="280" w:lineRule="auto"/>
        <w:keepLines/>
      </w:pPr>
      <w:r>
        <w:rPr>
          <w:rFonts w:ascii="Calibri" w:hAnsi="Calibri" w:eastAsia="Calibri"/>
        </w:rPr>
        <w:t>‘Transform your life’—generic, unprovable and mismatched with the buyer’s recognised immediate problem.</w:t>
      </w:r>
    </w:p>
    <w:p>
      <w:pPr>
        <w:numPr>
          <w:ilvl w:val="0"/>
          <w:numId w:val="10"/>
        </w:numPr>
        <w:spacing w:after="80" w:line="280" w:lineRule="auto"/>
        <w:keepLines/>
      </w:pPr>
      <w:r>
        <w:rPr>
          <w:rFonts w:ascii="Calibri" w:hAnsi="Calibri" w:eastAsia="Calibri"/>
        </w:rPr>
        <w:t>A proprietary method before evidence—early structure should be described as a working process, not proven intellectual property.</w:t>
      </w:r>
    </w:p>
    <w:p>
      <w:pPr>
        <w:pStyle w:val="Heading2"/>
        <w:keepNext/>
      </w:pPr>
      <w:r>
        <w:t>6.3 Provisional positioning</w:t>
      </w:r>
    </w:p>
    <w:p>
      <w:pPr>
        <w:spacing w:before="160" w:after="200" w:line="264" w:lineRule="auto"/>
        <w:ind w:left="230" w:right="173"/>
        <w:shd w:fill="EDF6F1" w:val="clear"/>
        <w:pBdr>
          <w:left w:val="single" w:sz="18" w:space="8" w:color="2F6B4F"/>
        </w:pBdr>
        <w:keepLines/>
      </w:pPr>
      <w:r>
        <w:rPr>
          <w:rFonts w:ascii="Calibri" w:hAnsi="Calibri" w:eastAsia="Calibri"/>
          <w:b/>
          <w:color w:val="2F6B4F"/>
          <w:sz w:val="19"/>
        </w:rPr>
        <w:t xml:space="preserve">POSITIONING STATEMENT  </w:t>
      </w:r>
      <w:r>
        <w:rPr>
          <w:rFonts w:ascii="Calibri" w:hAnsi="Calibri" w:eastAsia="Calibri"/>
          <w:color w:val="0B2545"/>
          <w:sz w:val="21"/>
        </w:rPr>
        <w:t>For people who feel lost and overwhelmed after a separation, Emotional Life Support is a non-clinical life-rebuild service that helps them make sense of what is happening, decide what matters next and turn an unmanageable situation into supported, practical steps—while connecting them with qualified specialists where needed.</w:t>
      </w:r>
    </w:p>
    <w:p>
      <w:pPr>
        <w:keepLines/>
      </w:pPr>
      <w:r>
        <w:rPr>
          <w:rFonts w:ascii="Calibri" w:hAnsi="Calibri" w:eastAsia="Calibri"/>
          <w:i w:val="0"/>
        </w:rPr>
        <w:t>Category label to test: ‘life rebuild support’ or ‘separation transition support’. ‘Life coach’ undersells the hands-on integration; ‘emotional support’ alone undersells action; ‘life support’ may imply emergency or clinical care and therefore requires testing.</w:t>
      </w:r>
    </w:p>
    <w:p>
      <w:pPr>
        <w:pStyle w:val="Heading2"/>
        <w:keepNext/>
      </w:pPr>
      <w:r>
        <w:t>6.4 Trust architecture required before a pilot</w:t>
      </w:r>
    </w:p>
    <w:p>
      <w:pPr>
        <w:numPr>
          <w:ilvl w:val="0"/>
          <w:numId w:val="10"/>
        </w:numPr>
        <w:spacing w:after="80" w:line="280" w:lineRule="auto"/>
        <w:keepLines/>
      </w:pPr>
      <w:r>
        <w:rPr>
          <w:rFonts w:ascii="Calibri" w:hAnsi="Calibri" w:eastAsia="Calibri"/>
        </w:rPr>
        <w:t>Published non-clinical scope, exclusion criteria and a plain-language client agreement.</w:t>
      </w:r>
    </w:p>
    <w:p>
      <w:pPr>
        <w:numPr>
          <w:ilvl w:val="0"/>
          <w:numId w:val="10"/>
        </w:numPr>
        <w:spacing w:after="80" w:line="280" w:lineRule="auto"/>
        <w:keepLines/>
      </w:pPr>
      <w:r>
        <w:rPr>
          <w:rFonts w:ascii="Calibri" w:hAnsi="Calibri" w:eastAsia="Calibri"/>
        </w:rPr>
        <w:t>Safeguarding and crisis procedures, domestic-abuse awareness and vetted referral routes.</w:t>
      </w:r>
    </w:p>
    <w:p>
      <w:pPr>
        <w:numPr>
          <w:ilvl w:val="0"/>
          <w:numId w:val="10"/>
        </w:numPr>
        <w:spacing w:after="80" w:line="280" w:lineRule="auto"/>
        <w:keepLines/>
      </w:pPr>
      <w:r>
        <w:rPr>
          <w:rFonts w:ascii="Calibri" w:hAnsi="Calibri" w:eastAsia="Calibri"/>
        </w:rPr>
        <w:t>Appropriate coach training, supervision/consultation, insurance and a visible code of ethics.</w:t>
      </w:r>
    </w:p>
    <w:p>
      <w:pPr>
        <w:numPr>
          <w:ilvl w:val="0"/>
          <w:numId w:val="10"/>
        </w:numPr>
        <w:spacing w:after="80" w:line="280" w:lineRule="auto"/>
        <w:keepLines/>
      </w:pPr>
      <w:r>
        <w:rPr>
          <w:rFonts w:ascii="Calibri" w:hAnsi="Calibri" w:eastAsia="Calibri"/>
        </w:rPr>
        <w:t>Bounded between-session access: channel, hours, response target and what counts as urgent.</w:t>
      </w:r>
    </w:p>
    <w:p>
      <w:pPr>
        <w:numPr>
          <w:ilvl w:val="0"/>
          <w:numId w:val="10"/>
        </w:numPr>
        <w:spacing w:after="80" w:line="280" w:lineRule="auto"/>
        <w:keepLines/>
      </w:pPr>
      <w:r>
        <w:rPr>
          <w:rFonts w:ascii="Calibri" w:hAnsi="Calibri" w:eastAsia="Calibri"/>
        </w:rPr>
        <w:t>Data-minimised records, explicit consent, retention/deletion rules and separate controls for any AI use.</w:t>
      </w:r>
    </w:p>
    <w:p>
      <w:pPr>
        <w:numPr>
          <w:ilvl w:val="0"/>
          <w:numId w:val="10"/>
        </w:numPr>
        <w:spacing w:after="80" w:line="280" w:lineRule="auto"/>
        <w:keepLines/>
      </w:pPr>
      <w:r>
        <w:rPr>
          <w:rFonts w:ascii="Calibri" w:hAnsi="Calibri" w:eastAsia="Calibri"/>
        </w:rPr>
        <w:t>A scheduled review asking whether the least intensive effective level of support is now appropriate.</w:t>
      </w:r>
    </w:p>
    <w:p>
      <w:pPr>
        <w:pStyle w:val="Heading1"/>
        <w:keepNext/>
      </w:pPr>
      <w:r>
        <w:t>7. Recommended validation plan</w:t>
      </w:r>
    </w:p>
    <w:p>
      <w:pPr>
        <w:keepLines/>
      </w:pPr>
      <w:r>
        <w:rPr>
          <w:rFonts w:ascii="Calibri" w:hAnsi="Calibri" w:eastAsia="Calibri"/>
          <w:i w:val="0"/>
        </w:rPr>
        <w:t>The research supports a focused next experiment, not a final market verdict.</w:t>
      </w:r>
    </w:p>
    <w:p>
      <w:pPr>
        <w:numPr>
          <w:ilvl w:val="0"/>
          <w:numId w:val="11"/>
        </w:numPr>
        <w:spacing w:after="120" w:line="280" w:lineRule="auto"/>
        <w:keepLines/>
      </w:pPr>
      <w:r>
        <w:rPr>
          <w:rFonts w:ascii="Calibri" w:hAnsi="Calibri" w:eastAsia="Calibri"/>
          <w:b/>
        </w:rPr>
        <w:t>Interview 12–15 recently separated people.</w:t>
      </w:r>
      <w:r>
        <w:rPr>
          <w:rFonts w:ascii="Calibri" w:hAnsi="Calibri" w:eastAsia="Calibri"/>
        </w:rPr>
        <w:t xml:space="preserve"> Recruit across amicable, high-conflict, child-related and financially complex situations. Ask what they used, spent, trusted, rejected and still had to coordinate.</w:t>
      </w:r>
    </w:p>
    <w:p>
      <w:pPr>
        <w:numPr>
          <w:ilvl w:val="0"/>
          <w:numId w:val="11"/>
        </w:numPr>
        <w:spacing w:after="120" w:line="280" w:lineRule="auto"/>
        <w:keepLines/>
      </w:pPr>
      <w:r>
        <w:rPr>
          <w:rFonts w:ascii="Calibri" w:hAnsi="Calibri" w:eastAsia="Calibri"/>
          <w:b/>
        </w:rPr>
        <w:t>Interview 6–8 referrers.</w:t>
      </w:r>
      <w:r>
        <w:rPr>
          <w:rFonts w:ascii="Calibri" w:hAnsi="Calibri" w:eastAsia="Calibri"/>
        </w:rPr>
        <w:t xml:space="preserve"> Include therapists, family solicitors, mediators, domestic-abuse specialists and divorce coaches. Test complementarity, safety and referral criteria.</w:t>
      </w:r>
    </w:p>
    <w:p>
      <w:pPr>
        <w:numPr>
          <w:ilvl w:val="0"/>
          <w:numId w:val="11"/>
        </w:numPr>
        <w:spacing w:after="120" w:line="280" w:lineRule="auto"/>
        <w:keepLines/>
      </w:pPr>
      <w:r>
        <w:rPr>
          <w:rFonts w:ascii="Calibri" w:hAnsi="Calibri" w:eastAsia="Calibri"/>
          <w:b/>
        </w:rPr>
        <w:t>Test three concept cards.</w:t>
      </w:r>
      <w:r>
        <w:rPr>
          <w:rFonts w:ascii="Calibri" w:hAnsi="Calibri" w:eastAsia="Calibri"/>
        </w:rPr>
        <w:t xml:space="preserve"> Compare a £350 reset sprint, a £600 monthly rebuild service and a £950 intensive tier. Show exact capacity and boundaries; do not ask only ‘would you pay?’</w:t>
      </w:r>
    </w:p>
    <w:p>
      <w:pPr>
        <w:numPr>
          <w:ilvl w:val="0"/>
          <w:numId w:val="11"/>
        </w:numPr>
        <w:spacing w:after="120" w:line="280" w:lineRule="auto"/>
        <w:keepLines/>
      </w:pPr>
      <w:r>
        <w:rPr>
          <w:rFonts w:ascii="Calibri" w:hAnsi="Calibri" w:eastAsia="Calibri"/>
          <w:b/>
        </w:rPr>
        <w:t>Run 3–5 bounded paid pilots.</w:t>
      </w:r>
      <w:r>
        <w:rPr>
          <w:rFonts w:ascii="Calibri" w:hAnsi="Calibri" w:eastAsia="Calibri"/>
        </w:rPr>
        <w:t xml:space="preserve"> Use explicit eligibility, a four- to six-week review point, outcome measures, adverse-effect/dependency checks and a step-down decision.</w:t>
      </w:r>
    </w:p>
    <w:p>
      <w:pPr>
        <w:numPr>
          <w:ilvl w:val="0"/>
          <w:numId w:val="11"/>
        </w:numPr>
        <w:spacing w:after="120" w:line="280" w:lineRule="auto"/>
        <w:keepLines/>
      </w:pPr>
      <w:r>
        <w:rPr>
          <w:rFonts w:ascii="Calibri" w:hAnsi="Calibri" w:eastAsia="Calibri"/>
          <w:b/>
        </w:rPr>
        <w:t>Track the displaced alternative.</w:t>
      </w:r>
      <w:r>
        <w:rPr>
          <w:rFonts w:ascii="Calibri" w:hAnsi="Calibri" w:eastAsia="Calibri"/>
        </w:rPr>
        <w:t xml:space="preserve"> At purchase, ask: ‘What would you have done instead?’ The answer reveals the real competitor and the correct price anchor.</w:t>
      </w:r>
    </w:p>
    <w:p>
      <w:pPr>
        <w:pStyle w:val="Heading2"/>
        <w:keepNext/>
      </w:pPr>
      <w:r>
        <w:t>7.1 Continue, change or stop criteria</w:t>
      </w:r>
    </w:p>
    <w:tbl>
      <w:tblPr>
        <w:tblW w:type="dxa" w:w="9360"/>
        <w:tblLayout w:type="fixed"/>
        <w:tblLook w:firstColumn="1" w:firstRow="1" w:lastColumn="0" w:lastRow="0" w:noHBand="0" w:noVBand="1" w:val="04A0"/>
        <w:jc w:val="left"/>
        <w:tblInd w:w="120" w:type="dxa"/>
      </w:tblPr>
      <w:tblGrid>
        <w:gridCol w:w="1800"/>
        <w:gridCol w:w="7560"/>
      </w:tblGrid>
      <w:tr>
        <w:trPr>
          <w:cantSplit/>
          <w:tblHeader w:val="true"/>
        </w:trPr>
        <w:tc>
          <w:tcPr>
            <w:tcW w:type="dxa" w:w="1800"/>
            <w:tcMar>
              <w:top w:w="80" w:type="dxa"/>
              <w:start w:w="120" w:type="dxa"/>
              <w:bottom w:w="80" w:type="dxa"/>
              <w:end w:w="120" w:type="dxa"/>
            </w:tcMar>
            <w:tcBorders>
              <w:top w:val="single" w:sz="4" w:space="0" w:color="D9E0E7"/>
              <w:left w:val="single" w:sz="4" w:space="0" w:color="D9E0E7"/>
              <w:bottom w:val="single" w:sz="4" w:space="0" w:color="D9E0E7"/>
              <w:right w:val="single" w:sz="4" w:space="0" w:color="D9E0E7"/>
              <w:insideH w:val="single" w:sz="4" w:space="0" w:color="D9E0E7"/>
              <w:insideV w:val="single" w:sz="4" w:space="0" w:color="D9E0E7"/>
            </w:tcBorders>
            <w:vAlign w:val="center"/>
            <w:shd w:fill="F2F4F7" w:val="clear"/>
          </w:tcPr>
          <w:p>
            <w:pPr>
              <w:spacing w:before="0" w:after="0" w:line="240" w:lineRule="auto"/>
              <w:jc w:val="left"/>
            </w:pPr>
            <w:r>
              <w:rPr>
                <w:rFonts w:ascii="Calibri" w:hAnsi="Calibri" w:eastAsia="Calibri"/>
                <w:b/>
                <w:color w:val="0B2545"/>
                <w:sz w:val="18"/>
              </w:rPr>
              <w:t>Decision</w:t>
            </w:r>
          </w:p>
        </w:tc>
        <w:tc>
          <w:tcPr>
            <w:tcW w:type="dxa" w:w="7560"/>
            <w:tcMar>
              <w:top w:w="80" w:type="dxa"/>
              <w:start w:w="120" w:type="dxa"/>
              <w:bottom w:w="80" w:type="dxa"/>
              <w:end w:w="120" w:type="dxa"/>
            </w:tcMar>
            <w:tcBorders>
              <w:top w:val="single" w:sz="4" w:space="0" w:color="D9E0E7"/>
              <w:left w:val="single" w:sz="4" w:space="0" w:color="D9E0E7"/>
              <w:bottom w:val="single" w:sz="4" w:space="0" w:color="D9E0E7"/>
              <w:right w:val="single" w:sz="4" w:space="0" w:color="D9E0E7"/>
              <w:insideH w:val="single" w:sz="4" w:space="0" w:color="D9E0E7"/>
              <w:insideV w:val="single" w:sz="4" w:space="0" w:color="D9E0E7"/>
            </w:tcBorders>
            <w:vAlign w:val="center"/>
            <w:shd w:fill="F2F4F7" w:val="clear"/>
          </w:tcPr>
          <w:p>
            <w:pPr>
              <w:spacing w:before="0" w:after="0" w:line="240" w:lineRule="auto"/>
              <w:jc w:val="left"/>
            </w:pPr>
            <w:r>
              <w:rPr>
                <w:rFonts w:ascii="Calibri" w:hAnsi="Calibri" w:eastAsia="Calibri"/>
                <w:b/>
                <w:color w:val="0B2545"/>
                <w:sz w:val="18"/>
              </w:rPr>
              <w:t>Evidence threshold</w:t>
            </w:r>
          </w:p>
        </w:tc>
      </w:tr>
      <w:tr>
        <w:trPr>
          <w:cantSplit/>
        </w:trPr>
        <w:tc>
          <w:tcPr>
            <w:tcW w:type="dxa" w:w="1800"/>
            <w:tcMar>
              <w:top w:w="80" w:type="dxa"/>
              <w:start w:w="120" w:type="dxa"/>
              <w:bottom w:w="80" w:type="dxa"/>
              <w:end w:w="120" w:type="dxa"/>
            </w:tcMar>
            <w:tcBorders>
              <w:top w:val="single" w:sz="4" w:space="0" w:color="D9E0E7"/>
              <w:left w:val="single" w:sz="4" w:space="0" w:color="D9E0E7"/>
              <w:bottom w:val="single" w:sz="4" w:space="0" w:color="D9E0E7"/>
              <w:right w:val="single" w:sz="4" w:space="0" w:color="D9E0E7"/>
              <w:insideH w:val="single" w:sz="4" w:space="0" w:color="D9E0E7"/>
              <w:insideV w:val="single" w:sz="4" w:space="0" w:color="D9E0E7"/>
            </w:tcBorders>
            <w:vAlign w:val="center"/>
          </w:tcPr>
          <w:p>
            <w:pPr>
              <w:spacing w:before="0" w:after="0" w:line="252" w:lineRule="auto"/>
            </w:pPr>
            <w:r>
              <w:rPr>
                <w:rFonts w:ascii="Calibri" w:hAnsi="Calibri" w:eastAsia="Calibri"/>
                <w:b/>
                <w:color w:val="1A1A1A"/>
                <w:sz w:val="18"/>
              </w:rPr>
              <w:t>Continue</w:t>
            </w:r>
          </w:p>
        </w:tc>
        <w:tc>
          <w:tcPr>
            <w:tcW w:type="dxa" w:w="7560"/>
            <w:tcMar>
              <w:top w:w="80" w:type="dxa"/>
              <w:start w:w="120" w:type="dxa"/>
              <w:bottom w:w="80" w:type="dxa"/>
              <w:end w:w="120" w:type="dxa"/>
            </w:tcMar>
            <w:tcBorders>
              <w:top w:val="single" w:sz="4" w:space="0" w:color="D9E0E7"/>
              <w:left w:val="single" w:sz="4" w:space="0" w:color="D9E0E7"/>
              <w:bottom w:val="single" w:sz="4" w:space="0" w:color="D9E0E7"/>
              <w:right w:val="single" w:sz="4" w:space="0" w:color="D9E0E7"/>
              <w:insideH w:val="single" w:sz="4" w:space="0" w:color="D9E0E7"/>
              <w:insideV w:val="single" w:sz="4" w:space="0" w:color="D9E0E7"/>
            </w:tcBorders>
            <w:vAlign w:val="center"/>
          </w:tcPr>
          <w:p>
            <w:pPr>
              <w:spacing w:before="0" w:after="0" w:line="252" w:lineRule="auto"/>
            </w:pPr>
            <w:r>
              <w:rPr>
                <w:rFonts w:ascii="Calibri" w:hAnsi="Calibri" w:eastAsia="Calibri"/>
                <w:b w:val="0"/>
                <w:color w:val="1A1A1A"/>
                <w:sz w:val="18"/>
              </w:rPr>
              <w:t>At least three eligible users pay; most complete agreed actions; clients can name value beyond ‘being listened to’; referrals and boundaries work; founder load is sustainable.</w:t>
            </w:r>
          </w:p>
        </w:tc>
      </w:tr>
      <w:tr>
        <w:trPr>
          <w:cantSplit/>
        </w:trPr>
        <w:tc>
          <w:tcPr>
            <w:tcW w:type="dxa" w:w="1800"/>
            <w:shd w:fill="F7F9FB" w:val="clear"/>
            <w:tcMar>
              <w:top w:w="80" w:type="dxa"/>
              <w:start w:w="120" w:type="dxa"/>
              <w:bottom w:w="80" w:type="dxa"/>
              <w:end w:w="120" w:type="dxa"/>
            </w:tcMar>
            <w:tcBorders>
              <w:top w:val="single" w:sz="4" w:space="0" w:color="D9E0E7"/>
              <w:left w:val="single" w:sz="4" w:space="0" w:color="D9E0E7"/>
              <w:bottom w:val="single" w:sz="4" w:space="0" w:color="D9E0E7"/>
              <w:right w:val="single" w:sz="4" w:space="0" w:color="D9E0E7"/>
              <w:insideH w:val="single" w:sz="4" w:space="0" w:color="D9E0E7"/>
              <w:insideV w:val="single" w:sz="4" w:space="0" w:color="D9E0E7"/>
            </w:tcBorders>
            <w:vAlign w:val="center"/>
          </w:tcPr>
          <w:p>
            <w:pPr>
              <w:spacing w:before="0" w:after="0" w:line="252" w:lineRule="auto"/>
            </w:pPr>
            <w:r>
              <w:rPr>
                <w:rFonts w:ascii="Calibri" w:hAnsi="Calibri" w:eastAsia="Calibri"/>
                <w:b/>
                <w:color w:val="1A1A1A"/>
                <w:sz w:val="18"/>
              </w:rPr>
              <w:t>Change</w:t>
            </w:r>
          </w:p>
        </w:tc>
        <w:tc>
          <w:tcPr>
            <w:tcW w:type="dxa" w:w="7560"/>
            <w:shd w:fill="F7F9FB" w:val="clear"/>
            <w:tcMar>
              <w:top w:w="80" w:type="dxa"/>
              <w:start w:w="120" w:type="dxa"/>
              <w:bottom w:w="80" w:type="dxa"/>
              <w:end w:w="120" w:type="dxa"/>
            </w:tcMar>
            <w:tcBorders>
              <w:top w:val="single" w:sz="4" w:space="0" w:color="D9E0E7"/>
              <w:left w:val="single" w:sz="4" w:space="0" w:color="D9E0E7"/>
              <w:bottom w:val="single" w:sz="4" w:space="0" w:color="D9E0E7"/>
              <w:right w:val="single" w:sz="4" w:space="0" w:color="D9E0E7"/>
              <w:insideH w:val="single" w:sz="4" w:space="0" w:color="D9E0E7"/>
              <w:insideV w:val="single" w:sz="4" w:space="0" w:color="D9E0E7"/>
            </w:tcBorders>
            <w:vAlign w:val="center"/>
          </w:tcPr>
          <w:p>
            <w:pPr>
              <w:spacing w:before="0" w:after="0" w:line="252" w:lineRule="auto"/>
            </w:pPr>
            <w:r>
              <w:rPr>
                <w:rFonts w:ascii="Calibri" w:hAnsi="Calibri" w:eastAsia="Calibri"/>
                <w:b w:val="0"/>
                <w:color w:val="1A1A1A"/>
                <w:sz w:val="18"/>
              </w:rPr>
              <w:t>Interest is real but the recognised job is narrower, price clusters below the hypothesis, practical work dominates, or the name creates crisis/therapy confusion.</w:t>
            </w:r>
          </w:p>
        </w:tc>
      </w:tr>
      <w:tr>
        <w:trPr>
          <w:cantSplit/>
        </w:trPr>
        <w:tc>
          <w:tcPr>
            <w:tcW w:type="dxa" w:w="1800"/>
            <w:tcMar>
              <w:top w:w="80" w:type="dxa"/>
              <w:start w:w="120" w:type="dxa"/>
              <w:bottom w:w="80" w:type="dxa"/>
              <w:end w:w="120" w:type="dxa"/>
            </w:tcMar>
            <w:tcBorders>
              <w:top w:val="single" w:sz="4" w:space="0" w:color="D9E0E7"/>
              <w:left w:val="single" w:sz="4" w:space="0" w:color="D9E0E7"/>
              <w:bottom w:val="single" w:sz="4" w:space="0" w:color="D9E0E7"/>
              <w:right w:val="single" w:sz="4" w:space="0" w:color="D9E0E7"/>
              <w:insideH w:val="single" w:sz="4" w:space="0" w:color="D9E0E7"/>
              <w:insideV w:val="single" w:sz="4" w:space="0" w:color="D9E0E7"/>
            </w:tcBorders>
            <w:vAlign w:val="center"/>
          </w:tcPr>
          <w:p>
            <w:pPr>
              <w:spacing w:before="0" w:after="0" w:line="252" w:lineRule="auto"/>
            </w:pPr>
            <w:r>
              <w:rPr>
                <w:rFonts w:ascii="Calibri" w:hAnsi="Calibri" w:eastAsia="Calibri"/>
                <w:b/>
                <w:color w:val="1A1A1A"/>
                <w:sz w:val="18"/>
              </w:rPr>
              <w:t>Stop / redesign</w:t>
            </w:r>
          </w:p>
        </w:tc>
        <w:tc>
          <w:tcPr>
            <w:tcW w:type="dxa" w:w="7560"/>
            <w:tcMar>
              <w:top w:w="80" w:type="dxa"/>
              <w:start w:w="120" w:type="dxa"/>
              <w:bottom w:w="80" w:type="dxa"/>
              <w:end w:w="120" w:type="dxa"/>
            </w:tcMar>
            <w:tcBorders>
              <w:top w:val="single" w:sz="4" w:space="0" w:color="D9E0E7"/>
              <w:left w:val="single" w:sz="4" w:space="0" w:color="D9E0E7"/>
              <w:bottom w:val="single" w:sz="4" w:space="0" w:color="D9E0E7"/>
              <w:right w:val="single" w:sz="4" w:space="0" w:color="D9E0E7"/>
              <w:insideH w:val="single" w:sz="4" w:space="0" w:color="D9E0E7"/>
              <w:insideV w:val="single" w:sz="4" w:space="0" w:color="D9E0E7"/>
            </w:tcBorders>
            <w:vAlign w:val="center"/>
          </w:tcPr>
          <w:p>
            <w:pPr>
              <w:spacing w:before="0" w:after="0" w:line="252" w:lineRule="auto"/>
            </w:pPr>
            <w:r>
              <w:rPr>
                <w:rFonts w:ascii="Calibri" w:hAnsi="Calibri" w:eastAsia="Calibri"/>
                <w:b w:val="0"/>
                <w:color w:val="1A1A1A"/>
                <w:sz w:val="18"/>
              </w:rPr>
              <w:t>Demand depends on unbounded availability, clients primarily need therapy or regulated advice, adverse/dependency signals appear, or paid behaviour does not follow positive interview feedback.</w:t>
            </w:r>
          </w:p>
        </w:tc>
      </w:tr>
    </w:tbl>
    <w:p>
      <w:pPr>
        <w:pStyle w:val="Heading2"/>
        <w:keepNext/>
      </w:pPr>
      <w:r>
        <w:t>7.2 Recommended immediate decision</w:t>
      </w:r>
    </w:p>
    <w:p>
      <w:pPr>
        <w:spacing w:before="160" w:after="200" w:line="264" w:lineRule="auto"/>
        <w:ind w:left="230" w:right="173"/>
        <w:shd w:fill="EDF6F1" w:val="clear"/>
        <w:pBdr>
          <w:left w:val="single" w:sz="18" w:space="8" w:color="2F6B4F"/>
        </w:pBdr>
        <w:keepLines/>
      </w:pPr>
      <w:r>
        <w:rPr>
          <w:rFonts w:ascii="Calibri" w:hAnsi="Calibri" w:eastAsia="Calibri"/>
          <w:b/>
          <w:color w:val="2F6B4F"/>
          <w:sz w:val="19"/>
        </w:rPr>
        <w:t xml:space="preserve">DECISION  </w:t>
      </w:r>
      <w:r>
        <w:rPr>
          <w:rFonts w:ascii="Calibri" w:hAnsi="Calibri" w:eastAsia="Calibri"/>
          <w:color w:val="0B2545"/>
          <w:sz w:val="21"/>
        </w:rPr>
        <w:t>Proceed with divorce/separation as the initial research beachhead. Design the first offer around integration, practical clarity and step-down—not around unlimited access or a universal promise. Treat £600–£700 per month as the central pilot hypothesis and £950–£1,000 as a separately specified intensive tier.</w:t>
      </w:r>
    </w:p>
    <w:p>
      <w:pPr>
        <w:pStyle w:val="Heading1"/>
        <w:keepNext/>
      </w:pPr>
      <w:r>
        <w:t>Sources and price notes</w:t>
      </w:r>
    </w:p>
    <w:p>
      <w:pPr>
        <w:keepLines/>
      </w:pPr>
      <w:r>
        <w:rPr>
          <w:rFonts w:ascii="Calibri" w:hAnsi="Calibri" w:eastAsia="Calibri"/>
          <w:i w:val="0"/>
        </w:rPr>
        <w:t>All web sources were accessed on 15 August 2026. Provider prices and descriptions are current public listings at the time of access and can change. Bracketed numbers in the report refer to this list.</w:t>
      </w:r>
    </w:p>
    <w:p>
      <w:pPr>
        <w:spacing w:after="100" w:line="252" w:lineRule="auto"/>
        <w:ind w:left="403" w:hanging="403"/>
      </w:pPr>
      <w:r>
        <w:rPr>
          <w:rFonts w:ascii="Calibri" w:hAnsi="Calibri" w:eastAsia="Calibri"/>
          <w:b/>
          <w:color w:val="0B2545"/>
          <w:sz w:val="18"/>
        </w:rPr>
        <w:t xml:space="preserve">[1] </w:t>
      </w:r>
      <w:r>
        <w:rPr>
          <w:rFonts w:ascii="Calibri" w:hAnsi="Calibri" w:eastAsia="Calibri"/>
          <w:b/>
          <w:color w:val="0B2545"/>
          <w:sz w:val="18"/>
        </w:rPr>
        <w:t xml:space="preserve">Project foundation. </w:t>
      </w:r>
      <w:r>
        <w:rPr>
          <w:rFonts w:ascii="Calibri" w:hAnsi="Calibri" w:eastAsia="Calibri"/>
          <w:color w:val="333333"/>
          <w:sz w:val="18"/>
        </w:rPr>
        <w:t>Emotional Life Support Project Foundation and Next-Phase Kickoff Prompt, local working documents, 15 August 2026.</w:t>
      </w:r>
    </w:p>
    <w:p>
      <w:pPr>
        <w:spacing w:after="100" w:line="252" w:lineRule="auto"/>
        <w:ind w:left="403" w:hanging="403"/>
      </w:pPr>
      <w:r>
        <w:rPr>
          <w:rFonts w:ascii="Calibri" w:hAnsi="Calibri" w:eastAsia="Calibri"/>
          <w:b/>
          <w:color w:val="0B2545"/>
          <w:sz w:val="18"/>
        </w:rPr>
        <w:t xml:space="preserve">[2] </w:t>
      </w:r>
      <w:r>
        <w:rPr>
          <w:rFonts w:ascii="Calibri" w:hAnsi="Calibri" w:eastAsia="Calibri"/>
          <w:b/>
          <w:color w:val="0B2545"/>
          <w:sz w:val="18"/>
        </w:rPr>
        <w:t xml:space="preserve">NHS Talking Therapies. </w:t>
      </w:r>
      <w:r>
        <w:rPr>
          <w:rFonts w:ascii="Calibri" w:hAnsi="Calibri" w:eastAsia="Calibri"/>
          <w:color w:val="333333"/>
          <w:sz w:val="18"/>
        </w:rPr>
        <w:t>NHS: service scope, self-referral and free access for eligible people in England; page reviewed 5 November 2025.</w:t>
      </w:r>
      <w:r>
        <w:rPr>
          <w:rFonts w:ascii="Calibri" w:hAnsi="Calibri" w:eastAsia="Calibri"/>
          <w:sz w:val="18"/>
        </w:rPr>
        <w:t xml:space="preserve"> </w:t>
      </w:r>
      <w:hyperlink r:id="rId11">
        <w:r>
          <w:rPr>
            <w:rFonts w:ascii="Calibri" w:hAnsi="Calibri"/>
            <w:color w:val="2E74B5"/>
            <w:u w:val="single"/>
          </w:rPr>
          <w:t>Source</w:t>
        </w:r>
      </w:hyperlink>
    </w:p>
    <w:p>
      <w:pPr>
        <w:spacing w:after="100" w:line="252" w:lineRule="auto"/>
        <w:ind w:left="403" w:hanging="403"/>
      </w:pPr>
      <w:r>
        <w:rPr>
          <w:rFonts w:ascii="Calibri" w:hAnsi="Calibri" w:eastAsia="Calibri"/>
          <w:b/>
          <w:color w:val="0B2545"/>
          <w:sz w:val="18"/>
        </w:rPr>
        <w:t xml:space="preserve">[3] </w:t>
      </w:r>
      <w:r>
        <w:rPr>
          <w:rFonts w:ascii="Calibri" w:hAnsi="Calibri" w:eastAsia="Calibri"/>
          <w:b/>
          <w:color w:val="0B2545"/>
          <w:sz w:val="18"/>
        </w:rPr>
        <w:t xml:space="preserve">BACP therapy access. </w:t>
      </w:r>
      <w:r>
        <w:rPr>
          <w:rFonts w:ascii="Calibri" w:hAnsi="Calibri" w:eastAsia="Calibri"/>
          <w:color w:val="333333"/>
          <w:sz w:val="18"/>
        </w:rPr>
        <w:t>British Association for Counselling and Psychotherapy: finding private therapy and advertised fee range.</w:t>
      </w:r>
      <w:r>
        <w:rPr>
          <w:rFonts w:ascii="Calibri" w:hAnsi="Calibri" w:eastAsia="Calibri"/>
          <w:sz w:val="18"/>
        </w:rPr>
        <w:t xml:space="preserve"> </w:t>
      </w:r>
      <w:hyperlink r:id="rId12">
        <w:r>
          <w:rPr>
            <w:rFonts w:ascii="Calibri" w:hAnsi="Calibri"/>
            <w:color w:val="2E74B5"/>
            <w:u w:val="single"/>
          </w:rPr>
          <w:t>Source</w:t>
        </w:r>
      </w:hyperlink>
    </w:p>
    <w:p>
      <w:pPr>
        <w:spacing w:after="100" w:line="252" w:lineRule="auto"/>
        <w:ind w:left="403" w:hanging="403"/>
      </w:pPr>
      <w:r>
        <w:rPr>
          <w:rFonts w:ascii="Calibri" w:hAnsi="Calibri" w:eastAsia="Calibri"/>
          <w:b/>
          <w:color w:val="0B2545"/>
          <w:sz w:val="18"/>
        </w:rPr>
        <w:t xml:space="preserve">[4] </w:t>
      </w:r>
      <w:r>
        <w:rPr>
          <w:rFonts w:ascii="Calibri" w:hAnsi="Calibri" w:eastAsia="Calibri"/>
          <w:b/>
          <w:color w:val="0B2545"/>
          <w:sz w:val="18"/>
        </w:rPr>
        <w:t xml:space="preserve">Counselling Directory price report. </w:t>
      </w:r>
      <w:r>
        <w:rPr>
          <w:rFonts w:ascii="Calibri" w:hAnsi="Calibri" w:eastAsia="Calibri"/>
          <w:color w:val="333333"/>
          <w:sz w:val="18"/>
        </w:rPr>
        <w:t>Counselling Directory: January 2026 national average advertised session fee of £60.60, based on its database.</w:t>
      </w:r>
      <w:r>
        <w:rPr>
          <w:rFonts w:ascii="Calibri" w:hAnsi="Calibri" w:eastAsia="Calibri"/>
          <w:sz w:val="18"/>
        </w:rPr>
        <w:t xml:space="preserve"> </w:t>
      </w:r>
      <w:hyperlink r:id="rId13">
        <w:r>
          <w:rPr>
            <w:rFonts w:ascii="Calibri" w:hAnsi="Calibri"/>
            <w:color w:val="2E74B5"/>
            <w:u w:val="single"/>
          </w:rPr>
          <w:t>Source</w:t>
        </w:r>
      </w:hyperlink>
    </w:p>
    <w:p>
      <w:pPr>
        <w:spacing w:after="100" w:line="252" w:lineRule="auto"/>
        <w:ind w:left="403" w:hanging="403"/>
      </w:pPr>
      <w:r>
        <w:rPr>
          <w:rFonts w:ascii="Calibri" w:hAnsi="Calibri" w:eastAsia="Calibri"/>
          <w:b/>
          <w:color w:val="0B2545"/>
          <w:sz w:val="18"/>
        </w:rPr>
        <w:t xml:space="preserve">[5] </w:t>
      </w:r>
      <w:r>
        <w:rPr>
          <w:rFonts w:ascii="Calibri" w:hAnsi="Calibri" w:eastAsia="Calibri"/>
          <w:b/>
          <w:color w:val="0B2545"/>
          <w:sz w:val="18"/>
        </w:rPr>
        <w:t xml:space="preserve">UK life-coach occupation profile. </w:t>
      </w:r>
      <w:r>
        <w:rPr>
          <w:rFonts w:ascii="Calibri" w:hAnsi="Calibri" w:eastAsia="Calibri"/>
          <w:color w:val="333333"/>
          <w:sz w:val="18"/>
        </w:rPr>
        <w:t>National Careers Service: life coaching is not regulated in the UK; current occupation guidance.</w:t>
      </w:r>
      <w:r>
        <w:rPr>
          <w:rFonts w:ascii="Calibri" w:hAnsi="Calibri" w:eastAsia="Calibri"/>
          <w:sz w:val="18"/>
        </w:rPr>
        <w:t xml:space="preserve"> </w:t>
      </w:r>
      <w:hyperlink r:id="rId14">
        <w:r>
          <w:rPr>
            <w:rFonts w:ascii="Calibri" w:hAnsi="Calibri"/>
            <w:color w:val="2E74B5"/>
            <w:u w:val="single"/>
          </w:rPr>
          <w:t>Source</w:t>
        </w:r>
      </w:hyperlink>
    </w:p>
    <w:p>
      <w:pPr>
        <w:spacing w:after="100" w:line="252" w:lineRule="auto"/>
        <w:ind w:left="403" w:hanging="403"/>
      </w:pPr>
      <w:r>
        <w:rPr>
          <w:rFonts w:ascii="Calibri" w:hAnsi="Calibri" w:eastAsia="Calibri"/>
          <w:b/>
          <w:color w:val="0B2545"/>
          <w:sz w:val="18"/>
        </w:rPr>
        <w:t xml:space="preserve">[6] </w:t>
      </w:r>
      <w:r>
        <w:rPr>
          <w:rFonts w:ascii="Calibri" w:hAnsi="Calibri" w:eastAsia="Calibri"/>
          <w:b/>
          <w:color w:val="0B2545"/>
          <w:sz w:val="18"/>
        </w:rPr>
        <w:t xml:space="preserve">ICF credential requirements. </w:t>
      </w:r>
      <w:r>
        <w:rPr>
          <w:rFonts w:ascii="Calibri" w:hAnsi="Calibri" w:eastAsia="Calibri"/>
          <w:color w:val="333333"/>
          <w:sz w:val="18"/>
        </w:rPr>
        <w:t>International Coaching Federation: coach-specific education requirements for ACC and PCC credentials.</w:t>
      </w:r>
      <w:r>
        <w:rPr>
          <w:rFonts w:ascii="Calibri" w:hAnsi="Calibri" w:eastAsia="Calibri"/>
          <w:sz w:val="18"/>
        </w:rPr>
        <w:t xml:space="preserve"> </w:t>
      </w:r>
      <w:hyperlink r:id="rId15">
        <w:r>
          <w:rPr>
            <w:rFonts w:ascii="Calibri" w:hAnsi="Calibri"/>
            <w:color w:val="2E74B5"/>
            <w:u w:val="single"/>
          </w:rPr>
          <w:t>Source</w:t>
        </w:r>
      </w:hyperlink>
    </w:p>
    <w:p>
      <w:pPr>
        <w:spacing w:after="100" w:line="252" w:lineRule="auto"/>
        <w:ind w:left="403" w:hanging="403"/>
      </w:pPr>
      <w:r>
        <w:rPr>
          <w:rFonts w:ascii="Calibri" w:hAnsi="Calibri" w:eastAsia="Calibri"/>
          <w:b/>
          <w:color w:val="0B2545"/>
          <w:sz w:val="18"/>
        </w:rPr>
        <w:t xml:space="preserve">[7] </w:t>
      </w:r>
      <w:r>
        <w:rPr>
          <w:rFonts w:ascii="Calibri" w:hAnsi="Calibri" w:eastAsia="Calibri"/>
          <w:b/>
          <w:color w:val="0B2545"/>
          <w:sz w:val="18"/>
        </w:rPr>
        <w:t xml:space="preserve">Life-coaching evidence review. </w:t>
      </w:r>
      <w:r>
        <w:rPr>
          <w:rFonts w:ascii="Calibri" w:hAnsi="Calibri" w:eastAsia="Calibri"/>
          <w:color w:val="333333"/>
          <w:sz w:val="18"/>
        </w:rPr>
        <w:t>Ammentorp et al. (2013/2014), systematic review: five included studies, limited solid evidence and mixed but promising results.</w:t>
      </w:r>
      <w:r>
        <w:rPr>
          <w:rFonts w:ascii="Calibri" w:hAnsi="Calibri" w:eastAsia="Calibri"/>
          <w:sz w:val="18"/>
        </w:rPr>
        <w:t xml:space="preserve"> </w:t>
      </w:r>
      <w:hyperlink r:id="rId16">
        <w:r>
          <w:rPr>
            <w:rFonts w:ascii="Calibri" w:hAnsi="Calibri"/>
            <w:color w:val="2E74B5"/>
            <w:u w:val="single"/>
          </w:rPr>
          <w:t>Source</w:t>
        </w:r>
      </w:hyperlink>
    </w:p>
    <w:p>
      <w:pPr>
        <w:spacing w:after="100" w:line="252" w:lineRule="auto"/>
        <w:ind w:left="403" w:hanging="403"/>
      </w:pPr>
      <w:r>
        <w:rPr>
          <w:rFonts w:ascii="Calibri" w:hAnsi="Calibri" w:eastAsia="Calibri"/>
          <w:b/>
          <w:color w:val="0B2545"/>
          <w:sz w:val="18"/>
        </w:rPr>
        <w:t xml:space="preserve">[8] </w:t>
      </w:r>
      <w:r>
        <w:rPr>
          <w:rFonts w:ascii="Calibri" w:hAnsi="Calibri" w:eastAsia="Calibri"/>
          <w:b/>
          <w:color w:val="0B2545"/>
          <w:sz w:val="18"/>
        </w:rPr>
        <w:t xml:space="preserve">Divorce-intervention meta-analysis. </w:t>
      </w:r>
      <w:r>
        <w:rPr>
          <w:rFonts w:ascii="Calibri" w:hAnsi="Calibri" w:eastAsia="Calibri"/>
          <w:color w:val="333333"/>
          <w:sz w:val="18"/>
        </w:rPr>
        <w:t>Strouse and Roehrle (2011), meta-analysis of adult separation/divorce interventions; overall mean effect size 0.47, with heterogeneous interventions.</w:t>
      </w:r>
      <w:r>
        <w:rPr>
          <w:rFonts w:ascii="Calibri" w:hAnsi="Calibri" w:eastAsia="Calibri"/>
          <w:sz w:val="18"/>
        </w:rPr>
        <w:t xml:space="preserve"> </w:t>
      </w:r>
      <w:hyperlink r:id="rId17">
        <w:r>
          <w:rPr>
            <w:rFonts w:ascii="Calibri" w:hAnsi="Calibri"/>
            <w:color w:val="2E74B5"/>
            <w:u w:val="single"/>
          </w:rPr>
          <w:t>Source</w:t>
        </w:r>
      </w:hyperlink>
    </w:p>
    <w:p>
      <w:pPr>
        <w:spacing w:after="100" w:line="252" w:lineRule="auto"/>
        <w:ind w:left="403" w:hanging="403"/>
      </w:pPr>
      <w:r>
        <w:rPr>
          <w:rFonts w:ascii="Calibri" w:hAnsi="Calibri" w:eastAsia="Calibri"/>
          <w:b/>
          <w:color w:val="0B2545"/>
          <w:sz w:val="18"/>
        </w:rPr>
        <w:t xml:space="preserve">[9] </w:t>
      </w:r>
      <w:r>
        <w:rPr>
          <w:rFonts w:ascii="Calibri" w:hAnsi="Calibri" w:eastAsia="Calibri"/>
          <w:b/>
          <w:color w:val="0B2545"/>
          <w:sz w:val="18"/>
        </w:rPr>
        <w:t xml:space="preserve">DC² Divorce Coaching. </w:t>
      </w:r>
      <w:r>
        <w:rPr>
          <w:rFonts w:ascii="Calibri" w:hAnsi="Calibri" w:eastAsia="Calibri"/>
          <w:color w:val="333333"/>
          <w:sz w:val="18"/>
        </w:rPr>
        <w:t>Public packages: £180 for three sessions, £350 for six, £525 for nine, and £700 for 12 hours of Form E support.</w:t>
      </w:r>
      <w:r>
        <w:rPr>
          <w:rFonts w:ascii="Calibri" w:hAnsi="Calibri" w:eastAsia="Calibri"/>
          <w:sz w:val="18"/>
        </w:rPr>
        <w:t xml:space="preserve"> </w:t>
      </w:r>
      <w:hyperlink r:id="rId18">
        <w:r>
          <w:rPr>
            <w:rFonts w:ascii="Calibri" w:hAnsi="Calibri"/>
            <w:color w:val="2E74B5"/>
            <w:u w:val="single"/>
          </w:rPr>
          <w:t>Source</w:t>
        </w:r>
      </w:hyperlink>
    </w:p>
    <w:p>
      <w:pPr>
        <w:spacing w:after="100" w:line="252" w:lineRule="auto"/>
        <w:ind w:left="403" w:hanging="403"/>
      </w:pPr>
      <w:r>
        <w:rPr>
          <w:rFonts w:ascii="Calibri" w:hAnsi="Calibri" w:eastAsia="Calibri"/>
          <w:b/>
          <w:color w:val="0B2545"/>
          <w:sz w:val="18"/>
        </w:rPr>
        <w:t xml:space="preserve">[10] </w:t>
      </w:r>
      <w:r>
        <w:rPr>
          <w:rFonts w:ascii="Calibri" w:hAnsi="Calibri" w:eastAsia="Calibri"/>
          <w:b/>
          <w:color w:val="0B2545"/>
          <w:sz w:val="18"/>
        </w:rPr>
        <w:t xml:space="preserve">Sophie Buck Divorce Coach. </w:t>
      </w:r>
      <w:r>
        <w:rPr>
          <w:rFonts w:ascii="Calibri" w:hAnsi="Calibri" w:eastAsia="Calibri"/>
          <w:color w:val="333333"/>
          <w:sz w:val="18"/>
        </w:rPr>
        <w:t>Public packages: £375 monthly; £650 six-week intensive; £995 ten-session programme over three months.</w:t>
      </w:r>
      <w:r>
        <w:rPr>
          <w:rFonts w:ascii="Calibri" w:hAnsi="Calibri" w:eastAsia="Calibri"/>
          <w:sz w:val="18"/>
        </w:rPr>
        <w:t xml:space="preserve"> </w:t>
      </w:r>
      <w:hyperlink r:id="rId19">
        <w:r>
          <w:rPr>
            <w:rFonts w:ascii="Calibri" w:hAnsi="Calibri"/>
            <w:color w:val="2E74B5"/>
            <w:u w:val="single"/>
          </w:rPr>
          <w:t>Source</w:t>
        </w:r>
      </w:hyperlink>
    </w:p>
    <w:p>
      <w:pPr>
        <w:spacing w:after="100" w:line="252" w:lineRule="auto"/>
        <w:ind w:left="403" w:hanging="403"/>
      </w:pPr>
      <w:r>
        <w:rPr>
          <w:rFonts w:ascii="Calibri" w:hAnsi="Calibri" w:eastAsia="Calibri"/>
          <w:b/>
          <w:color w:val="0B2545"/>
          <w:sz w:val="18"/>
        </w:rPr>
        <w:t xml:space="preserve">[11] </w:t>
      </w:r>
      <w:r>
        <w:rPr>
          <w:rFonts w:ascii="Calibri" w:hAnsi="Calibri" w:eastAsia="Calibri"/>
          <w:b/>
          <w:color w:val="0B2545"/>
          <w:sz w:val="18"/>
        </w:rPr>
        <w:t xml:space="preserve">D Divorce Coaching. </w:t>
      </w:r>
      <w:r>
        <w:rPr>
          <w:rFonts w:ascii="Calibri" w:hAnsi="Calibri" w:eastAsia="Calibri"/>
          <w:color w:val="333333"/>
          <w:sz w:val="18"/>
        </w:rPr>
        <w:t>Public packages: £160 single session; £460 for three; £930 for six.</w:t>
      </w:r>
      <w:r>
        <w:rPr>
          <w:rFonts w:ascii="Calibri" w:hAnsi="Calibri" w:eastAsia="Calibri"/>
          <w:sz w:val="18"/>
        </w:rPr>
        <w:t xml:space="preserve"> </w:t>
      </w:r>
      <w:hyperlink r:id="rId20">
        <w:r>
          <w:rPr>
            <w:rFonts w:ascii="Calibri" w:hAnsi="Calibri"/>
            <w:color w:val="2E74B5"/>
            <w:u w:val="single"/>
          </w:rPr>
          <w:t>Source</w:t>
        </w:r>
      </w:hyperlink>
    </w:p>
    <w:p>
      <w:pPr>
        <w:spacing w:after="100" w:line="252" w:lineRule="auto"/>
        <w:ind w:left="403" w:hanging="403"/>
      </w:pPr>
      <w:r>
        <w:rPr>
          <w:rFonts w:ascii="Calibri" w:hAnsi="Calibri" w:eastAsia="Calibri"/>
          <w:b/>
          <w:color w:val="0B2545"/>
          <w:sz w:val="18"/>
        </w:rPr>
        <w:t xml:space="preserve">[12] </w:t>
      </w:r>
      <w:r>
        <w:rPr>
          <w:rFonts w:ascii="Calibri" w:hAnsi="Calibri" w:eastAsia="Calibri"/>
          <w:b/>
          <w:color w:val="0B2545"/>
          <w:sz w:val="18"/>
        </w:rPr>
        <w:t xml:space="preserve">Samantha Johnson Divorce Coach. </w:t>
      </w:r>
      <w:r>
        <w:rPr>
          <w:rFonts w:ascii="Calibri" w:hAnsi="Calibri" w:eastAsia="Calibri"/>
          <w:color w:val="333333"/>
          <w:sz w:val="18"/>
        </w:rPr>
        <w:t>Public packages: £520 monthly Bronze; £800 monthly Platinum with weekly sessions, unlimited texts and one emergency call per week.</w:t>
      </w:r>
      <w:r>
        <w:rPr>
          <w:rFonts w:ascii="Calibri" w:hAnsi="Calibri" w:eastAsia="Calibri"/>
          <w:sz w:val="18"/>
        </w:rPr>
        <w:t xml:space="preserve"> </w:t>
      </w:r>
      <w:hyperlink r:id="rId21">
        <w:r>
          <w:rPr>
            <w:rFonts w:ascii="Calibri" w:hAnsi="Calibri"/>
            <w:color w:val="2E74B5"/>
            <w:u w:val="single"/>
          </w:rPr>
          <w:t>Source</w:t>
        </w:r>
      </w:hyperlink>
    </w:p>
    <w:p>
      <w:pPr>
        <w:spacing w:after="100" w:line="252" w:lineRule="auto"/>
        <w:ind w:left="403" w:hanging="403"/>
      </w:pPr>
      <w:r>
        <w:rPr>
          <w:rFonts w:ascii="Calibri" w:hAnsi="Calibri" w:eastAsia="Calibri"/>
          <w:b/>
          <w:color w:val="0B2545"/>
          <w:sz w:val="18"/>
        </w:rPr>
        <w:t xml:space="preserve">[13] </w:t>
      </w:r>
      <w:r>
        <w:rPr>
          <w:rFonts w:ascii="Calibri" w:hAnsi="Calibri" w:eastAsia="Calibri"/>
          <w:b/>
          <w:color w:val="0B2545"/>
          <w:sz w:val="18"/>
        </w:rPr>
        <w:t xml:space="preserve">Emma Rees-Davies Divorce Coach. </w:t>
      </w:r>
      <w:r>
        <w:rPr>
          <w:rFonts w:ascii="Calibri" w:hAnsi="Calibri" w:eastAsia="Calibri"/>
          <w:color w:val="333333"/>
          <w:sz w:val="18"/>
        </w:rPr>
        <w:t>Public course ladder: £249 self-guided, £699 group, £899 group plus three 1:1 sessions, £1,099 course plus 12 1:1 sessions.</w:t>
      </w:r>
      <w:r>
        <w:rPr>
          <w:rFonts w:ascii="Calibri" w:hAnsi="Calibri" w:eastAsia="Calibri"/>
          <w:sz w:val="18"/>
        </w:rPr>
        <w:t xml:space="preserve"> </w:t>
      </w:r>
      <w:hyperlink r:id="rId22">
        <w:r>
          <w:rPr>
            <w:rFonts w:ascii="Calibri" w:hAnsi="Calibri"/>
            <w:color w:val="2E74B5"/>
            <w:u w:val="single"/>
          </w:rPr>
          <w:t>Source</w:t>
        </w:r>
      </w:hyperlink>
    </w:p>
    <w:p>
      <w:pPr>
        <w:spacing w:after="100" w:line="252" w:lineRule="auto"/>
        <w:ind w:left="403" w:hanging="403"/>
      </w:pPr>
      <w:r>
        <w:rPr>
          <w:rFonts w:ascii="Calibri" w:hAnsi="Calibri" w:eastAsia="Calibri"/>
          <w:b/>
          <w:color w:val="0B2545"/>
          <w:sz w:val="18"/>
        </w:rPr>
        <w:t xml:space="preserve">[14] </w:t>
      </w:r>
      <w:r>
        <w:rPr>
          <w:rFonts w:ascii="Calibri" w:hAnsi="Calibri" w:eastAsia="Calibri"/>
          <w:b/>
          <w:color w:val="0B2545"/>
          <w:sz w:val="18"/>
        </w:rPr>
        <w:t xml:space="preserve">Space For Us. </w:t>
      </w:r>
      <w:r>
        <w:rPr>
          <w:rFonts w:ascii="Calibri" w:hAnsi="Calibri" w:eastAsia="Calibri"/>
          <w:color w:val="333333"/>
          <w:sz w:val="18"/>
        </w:rPr>
        <w:t>Breaking Up one-to-one guided course: 16 weekly online sessions, £960 or £800 advance-payment price.</w:t>
      </w:r>
      <w:r>
        <w:rPr>
          <w:rFonts w:ascii="Calibri" w:hAnsi="Calibri" w:eastAsia="Calibri"/>
          <w:sz w:val="18"/>
        </w:rPr>
        <w:t xml:space="preserve"> </w:t>
      </w:r>
      <w:hyperlink r:id="rId23">
        <w:r>
          <w:rPr>
            <w:rFonts w:ascii="Calibri" w:hAnsi="Calibri"/>
            <w:color w:val="2E74B5"/>
            <w:u w:val="single"/>
          </w:rPr>
          <w:t>Source</w:t>
        </w:r>
      </w:hyperlink>
    </w:p>
    <w:p>
      <w:pPr>
        <w:spacing w:after="100" w:line="252" w:lineRule="auto"/>
        <w:ind w:left="403" w:hanging="403"/>
      </w:pPr>
      <w:r>
        <w:rPr>
          <w:rFonts w:ascii="Calibri" w:hAnsi="Calibri" w:eastAsia="Calibri"/>
          <w:b/>
          <w:color w:val="0B2545"/>
          <w:sz w:val="18"/>
        </w:rPr>
        <w:t xml:space="preserve">[15] </w:t>
      </w:r>
      <w:r>
        <w:rPr>
          <w:rFonts w:ascii="Calibri" w:hAnsi="Calibri" w:eastAsia="Calibri"/>
          <w:b/>
          <w:color w:val="0B2545"/>
          <w:sz w:val="18"/>
        </w:rPr>
        <w:t xml:space="preserve">Transition Solutions. </w:t>
      </w:r>
      <w:r>
        <w:rPr>
          <w:rFonts w:ascii="Calibri" w:hAnsi="Calibri" w:eastAsia="Calibri"/>
          <w:color w:val="333333"/>
          <w:sz w:val="18"/>
        </w:rPr>
        <w:t>Transition-coaching package: consultation, one 120-minute and three 90-minute sessions, £949.</w:t>
      </w:r>
      <w:r>
        <w:rPr>
          <w:rFonts w:ascii="Calibri" w:hAnsi="Calibri" w:eastAsia="Calibri"/>
          <w:sz w:val="18"/>
        </w:rPr>
        <w:t xml:space="preserve"> </w:t>
      </w:r>
      <w:hyperlink r:id="rId24">
        <w:r>
          <w:rPr>
            <w:rFonts w:ascii="Calibri" w:hAnsi="Calibri"/>
            <w:color w:val="2E74B5"/>
            <w:u w:val="single"/>
          </w:rPr>
          <w:t>Source</w:t>
        </w:r>
      </w:hyperlink>
    </w:p>
    <w:p>
      <w:pPr>
        <w:spacing w:after="100" w:line="252" w:lineRule="auto"/>
        <w:ind w:left="403" w:hanging="403"/>
      </w:pPr>
      <w:r>
        <w:rPr>
          <w:rFonts w:ascii="Calibri" w:hAnsi="Calibri" w:eastAsia="Calibri"/>
          <w:b/>
          <w:color w:val="0B2545"/>
          <w:sz w:val="18"/>
        </w:rPr>
        <w:t xml:space="preserve">[16] </w:t>
      </w:r>
      <w:r>
        <w:rPr>
          <w:rFonts w:ascii="Calibri" w:hAnsi="Calibri" w:eastAsia="Calibri"/>
          <w:b/>
          <w:color w:val="0B2545"/>
          <w:sz w:val="18"/>
        </w:rPr>
        <w:t xml:space="preserve">Nick Hatter. </w:t>
      </w:r>
      <w:r>
        <w:rPr>
          <w:rFonts w:ascii="Calibri" w:hAnsi="Calibri" w:eastAsia="Calibri"/>
          <w:color w:val="333333"/>
          <w:sz w:val="18"/>
        </w:rPr>
        <w:t>Public premium coaching packages: £4,320 for six weeks, £7,200 for three months, £12,000 for six months and £18,000 for 12 months.</w:t>
      </w:r>
      <w:r>
        <w:rPr>
          <w:rFonts w:ascii="Calibri" w:hAnsi="Calibri" w:eastAsia="Calibri"/>
          <w:sz w:val="18"/>
        </w:rPr>
        <w:t xml:space="preserve"> </w:t>
      </w:r>
      <w:hyperlink r:id="rId25">
        <w:r>
          <w:rPr>
            <w:rFonts w:ascii="Calibri" w:hAnsi="Calibri"/>
            <w:color w:val="2E74B5"/>
            <w:u w:val="single"/>
          </w:rPr>
          <w:t>Source</w:t>
        </w:r>
      </w:hyperlink>
    </w:p>
    <w:p>
      <w:pPr>
        <w:spacing w:after="100" w:line="252" w:lineRule="auto"/>
        <w:ind w:left="403" w:hanging="403"/>
      </w:pPr>
      <w:r>
        <w:rPr>
          <w:rFonts w:ascii="Calibri" w:hAnsi="Calibri" w:eastAsia="Calibri"/>
          <w:b/>
          <w:color w:val="0B2545"/>
          <w:sz w:val="18"/>
        </w:rPr>
        <w:t xml:space="preserve">[17] </w:t>
      </w:r>
      <w:r>
        <w:rPr>
          <w:rFonts w:ascii="Calibri" w:hAnsi="Calibri" w:eastAsia="Calibri"/>
          <w:b/>
          <w:color w:val="0B2545"/>
          <w:sz w:val="18"/>
        </w:rPr>
        <w:t xml:space="preserve">amicable space. </w:t>
      </w:r>
      <w:r>
        <w:rPr>
          <w:rFonts w:ascii="Calibri" w:hAnsi="Calibri" w:eastAsia="Calibri"/>
          <w:color w:val="333333"/>
          <w:sz w:val="18"/>
        </w:rPr>
        <w:t>Divorce/separation membership with weekly content, webinars, forum and consultation: 14-day trial then £20 per month.</w:t>
      </w:r>
      <w:r>
        <w:rPr>
          <w:rFonts w:ascii="Calibri" w:hAnsi="Calibri" w:eastAsia="Calibri"/>
          <w:sz w:val="18"/>
        </w:rPr>
        <w:t xml:space="preserve"> </w:t>
      </w:r>
      <w:hyperlink r:id="rId26">
        <w:r>
          <w:rPr>
            <w:rFonts w:ascii="Calibri" w:hAnsi="Calibri"/>
            <w:color w:val="2E74B5"/>
            <w:u w:val="single"/>
          </w:rPr>
          <w:t>Source</w:t>
        </w:r>
      </w:hyperlink>
    </w:p>
    <w:p>
      <w:pPr>
        <w:spacing w:after="100" w:line="252" w:lineRule="auto"/>
        <w:ind w:left="403" w:hanging="403"/>
      </w:pPr>
      <w:r>
        <w:rPr>
          <w:rFonts w:ascii="Calibri" w:hAnsi="Calibri" w:eastAsia="Calibri"/>
          <w:b/>
          <w:color w:val="0B2545"/>
          <w:sz w:val="18"/>
        </w:rPr>
        <w:t xml:space="preserve">[18] </w:t>
      </w:r>
      <w:r>
        <w:rPr>
          <w:rFonts w:ascii="Calibri" w:hAnsi="Calibri" w:eastAsia="Calibri"/>
          <w:b/>
          <w:color w:val="0B2545"/>
          <w:sz w:val="18"/>
        </w:rPr>
        <w:t xml:space="preserve">Divorce Recovery Workshop. </w:t>
      </w:r>
      <w:r>
        <w:rPr>
          <w:rFonts w:ascii="Calibri" w:hAnsi="Calibri" w:eastAsia="Calibri"/>
          <w:color w:val="333333"/>
          <w:sz w:val="18"/>
        </w:rPr>
        <w:t>Charity workshops for emotional recovery; 2026 residential examples £190 and £280.</w:t>
      </w:r>
      <w:r>
        <w:rPr>
          <w:rFonts w:ascii="Calibri" w:hAnsi="Calibri" w:eastAsia="Calibri"/>
          <w:sz w:val="18"/>
        </w:rPr>
        <w:t xml:space="preserve"> </w:t>
      </w:r>
      <w:hyperlink r:id="rId27">
        <w:r>
          <w:rPr>
            <w:rFonts w:ascii="Calibri" w:hAnsi="Calibri"/>
            <w:color w:val="2E74B5"/>
            <w:u w:val="single"/>
          </w:rPr>
          <w:t>Source</w:t>
        </w:r>
      </w:hyperlink>
    </w:p>
    <w:p>
      <w:pPr>
        <w:spacing w:after="100" w:line="252" w:lineRule="auto"/>
        <w:ind w:left="403" w:hanging="403"/>
      </w:pPr>
      <w:r>
        <w:rPr>
          <w:rFonts w:ascii="Calibri" w:hAnsi="Calibri" w:eastAsia="Calibri"/>
          <w:b/>
          <w:color w:val="0B2545"/>
          <w:sz w:val="18"/>
        </w:rPr>
        <w:t xml:space="preserve">[19] </w:t>
      </w:r>
      <w:r>
        <w:rPr>
          <w:rFonts w:ascii="Calibri" w:hAnsi="Calibri" w:eastAsia="Calibri"/>
          <w:b/>
          <w:color w:val="0B2545"/>
          <w:sz w:val="18"/>
        </w:rPr>
        <w:t xml:space="preserve">Divorce court fee. </w:t>
      </w:r>
      <w:r>
        <w:rPr>
          <w:rFonts w:ascii="Calibri" w:hAnsi="Calibri" w:eastAsia="Calibri"/>
          <w:color w:val="333333"/>
          <w:sz w:val="18"/>
        </w:rPr>
        <w:t>GOV.UK: £628 divorce application fee in England and Wales, updated 13 July 2026.</w:t>
      </w:r>
      <w:r>
        <w:rPr>
          <w:rFonts w:ascii="Calibri" w:hAnsi="Calibri" w:eastAsia="Calibri"/>
          <w:sz w:val="18"/>
        </w:rPr>
        <w:t xml:space="preserve"> </w:t>
      </w:r>
      <w:hyperlink r:id="rId28">
        <w:r>
          <w:rPr>
            <w:rFonts w:ascii="Calibri" w:hAnsi="Calibri"/>
            <w:color w:val="2E74B5"/>
            <w:u w:val="single"/>
          </w:rPr>
          <w:t>Source</w:t>
        </w:r>
      </w:hyperlink>
    </w:p>
    <w:p>
      <w:pPr>
        <w:spacing w:after="100" w:line="252" w:lineRule="auto"/>
        <w:ind w:left="403" w:hanging="403"/>
      </w:pPr>
      <w:r>
        <w:rPr>
          <w:rFonts w:ascii="Calibri" w:hAnsi="Calibri" w:eastAsia="Calibri"/>
          <w:b/>
          <w:color w:val="0B2545"/>
          <w:sz w:val="18"/>
        </w:rPr>
        <w:t xml:space="preserve">[20] </w:t>
      </w:r>
      <w:r>
        <w:rPr>
          <w:rFonts w:ascii="Calibri" w:hAnsi="Calibri" w:eastAsia="Calibri"/>
          <w:b/>
          <w:color w:val="0B2545"/>
          <w:sz w:val="18"/>
        </w:rPr>
        <w:t xml:space="preserve">Family mediation. </w:t>
      </w:r>
      <w:r>
        <w:rPr>
          <w:rFonts w:ascii="Calibri" w:hAnsi="Calibri" w:eastAsia="Calibri"/>
          <w:color w:val="333333"/>
          <w:sz w:val="18"/>
        </w:rPr>
        <w:t>GOV.UK: usual MIAM cost around £120; voucher of up to £500 for eligible family mediation cases.</w:t>
      </w:r>
      <w:r>
        <w:rPr>
          <w:rFonts w:ascii="Calibri" w:hAnsi="Calibri" w:eastAsia="Calibri"/>
          <w:sz w:val="18"/>
        </w:rPr>
        <w:t xml:space="preserve"> </w:t>
      </w:r>
      <w:hyperlink r:id="rId29">
        <w:r>
          <w:rPr>
            <w:rFonts w:ascii="Calibri" w:hAnsi="Calibri"/>
            <w:color w:val="2E74B5"/>
            <w:u w:val="single"/>
          </w:rPr>
          <w:t>Source</w:t>
        </w:r>
      </w:hyperlink>
    </w:p>
    <w:p>
      <w:pPr>
        <w:spacing w:after="100" w:line="252" w:lineRule="auto"/>
        <w:ind w:left="403" w:hanging="403"/>
      </w:pPr>
      <w:r>
        <w:rPr>
          <w:rFonts w:ascii="Calibri" w:hAnsi="Calibri" w:eastAsia="Calibri"/>
          <w:b/>
          <w:color w:val="0B2545"/>
          <w:sz w:val="18"/>
        </w:rPr>
        <w:t xml:space="preserve">[21] </w:t>
      </w:r>
      <w:r>
        <w:rPr>
          <w:rFonts w:ascii="Calibri" w:hAnsi="Calibri" w:eastAsia="Calibri"/>
          <w:b/>
          <w:color w:val="0B2545"/>
          <w:sz w:val="18"/>
        </w:rPr>
        <w:t xml:space="preserve">amicable legal services. </w:t>
      </w:r>
      <w:r>
        <w:rPr>
          <w:rFonts w:ascii="Calibri" w:hAnsi="Calibri" w:eastAsia="Calibri"/>
          <w:color w:val="333333"/>
          <w:sz w:val="18"/>
        </w:rPr>
        <w:t>Public service prices: £1,200 automated, £1,800 assisted, and £3,450–£5,910 negotiation services.</w:t>
      </w:r>
      <w:r>
        <w:rPr>
          <w:rFonts w:ascii="Calibri" w:hAnsi="Calibri" w:eastAsia="Calibri"/>
          <w:sz w:val="18"/>
        </w:rPr>
        <w:t xml:space="preserve"> </w:t>
      </w:r>
      <w:hyperlink r:id="rId30">
        <w:r>
          <w:rPr>
            <w:rFonts w:ascii="Calibri" w:hAnsi="Calibri"/>
            <w:color w:val="2E74B5"/>
            <w:u w:val="single"/>
          </w:rPr>
          <w:t>Source</w:t>
        </w:r>
      </w:hyperlink>
    </w:p>
    <w:p>
      <w:pPr>
        <w:spacing w:after="100" w:line="252" w:lineRule="auto"/>
        <w:ind w:left="403" w:hanging="403"/>
      </w:pPr>
      <w:r>
        <w:rPr>
          <w:rFonts w:ascii="Calibri" w:hAnsi="Calibri" w:eastAsia="Calibri"/>
          <w:b/>
          <w:color w:val="0B2545"/>
          <w:sz w:val="18"/>
        </w:rPr>
        <w:t xml:space="preserve">[22] </w:t>
      </w:r>
      <w:r>
        <w:rPr>
          <w:rFonts w:ascii="Calibri" w:hAnsi="Calibri" w:eastAsia="Calibri"/>
          <w:b/>
          <w:color w:val="0B2545"/>
          <w:sz w:val="18"/>
        </w:rPr>
        <w:t xml:space="preserve">Action PAs. </w:t>
      </w:r>
      <w:r>
        <w:rPr>
          <w:rFonts w:ascii="Calibri" w:hAnsi="Calibri" w:eastAsia="Calibri"/>
          <w:color w:val="333333"/>
          <w:sz w:val="18"/>
        </w:rPr>
        <w:t>Public service guide: VA pay-as-you-go £40/hour; five hours £185; 20 hours £740; prices subject to VAT.</w:t>
      </w:r>
      <w:r>
        <w:rPr>
          <w:rFonts w:ascii="Calibri" w:hAnsi="Calibri" w:eastAsia="Calibri"/>
          <w:sz w:val="18"/>
        </w:rPr>
        <w:t xml:space="preserve"> </w:t>
      </w:r>
      <w:hyperlink r:id="rId31">
        <w:r>
          <w:rPr>
            <w:rFonts w:ascii="Calibri" w:hAnsi="Calibri"/>
            <w:color w:val="2E74B5"/>
            <w:u w:val="single"/>
          </w:rPr>
          <w:t>Source</w:t>
        </w:r>
      </w:hyperlink>
    </w:p>
    <w:p>
      <w:pPr>
        <w:spacing w:after="100" w:line="252" w:lineRule="auto"/>
        <w:ind w:left="403" w:hanging="403"/>
      </w:pPr>
      <w:r>
        <w:rPr>
          <w:rFonts w:ascii="Calibri" w:hAnsi="Calibri" w:eastAsia="Calibri"/>
          <w:b/>
          <w:color w:val="0B2545"/>
          <w:sz w:val="18"/>
        </w:rPr>
        <w:t xml:space="preserve">[23] </w:t>
      </w:r>
      <w:r>
        <w:rPr>
          <w:rFonts w:ascii="Calibri" w:hAnsi="Calibri" w:eastAsia="Calibri"/>
          <w:b/>
          <w:color w:val="0B2545"/>
          <w:sz w:val="18"/>
        </w:rPr>
        <w:t xml:space="preserve">Transform Each Day. </w:t>
      </w:r>
      <w:r>
        <w:rPr>
          <w:rFonts w:ascii="Calibri" w:hAnsi="Calibri" w:eastAsia="Calibri"/>
          <w:color w:val="333333"/>
          <w:sz w:val="18"/>
        </w:rPr>
        <w:t>WhatsApp accountability coaching: £129, £169 and £229 per month with daily check-ins.</w:t>
      </w:r>
      <w:r>
        <w:rPr>
          <w:rFonts w:ascii="Calibri" w:hAnsi="Calibri" w:eastAsia="Calibri"/>
          <w:sz w:val="18"/>
        </w:rPr>
        <w:t xml:space="preserve"> </w:t>
      </w:r>
      <w:hyperlink r:id="rId32">
        <w:r>
          <w:rPr>
            <w:rFonts w:ascii="Calibri" w:hAnsi="Calibri"/>
            <w:color w:val="2E74B5"/>
            <w:u w:val="single"/>
          </w:rPr>
          <w:t>Source</w:t>
        </w:r>
      </w:hyperlink>
    </w:p>
    <w:p>
      <w:pPr>
        <w:spacing w:after="100" w:line="252" w:lineRule="auto"/>
        <w:ind w:left="403" w:hanging="403"/>
      </w:pPr>
      <w:r>
        <w:rPr>
          <w:rFonts w:ascii="Calibri" w:hAnsi="Calibri" w:eastAsia="Calibri"/>
          <w:b/>
          <w:color w:val="0B2545"/>
          <w:sz w:val="18"/>
        </w:rPr>
        <w:t xml:space="preserve">[24] </w:t>
      </w:r>
      <w:r>
        <w:rPr>
          <w:rFonts w:ascii="Calibri" w:hAnsi="Calibri" w:eastAsia="Calibri"/>
          <w:b/>
          <w:color w:val="0B2545"/>
          <w:sz w:val="18"/>
        </w:rPr>
        <w:t xml:space="preserve">Accountability Coaching London. </w:t>
      </w:r>
      <w:r>
        <w:rPr>
          <w:rFonts w:ascii="Calibri" w:hAnsi="Calibri" w:eastAsia="Calibri"/>
          <w:color w:val="333333"/>
          <w:sz w:val="18"/>
        </w:rPr>
        <w:t>Weekly calls and between-session checkpoints: £590 per month.</w:t>
      </w:r>
      <w:r>
        <w:rPr>
          <w:rFonts w:ascii="Calibri" w:hAnsi="Calibri" w:eastAsia="Calibri"/>
          <w:sz w:val="18"/>
        </w:rPr>
        <w:t xml:space="preserve"> </w:t>
      </w:r>
      <w:hyperlink r:id="rId33">
        <w:r>
          <w:rPr>
            <w:rFonts w:ascii="Calibri" w:hAnsi="Calibri"/>
            <w:color w:val="2E74B5"/>
            <w:u w:val="single"/>
          </w:rPr>
          <w:t>Source</w:t>
        </w:r>
      </w:hyperlink>
    </w:p>
    <w:p>
      <w:pPr>
        <w:spacing w:after="100" w:line="252" w:lineRule="auto"/>
        <w:ind w:left="403" w:hanging="403"/>
      </w:pPr>
      <w:r>
        <w:rPr>
          <w:rFonts w:ascii="Calibri" w:hAnsi="Calibri" w:eastAsia="Calibri"/>
          <w:b/>
          <w:color w:val="0B2545"/>
          <w:sz w:val="18"/>
        </w:rPr>
        <w:t xml:space="preserve">[25] </w:t>
      </w:r>
      <w:r>
        <w:rPr>
          <w:rFonts w:ascii="Calibri" w:hAnsi="Calibri" w:eastAsia="Calibri"/>
          <w:b/>
          <w:color w:val="0B2545"/>
          <w:sz w:val="18"/>
        </w:rPr>
        <w:t xml:space="preserve">Wysa App Store listing. </w:t>
      </w:r>
      <w:r>
        <w:rPr>
          <w:rFonts w:ascii="Calibri" w:hAnsi="Calibri" w:eastAsia="Calibri"/>
          <w:color w:val="333333"/>
          <w:sz w:val="18"/>
        </w:rPr>
        <w:t>UK App Store prices observed include free access, £11.99 monthly or £66.99 annual Premium, with other in-app purchases.</w:t>
      </w:r>
      <w:r>
        <w:rPr>
          <w:rFonts w:ascii="Calibri" w:hAnsi="Calibri" w:eastAsia="Calibri"/>
          <w:sz w:val="18"/>
        </w:rPr>
        <w:t xml:space="preserve"> </w:t>
      </w:r>
      <w:hyperlink r:id="rId34">
        <w:r>
          <w:rPr>
            <w:rFonts w:ascii="Calibri" w:hAnsi="Calibri"/>
            <w:color w:val="2E74B5"/>
            <w:u w:val="single"/>
          </w:rPr>
          <w:t>Source</w:t>
        </w:r>
      </w:hyperlink>
    </w:p>
    <w:p>
      <w:pPr>
        <w:spacing w:after="100" w:line="252" w:lineRule="auto"/>
        <w:ind w:left="403" w:hanging="403"/>
      </w:pPr>
      <w:r>
        <w:rPr>
          <w:rFonts w:ascii="Calibri" w:hAnsi="Calibri" w:eastAsia="Calibri"/>
          <w:b/>
          <w:color w:val="0B2545"/>
          <w:sz w:val="18"/>
        </w:rPr>
        <w:t xml:space="preserve">[26] </w:t>
      </w:r>
      <w:r>
        <w:rPr>
          <w:rFonts w:ascii="Calibri" w:hAnsi="Calibri" w:eastAsia="Calibri"/>
          <w:b/>
          <w:color w:val="0B2545"/>
          <w:sz w:val="18"/>
        </w:rPr>
        <w:t xml:space="preserve">Wysa service boundaries. </w:t>
      </w:r>
      <w:r>
        <w:rPr>
          <w:rFonts w:ascii="Calibri" w:hAnsi="Calibri" w:eastAsia="Calibri"/>
          <w:color w:val="333333"/>
          <w:sz w:val="18"/>
        </w:rPr>
        <w:t>Wysa FAQ: AI wellbeing support is not a substitute for professional care and is not recommended for crisis situations or severe and enduring mental illness.</w:t>
      </w:r>
      <w:r>
        <w:rPr>
          <w:rFonts w:ascii="Calibri" w:hAnsi="Calibri" w:eastAsia="Calibri"/>
          <w:sz w:val="18"/>
        </w:rPr>
        <w:t xml:space="preserve"> </w:t>
      </w:r>
      <w:hyperlink r:id="rId35">
        <w:r>
          <w:rPr>
            <w:rFonts w:ascii="Calibri" w:hAnsi="Calibri"/>
            <w:color w:val="2E74B5"/>
            <w:u w:val="single"/>
          </w:rPr>
          <w:t>Source</w:t>
        </w:r>
      </w:hyperlink>
    </w:p>
    <w:p>
      <w:pPr>
        <w:spacing w:after="100" w:line="252" w:lineRule="auto"/>
        <w:ind w:left="403" w:hanging="403"/>
      </w:pPr>
      <w:r>
        <w:rPr>
          <w:rFonts w:ascii="Calibri" w:hAnsi="Calibri" w:eastAsia="Calibri"/>
          <w:b/>
          <w:color w:val="0B2545"/>
          <w:sz w:val="18"/>
        </w:rPr>
        <w:t xml:space="preserve">[27] </w:t>
      </w:r>
      <w:r>
        <w:rPr>
          <w:rFonts w:ascii="Calibri" w:hAnsi="Calibri" w:eastAsia="Calibri"/>
          <w:b/>
          <w:color w:val="0B2545"/>
          <w:sz w:val="18"/>
        </w:rPr>
        <w:t xml:space="preserve">Samaritans. </w:t>
      </w:r>
      <w:r>
        <w:rPr>
          <w:rFonts w:ascii="Calibri" w:hAnsi="Calibri" w:eastAsia="Calibri"/>
          <w:color w:val="333333"/>
          <w:sz w:val="18"/>
        </w:rPr>
        <w:t>Free UK phone listening service, 116 123.</w:t>
      </w:r>
      <w:r>
        <w:rPr>
          <w:rFonts w:ascii="Calibri" w:hAnsi="Calibri" w:eastAsia="Calibri"/>
          <w:sz w:val="18"/>
        </w:rPr>
        <w:t xml:space="preserve"> </w:t>
      </w:r>
      <w:hyperlink r:id="rId36">
        <w:r>
          <w:rPr>
            <w:rFonts w:ascii="Calibri" w:hAnsi="Calibri"/>
            <w:color w:val="2E74B5"/>
            <w:u w:val="single"/>
          </w:rPr>
          <w:t>Source</w:t>
        </w:r>
      </w:hyperlink>
    </w:p>
    <w:p>
      <w:pPr>
        <w:spacing w:after="100" w:line="252" w:lineRule="auto"/>
        <w:ind w:left="403" w:hanging="403"/>
      </w:pPr>
      <w:r>
        <w:rPr>
          <w:rFonts w:ascii="Calibri" w:hAnsi="Calibri" w:eastAsia="Calibri"/>
          <w:b/>
          <w:color w:val="0B2545"/>
          <w:sz w:val="18"/>
        </w:rPr>
        <w:t xml:space="preserve">[28] </w:t>
      </w:r>
      <w:r>
        <w:rPr>
          <w:rFonts w:ascii="Calibri" w:hAnsi="Calibri" w:eastAsia="Calibri"/>
          <w:b/>
          <w:color w:val="0B2545"/>
          <w:sz w:val="18"/>
        </w:rPr>
        <w:t xml:space="preserve">Shout 85258. </w:t>
      </w:r>
      <w:r>
        <w:rPr>
          <w:rFonts w:ascii="Calibri" w:hAnsi="Calibri" w:eastAsia="Calibri"/>
          <w:color w:val="333333"/>
          <w:sz w:val="18"/>
        </w:rPr>
        <w:t>Free, confidential, 24/7 UK text support delivered by trained volunteers.</w:t>
      </w:r>
      <w:r>
        <w:rPr>
          <w:rFonts w:ascii="Calibri" w:hAnsi="Calibri" w:eastAsia="Calibri"/>
          <w:sz w:val="18"/>
        </w:rPr>
        <w:t xml:space="preserve"> </w:t>
      </w:r>
      <w:hyperlink r:id="rId37">
        <w:r>
          <w:rPr>
            <w:rFonts w:ascii="Calibri" w:hAnsi="Calibri"/>
            <w:color w:val="2E74B5"/>
            <w:u w:val="single"/>
          </w:rPr>
          <w:t>Source</w:t>
        </w:r>
      </w:hyperlink>
    </w:p>
    <w:p>
      <w:pPr>
        <w:spacing w:after="100" w:line="252" w:lineRule="auto"/>
        <w:ind w:left="403" w:hanging="403"/>
      </w:pPr>
      <w:r>
        <w:rPr>
          <w:rFonts w:ascii="Calibri" w:hAnsi="Calibri" w:eastAsia="Calibri"/>
          <w:b/>
          <w:color w:val="0B2545"/>
          <w:sz w:val="18"/>
        </w:rPr>
        <w:t xml:space="preserve">[29] </w:t>
      </w:r>
      <w:r>
        <w:rPr>
          <w:rFonts w:ascii="Calibri" w:hAnsi="Calibri" w:eastAsia="Calibri"/>
          <w:b/>
          <w:color w:val="0B2545"/>
          <w:sz w:val="18"/>
        </w:rPr>
        <w:t xml:space="preserve">Citizens Advice separation guide. </w:t>
      </w:r>
      <w:r>
        <w:rPr>
          <w:rFonts w:ascii="Calibri" w:hAnsi="Calibri" w:eastAsia="Calibri"/>
          <w:color w:val="333333"/>
          <w:sz w:val="18"/>
        </w:rPr>
        <w:t>Free guidance on separation choices, mediation, legal help and practical arrangements.</w:t>
      </w:r>
      <w:r>
        <w:rPr>
          <w:rFonts w:ascii="Calibri" w:hAnsi="Calibri" w:eastAsia="Calibri"/>
          <w:sz w:val="18"/>
        </w:rPr>
        <w:t xml:space="preserve"> </w:t>
      </w:r>
      <w:hyperlink r:id="rId38">
        <w:r>
          <w:rPr>
            <w:rFonts w:ascii="Calibri" w:hAnsi="Calibri"/>
            <w:color w:val="2E74B5"/>
            <w:u w:val="single"/>
          </w:rPr>
          <w:t>Source</w:t>
        </w:r>
      </w:hyperlink>
    </w:p>
    <w:p>
      <w:pPr>
        <w:pStyle w:val="Heading2"/>
        <w:keepNext/>
      </w:pPr>
      <w:r>
        <w:t>Calculation notes</w:t>
      </w:r>
    </w:p>
    <w:p>
      <w:pPr>
        <w:numPr>
          <w:ilvl w:val="0"/>
          <w:numId w:val="10"/>
        </w:numPr>
        <w:spacing w:after="80" w:line="280" w:lineRule="auto"/>
        <w:keepLines/>
      </w:pPr>
      <w:r>
        <w:rPr>
          <w:rFonts w:ascii="Calibri" w:hAnsi="Calibri" w:eastAsia="Calibri"/>
        </w:rPr>
        <w:t>Monthly equivalents use 52 weeks ÷ 12 months = 4.33 weeks per month.</w:t>
      </w:r>
    </w:p>
    <w:p>
      <w:pPr>
        <w:numPr>
          <w:ilvl w:val="0"/>
          <w:numId w:val="10"/>
        </w:numPr>
        <w:spacing w:after="80" w:line="280" w:lineRule="auto"/>
        <w:keepLines/>
      </w:pPr>
      <w:r>
        <w:rPr>
          <w:rFonts w:ascii="Calibri" w:hAnsi="Calibri" w:eastAsia="Calibri"/>
        </w:rPr>
        <w:t>Weekly therapy at £40–£60 equals approximately £173–£260 per month; £60.60 equals approximately £263 per month.</w:t>
      </w:r>
    </w:p>
    <w:p>
      <w:pPr>
        <w:numPr>
          <w:ilvl w:val="0"/>
          <w:numId w:val="10"/>
        </w:numPr>
        <w:spacing w:after="80" w:line="280" w:lineRule="auto"/>
        <w:keepLines/>
      </w:pPr>
      <w:r>
        <w:rPr>
          <w:rFonts w:ascii="Calibri" w:hAnsi="Calibri" w:eastAsia="Calibri"/>
        </w:rPr>
        <w:t>The assembled support stack applies 20% VAT to the cited VA price because that provider states prices are subject to VAT; tax treatment varies by provider and customer.</w:t>
      </w:r>
    </w:p>
    <w:p>
      <w:pPr>
        <w:numPr>
          <w:ilvl w:val="0"/>
          <w:numId w:val="10"/>
        </w:numPr>
        <w:spacing w:after="80" w:line="280" w:lineRule="auto"/>
        <w:keepLines/>
      </w:pPr>
      <w:r>
        <w:rPr>
          <w:rFonts w:ascii="Calibri" w:hAnsi="Calibri" w:eastAsia="Calibri"/>
        </w:rPr>
        <w:t>Ultra-premium coaching monthly equivalents are used only as context: £4,320 over six weeks ≈ £3,118 per month; £7,200 over three months = £2,400 per month; £18,000 over 12 months = £1,500 per month.</w:t>
      </w:r>
    </w:p>
    <w:p>
      <w:pPr>
        <w:numPr>
          <w:ilvl w:val="0"/>
          <w:numId w:val="10"/>
        </w:numPr>
        <w:spacing w:after="80" w:line="280" w:lineRule="auto"/>
        <w:keepLines/>
      </w:pPr>
      <w:r>
        <w:rPr>
          <w:rFonts w:ascii="Calibri" w:hAnsi="Calibri" w:eastAsia="Calibri"/>
        </w:rPr>
        <w:t>Job-coverage scores and proposed offer prices are analyst estimates and must not be presented externally as market evidence.</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Calibri" w:hAnsi="Calibri" w:eastAsia="Calibri"/>
        <w:color w:val="5F6B76"/>
        <w:sz w:val="18"/>
      </w:rPr>
      <w:t xml:space="preserve">Page </w:t>
    </w:r>
    <w:r>
      <w:rPr>
        <w:rFonts w:ascii="Calibri" w:hAnsi="Calibri" w:eastAsia="Calibri"/>
        <w:color w:val="5F6B76"/>
        <w:sz w:val="18"/>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0"/>
      <w:jc w:val="left"/>
    </w:pPr>
    <w:r>
      <w:rPr>
        <w:rFonts w:ascii="Calibri" w:hAnsi="Calibri" w:eastAsia="Calibri"/>
        <w:b/>
        <w:color w:val="5F6B76"/>
        <w:sz w:val="17"/>
      </w:rPr>
      <w:t>EMOTIONAL LIFE SUPPORT</w:t>
    </w:r>
    <w:r>
      <w:tab/>
    </w:r>
    <w:r>
      <w:rPr>
        <w:rFonts w:ascii="Calibri" w:hAnsi="Calibri" w:eastAsia="Calibri"/>
        <w:color w:val="5F6B76"/>
        <w:sz w:val="17"/>
      </w:rPr>
      <w:t>Alternatives report | August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720"/>
        </w:tabs>
        <w:ind w:left="720" w:hanging="360"/>
        <w:spacing w:after="160" w:line="280" w:lineRule="auto"/>
      </w:pPr>
      <w:rPr>
        <w:rFonts w:ascii="Calibri" w:hAnsi="Calibri"/>
      </w:rPr>
    </w:lvl>
  </w:abstractNum>
  <w:num w:numId="10">
    <w:abstractNumId w:val="9"/>
  </w:num>
  <w:abstractNum w:abstractNumId="10">
    <w:multiLevelType w:val="singleLevel"/>
    <w:lvl w:ilvl="0">
      <w:start w:val="1"/>
      <w:numFmt w:val="decimal"/>
      <w:lvlText w:val="%1."/>
      <w:lvlJc w:val="left"/>
      <w:pPr>
        <w:tabs>
          <w:tab w:val="num" w:pos="720"/>
        </w:tabs>
        <w:ind w:left="720" w:hanging="360"/>
        <w:spacing w:after="160" w:line="280" w:lineRule="auto"/>
      </w:pPr>
      <w:rPr>
        <w:rFonts w:ascii="Calibri" w:hAnsi="Calibri"/>
      </w:r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64" w:lineRule="auto"/>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80"/>
    </w:pPr>
    <w:rPr>
      <w:rFonts w:ascii="Calibri" w:hAnsi="Calibri"/>
      <w:b/>
      <w:bCs/>
      <w:i/>
      <w:color w:val="5F6B76"/>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nhs.uk/tests-and-treatments/talking-therapies/" TargetMode="External"/><Relationship Id="rId12" Type="http://schemas.openxmlformats.org/officeDocument/2006/relationships/hyperlink" Target="https://www.bacp.co.uk/about-therapy/how-to-get-therapy/" TargetMode="External"/><Relationship Id="rId13" Type="http://schemas.openxmlformats.org/officeDocument/2006/relationships/hyperlink" Target="https://www.counselling-directory.org.uk/press/Counselling-Directory-report/" TargetMode="External"/><Relationship Id="rId14" Type="http://schemas.openxmlformats.org/officeDocument/2006/relationships/hyperlink" Target="https://nationalcareers.service.gov.uk/job-profiles/life-coach" TargetMode="External"/><Relationship Id="rId15" Type="http://schemas.openxmlformats.org/officeDocument/2006/relationships/hyperlink" Target="https://coachingfederation.org/credentials-and-standards/training-requirements" TargetMode="External"/><Relationship Id="rId16" Type="http://schemas.openxmlformats.org/officeDocument/2006/relationships/hyperlink" Target="https://pmc.ncbi.nlm.nih.gov/articles/PMC4015179/" TargetMode="External"/><Relationship Id="rId17" Type="http://schemas.openxmlformats.org/officeDocument/2006/relationships/hyperlink" Target="https://doi.org/10.1080/14623730.2011.9715665" TargetMode="External"/><Relationship Id="rId18" Type="http://schemas.openxmlformats.org/officeDocument/2006/relationships/hyperlink" Target="https://www.dc2divorcecoaching.co.uk/pricing-plans/list" TargetMode="External"/><Relationship Id="rId19" Type="http://schemas.openxmlformats.org/officeDocument/2006/relationships/hyperlink" Target="https://www.sophie-buck.com/pricing-plans/list" TargetMode="External"/><Relationship Id="rId20" Type="http://schemas.openxmlformats.org/officeDocument/2006/relationships/hyperlink" Target="https://d-divorcecoaching.co.uk/packages/" TargetMode="External"/><Relationship Id="rId21" Type="http://schemas.openxmlformats.org/officeDocument/2006/relationships/hyperlink" Target="https://www.divorcecoachandmarriagetherapy.co.uk/price-packages" TargetMode="External"/><Relationship Id="rId22" Type="http://schemas.openxmlformats.org/officeDocument/2006/relationships/hyperlink" Target="https://www.emmareesdaviesdivorcecoaching.co.uk/courses" TargetMode="External"/><Relationship Id="rId23" Type="http://schemas.openxmlformats.org/officeDocument/2006/relationships/hyperlink" Target="https://www.spaceforus.co.uk/breaking-up-one-to-one-course" TargetMode="External"/><Relationship Id="rId24" Type="http://schemas.openxmlformats.org/officeDocument/2006/relationships/hyperlink" Target="https://www.transitionsolutions.co.uk/transitioncoaching" TargetMode="External"/><Relationship Id="rId25" Type="http://schemas.openxmlformats.org/officeDocument/2006/relationships/hyperlink" Target="https://www.nickhatter.com/prices" TargetMode="External"/><Relationship Id="rId26" Type="http://schemas.openxmlformats.org/officeDocument/2006/relationships/hyperlink" Target="https://amicable.space/become-a-member" TargetMode="External"/><Relationship Id="rId27" Type="http://schemas.openxmlformats.org/officeDocument/2006/relationships/hyperlink" Target="https://www.drw.org.uk/" TargetMode="External"/><Relationship Id="rId28" Type="http://schemas.openxmlformats.org/officeDocument/2006/relationships/hyperlink" Target="https://www.gov.uk/divorce/file-for-divorce" TargetMode="External"/><Relationship Id="rId29" Type="http://schemas.openxmlformats.org/officeDocument/2006/relationships/hyperlink" Target="https://www.gov.uk/looking-after-children-divorce/mediation" TargetMode="External"/><Relationship Id="rId30" Type="http://schemas.openxmlformats.org/officeDocument/2006/relationships/hyperlink" Target="https://amicable.io/services/thinking-about-divorce" TargetMode="External"/><Relationship Id="rId31" Type="http://schemas.openxmlformats.org/officeDocument/2006/relationships/hyperlink" Target="https://action-pas.com/wp-content/uploads/2025/10/Action-PAs-Service-Guide.pdf" TargetMode="External"/><Relationship Id="rId32" Type="http://schemas.openxmlformats.org/officeDocument/2006/relationships/hyperlink" Target="https://www.transformeachday.com/pricing/" TargetMode="External"/><Relationship Id="rId33" Type="http://schemas.openxmlformats.org/officeDocument/2006/relationships/hyperlink" Target="https://accountabilitycoachinglondon.co.uk/full-support-coaching-offer/" TargetMode="External"/><Relationship Id="rId34" Type="http://schemas.openxmlformats.org/officeDocument/2006/relationships/hyperlink" Target="https://apps.apple.com/gb/app/wysa-mental-wellbeing-ai/id1166585565" TargetMode="External"/><Relationship Id="rId35" Type="http://schemas.openxmlformats.org/officeDocument/2006/relationships/hyperlink" Target="https://www.wysa.com/faq" TargetMode="External"/><Relationship Id="rId36" Type="http://schemas.openxmlformats.org/officeDocument/2006/relationships/hyperlink" Target="https://www.samaritans.org/how-we-can-help/contact-samaritan/talk-us-phone/" TargetMode="External"/><Relationship Id="rId37" Type="http://schemas.openxmlformats.org/officeDocument/2006/relationships/hyperlink" Target="https://giveusashout.org/get-help/" TargetMode="External"/><Relationship Id="rId38" Type="http://schemas.openxmlformats.org/officeDocument/2006/relationships/hyperlink" Target="https://www.citizensadvice.org.uk/family/how-to-separate1/deciding-what-to-do-when-you-separat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Alternatives to Emotional Life Support</dc:title>
  <dc:subject>UK competitive landscape, public pricing and launch implications</dc:subject>
  <dc:creator>OpenAI Codex for Chris</dc:creator>
  <cp:keywords>Emotional Life Support, competitors, alternatives, divorce coaching, pricing, UK</cp:keywords>
  <dc:description>Research snapshot dated 15 August 2026</dc:description>
  <cp:lastModifiedBy/>
  <cp:revision>1</cp:revision>
  <dcterms:created xsi:type="dcterms:W3CDTF">2013-12-23T23:15:00Z</dcterms:created>
  <dcterms:modified xsi:type="dcterms:W3CDTF">2013-12-23T23:15:00Z</dcterms:modified>
  <cp:category/>
</cp:coreProperties>
</file>