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20"/>
        <w:jc w:val="center"/>
      </w:pPr>
      <w:r>
        <w:rPr>
          <w:rFonts w:ascii="Calibri" w:hAnsi="Calibri"/>
          <w:b/>
          <w:color w:val="9A6700"/>
          <w:sz w:val="21"/>
        </w:rPr>
        <w:t>EMOTIONAL LIFE SUPPORT</w:t>
      </w:r>
    </w:p>
    <w:p>
      <w:pPr>
        <w:spacing w:after="200"/>
        <w:jc w:val="center"/>
      </w:pPr>
      <w:r>
        <w:rPr>
          <w:rFonts w:ascii="Calibri" w:hAnsi="Calibri"/>
          <w:b/>
          <w:color w:val="203748"/>
          <w:sz w:val="60"/>
        </w:rPr>
        <w:t>Project Foundation</w:t>
      </w:r>
    </w:p>
    <w:p>
      <w:pPr>
        <w:spacing w:after="520"/>
        <w:jc w:val="center"/>
      </w:pPr>
      <w:r>
        <w:rPr>
          <w:rFonts w:ascii="Calibri" w:hAnsi="Calibri"/>
          <w:color w:val="1F4D78"/>
          <w:sz w:val="30"/>
        </w:rPr>
        <w:t>An emerging support system for rebuilding life after major disruption</w:t>
      </w:r>
    </w:p>
    <w:p>
      <w:pPr>
        <w:spacing w:after="1360"/>
        <w:jc w:val="center"/>
      </w:pPr>
      <w:r>
        <w:rPr>
          <w:rFonts w:ascii="Calibri" w:hAnsi="Calibri"/>
          <w:i/>
          <w:color w:val="5F6B76"/>
          <w:sz w:val="21"/>
        </w:rPr>
        <w:t>The reasoning, evidence, hypotheses and design principles behind the concept</w:t>
      </w:r>
    </w:p>
    <w:p>
      <w:pPr>
        <w:jc w:val="center"/>
      </w:pPr>
      <w:r>
        <w:rPr>
          <w:rFonts w:ascii="Calibri" w:hAnsi="Calibri"/>
          <w:b/>
          <w:color w:val="203748"/>
          <w:sz w:val="20"/>
        </w:rPr>
        <w:t>Working foundation v0.1  |  15 August 2026</w:t>
      </w:r>
    </w:p>
    <w:p>
      <w:r>
        <w:br w:type="page"/>
      </w:r>
    </w:p>
    <w:p>
      <w:pPr>
        <w:pStyle w:val="Heading1"/>
      </w:pPr>
      <w:r>
        <w:t>How to read this foundation</w:t>
      </w:r>
    </w:p>
    <w:p>
      <w:r>
        <w:rPr>
          <w:rFonts w:ascii="Calibri" w:hAnsi="Calibri"/>
          <w:i w:val="0"/>
        </w:rPr>
        <w:t>This document captures the full line of reasoning developed through Chris's Ikigai exploration and the resulting Emotional Life Support concept. It is deliberately not a finished business plan. Its job is to preserve what has actually been learned, show why the current concept emerged, and prevent attractive assumptions from hardening into facts before they are tested.</w:t>
      </w:r>
    </w:p>
    <w:p>
      <w:pPr>
        <w:spacing w:before="120" w:after="160"/>
        <w:ind w:left="202" w:right="115"/>
        <w:shd w:fill="EAF3EF"/>
        <w:pBdr>
          <w:left w:val="single" w:sz="18" w:space="8" w:color="39735E"/>
        </w:pBdr>
      </w:pPr>
      <w:r>
        <w:rPr>
          <w:rFonts w:ascii="Calibri" w:hAnsi="Calibri"/>
          <w:b/>
          <w:color w:val="39735E"/>
          <w:sz w:val="19"/>
        </w:rPr>
        <w:t xml:space="preserve">ESTABLISHED INSIGHT  </w:t>
      </w:r>
      <w:r>
        <w:rPr>
          <w:rFonts w:ascii="Calibri" w:hAnsi="Calibri"/>
          <w:color w:val="203748"/>
          <w:sz w:val="21"/>
        </w:rPr>
        <w:t>A recurring theme Chris has stated consistently or supported with relevant personal evidence. Established here means established within the exploration, not proven market truth.</w:t>
      </w:r>
    </w:p>
    <w:p>
      <w:pPr>
        <w:spacing w:before="120" w:after="160"/>
        <w:ind w:left="202" w:right="115"/>
        <w:shd w:fill="E8EEF5"/>
        <w:pBdr>
          <w:left w:val="single" w:sz="18" w:space="8" w:color="2E74B5"/>
        </w:pBdr>
      </w:pPr>
      <w:r>
        <w:rPr>
          <w:rFonts w:ascii="Calibri" w:hAnsi="Calibri"/>
          <w:b/>
          <w:color w:val="2E74B5"/>
          <w:sz w:val="19"/>
        </w:rPr>
        <w:t xml:space="preserve">EVIDENCE OR EXAMPLE  </w:t>
      </w:r>
      <w:r>
        <w:rPr>
          <w:rFonts w:ascii="Calibri" w:hAnsi="Calibri"/>
          <w:color w:val="203748"/>
          <w:sz w:val="21"/>
        </w:rPr>
        <w:t>A real observation, preference or example that informed the concept. One example can reveal a mechanism without proving repeatability.</w:t>
      </w:r>
    </w:p>
    <w:p>
      <w:pPr>
        <w:spacing w:before="120" w:after="160"/>
        <w:ind w:left="202" w:right="115"/>
        <w:shd w:fill="FFF5DF"/>
        <w:pBdr>
          <w:left w:val="single" w:sz="18" w:space="8" w:color="9A6700"/>
        </w:pBdr>
      </w:pPr>
      <w:r>
        <w:rPr>
          <w:rFonts w:ascii="Calibri" w:hAnsi="Calibri"/>
          <w:b/>
          <w:color w:val="9A6700"/>
          <w:sz w:val="19"/>
        </w:rPr>
        <w:t xml:space="preserve">WORKING HYPOTHESIS  </w:t>
      </w:r>
      <w:r>
        <w:rPr>
          <w:rFonts w:ascii="Calibri" w:hAnsi="Calibri"/>
          <w:color w:val="203748"/>
          <w:sz w:val="21"/>
        </w:rPr>
        <w:t>A plausible proposition that should guide testing but must be challenged and may change.</w:t>
      </w:r>
    </w:p>
    <w:p>
      <w:pPr>
        <w:spacing w:before="120" w:after="160"/>
        <w:ind w:left="202" w:right="115"/>
        <w:shd w:fill="FCEBEC"/>
        <w:pBdr>
          <w:left w:val="single" w:sz="18" w:space="8" w:color="A13B36"/>
        </w:pBdr>
      </w:pPr>
      <w:r>
        <w:rPr>
          <w:rFonts w:ascii="Calibri" w:hAnsi="Calibri"/>
          <w:b/>
          <w:color w:val="A13B36"/>
          <w:sz w:val="19"/>
        </w:rPr>
        <w:t xml:space="preserve">BOUNDARY  </w:t>
      </w:r>
      <w:r>
        <w:rPr>
          <w:rFonts w:ascii="Calibri" w:hAnsi="Calibri"/>
          <w:color w:val="203748"/>
          <w:sz w:val="21"/>
        </w:rPr>
        <w:t>A safety, ethical or professional constraint that should shape the service before any pilot begins.</w:t>
      </w:r>
    </w:p>
    <w:p>
      <w:pPr>
        <w:spacing w:before="120" w:after="160"/>
        <w:ind w:left="202" w:right="115"/>
        <w:shd w:fill="F2F4F7"/>
        <w:pBdr>
          <w:left w:val="single" w:sz="18" w:space="8" w:color="5F6B76"/>
        </w:pBdr>
      </w:pPr>
      <w:r>
        <w:rPr>
          <w:rFonts w:ascii="Calibri" w:hAnsi="Calibri"/>
          <w:b/>
          <w:color w:val="5F6B76"/>
          <w:sz w:val="19"/>
        </w:rPr>
        <w:t xml:space="preserve">UNKNOWN  </w:t>
      </w:r>
      <w:r>
        <w:rPr>
          <w:rFonts w:ascii="Calibri" w:hAnsi="Calibri"/>
          <w:color w:val="203748"/>
          <w:sz w:val="21"/>
        </w:rPr>
        <w:t>A material question that remains unanswered, especially demand, willingness to pay, effectiveness, duration and the most useful beachhead segment.</w:t>
      </w:r>
    </w:p>
    <w:p>
      <w:pPr>
        <w:pStyle w:val="Heading1"/>
      </w:pPr>
      <w:r>
        <w:t>Executive synthesis</w:t>
      </w:r>
    </w:p>
    <w:p>
      <w:pPr>
        <w:spacing w:before="120" w:after="160"/>
        <w:ind w:left="461" w:right="259"/>
        <w:shd w:fill="E8EEF5"/>
        <w:pBdr>
          <w:left w:val="single" w:sz="18" w:space="8" w:color="2E74B5"/>
        </w:pBdr>
      </w:pPr>
      <w:r>
        <w:rPr>
          <w:rFonts w:ascii="Calibri" w:hAnsi="Calibri"/>
          <w:i/>
          <w:color w:val="203748"/>
          <w:sz w:val="23"/>
        </w:rPr>
        <w:t>Help people who feel lost after major disruption rediscover who they are, understand what they genuinely want, and turn an overwhelming situation into a practical path towards a future they are excited to live.</w:t>
      </w:r>
      <w:r>
        <w:rPr>
          <w:rFonts w:ascii="Calibri" w:hAnsi="Calibri"/>
          <w:b/>
          <w:i w:val="0"/>
          <w:color w:val="5F6B76"/>
          <w:sz w:val="19"/>
        </w:rPr>
        <w:br/>
        <w:t>Current working purpose statement</w:t>
      </w:r>
    </w:p>
    <w:p>
      <w:pPr>
        <w:spacing w:before="120" w:after="160"/>
        <w:ind w:left="461" w:right="259"/>
        <w:shd w:fill="E8EEF5"/>
        <w:pBdr>
          <w:left w:val="single" w:sz="18" w:space="8" w:color="2E74B5"/>
        </w:pBdr>
      </w:pPr>
      <w:r>
        <w:rPr>
          <w:rFonts w:ascii="Calibri" w:hAnsi="Calibri"/>
          <w:i/>
          <w:color w:val="203748"/>
          <w:sz w:val="23"/>
        </w:rPr>
        <w:t>Learn what reliably creates that transformation through deep human work, then build systems that make it accessible to far more people.</w:t>
      </w:r>
      <w:r>
        <w:rPr>
          <w:rFonts w:ascii="Calibri" w:hAnsi="Calibri"/>
          <w:b/>
          <w:i w:val="0"/>
          <w:color w:val="5F6B76"/>
          <w:sz w:val="19"/>
        </w:rPr>
        <w:br/>
        <w:t>Longer-term purpose</w:t>
      </w:r>
    </w:p>
    <w:p>
      <w:r>
        <w:rPr>
          <w:rFonts w:ascii="Calibri" w:hAnsi="Calibri"/>
          <w:i w:val="0"/>
        </w:rPr>
        <w:t>The concept begins with Chris's central motivation: preventing unnecessary suffering. The positive expression of the same motivation is helping people recover hope, agency and excitement about their future. Emotional Life Support is the provisional name for a support system that combines emotional safety, deep listening, self-understanding, simplification, practical problem-solving, courage and action.</w:t>
      </w:r>
    </w:p>
    <w:p>
      <w:r>
        <w:rPr>
          <w:rFonts w:ascii="Calibri" w:hAnsi="Calibri"/>
          <w:i w:val="0"/>
        </w:rPr>
        <w:t>The current audience hypothesis is a person whose previous version of life has broken down after a major disruption. Separation or divorce may be the best initial learning environment, but it is not yet a fixed niche. The underlying condition may be broader: 'my old life no longer works and I do not know what comes next.'</w:t>
      </w:r>
    </w:p>
    <w:p>
      <w:r>
        <w:rPr>
          <w:rFonts w:ascii="Calibri" w:hAnsi="Calibri"/>
          <w:i w:val="0"/>
        </w:rPr>
        <w:t>The initial delivery hypothesis is a small, premium, high-touch one-to-one service used as unscalable research and development. Numbers such as four or five clients and approximately £1,000 per month were discussed as a way Chris might support himself while learning deeply; they are not validated prices, capacity limits or promises. The long-term architecture is to extract repeatable interventions and turn them into frameworks, exercises, assessments, workflows, AI tools, software, lower-cost products, groups, communities and potentially a methodology other practitioners can deliver.</w:t>
      </w:r>
    </w:p>
    <w:p>
      <w:pPr>
        <w:spacing w:before="120" w:after="160"/>
        <w:ind w:left="202" w:right="115"/>
        <w:shd w:fill="EAF3EF"/>
        <w:pBdr>
          <w:left w:val="single" w:sz="18" w:space="8" w:color="39735E"/>
        </w:pBdr>
      </w:pPr>
      <w:r>
        <w:rPr>
          <w:rFonts w:ascii="Calibri" w:hAnsi="Calibri"/>
          <w:b/>
          <w:color w:val="39735E"/>
          <w:sz w:val="19"/>
        </w:rPr>
        <w:t xml:space="preserve">CORE DESIGN PRINCIPLE  </w:t>
      </w:r>
      <w:r>
        <w:rPr>
          <w:rFonts w:ascii="Calibri" w:hAnsi="Calibri"/>
          <w:color w:val="203748"/>
          <w:sz w:val="21"/>
        </w:rPr>
        <w:t>Success should increase a person's capacity to navigate life, not create dependence on Chris or on the service.</w:t>
      </w:r>
    </w:p>
    <w:p>
      <w:pPr>
        <w:pStyle w:val="Heading1"/>
      </w:pPr>
      <w:r>
        <w:t>Contents</w:t>
      </w:r>
    </w:p>
    <w:p>
      <w:pPr>
        <w:spacing w:after="80" w:line="300" w:lineRule="auto"/>
        <w:numPr>
          <w:ilvl w:val="0"/>
          <w:numId w:val="10"/>
        </w:numPr>
      </w:pPr>
      <w:r>
        <w:rPr>
          <w:rFonts w:ascii="Calibri" w:hAnsi="Calibri"/>
        </w:rPr>
        <w:t>1. Where the concept came from</w:t>
      </w:r>
    </w:p>
    <w:p>
      <w:pPr>
        <w:spacing w:after="80" w:line="300" w:lineRule="auto"/>
        <w:numPr>
          <w:ilvl w:val="0"/>
          <w:numId w:val="10"/>
        </w:numPr>
      </w:pPr>
      <w:r>
        <w:rPr>
          <w:rFonts w:ascii="Calibri" w:hAnsi="Calibri"/>
        </w:rPr>
        <w:t>2. Motivation and the human problems that matter</w:t>
      </w:r>
    </w:p>
    <w:p>
      <w:pPr>
        <w:spacing w:after="80" w:line="300" w:lineRule="auto"/>
        <w:numPr>
          <w:ilvl w:val="0"/>
          <w:numId w:val="10"/>
        </w:numPr>
      </w:pPr>
      <w:r>
        <w:rPr>
          <w:rFonts w:ascii="Calibri" w:hAnsi="Calibri"/>
        </w:rPr>
        <w:t>3. Chris's distinctive strengths and the evidence behind them</w:t>
      </w:r>
    </w:p>
    <w:p>
      <w:pPr>
        <w:spacing w:after="80" w:line="300" w:lineRule="auto"/>
        <w:numPr>
          <w:ilvl w:val="0"/>
          <w:numId w:val="10"/>
        </w:numPr>
      </w:pPr>
      <w:r>
        <w:rPr>
          <w:rFonts w:ascii="Calibri" w:hAnsi="Calibri"/>
        </w:rPr>
        <w:t>4. The transformation Emotional Life Support is trying to create</w:t>
      </w:r>
    </w:p>
    <w:p>
      <w:pPr>
        <w:spacing w:after="80" w:line="300" w:lineRule="auto"/>
        <w:numPr>
          <w:ilvl w:val="0"/>
          <w:numId w:val="10"/>
        </w:numPr>
      </w:pPr>
      <w:r>
        <w:rPr>
          <w:rFonts w:ascii="Calibri" w:hAnsi="Calibri"/>
        </w:rPr>
        <w:t>5. Audience and beachhead hypotheses</w:t>
      </w:r>
    </w:p>
    <w:p>
      <w:pPr>
        <w:spacing w:after="80" w:line="300" w:lineRule="auto"/>
        <w:numPr>
          <w:ilvl w:val="0"/>
          <w:numId w:val="10"/>
        </w:numPr>
      </w:pPr>
      <w:r>
        <w:rPr>
          <w:rFonts w:ascii="Calibri" w:hAnsi="Calibri"/>
        </w:rPr>
        <w:t>6. The emerging Emotional Life Support process</w:t>
      </w:r>
    </w:p>
    <w:p>
      <w:pPr>
        <w:spacing w:after="80" w:line="300" w:lineRule="auto"/>
        <w:numPr>
          <w:ilvl w:val="0"/>
          <w:numId w:val="10"/>
        </w:numPr>
      </w:pPr>
      <w:r>
        <w:rPr>
          <w:rFonts w:ascii="Calibri" w:hAnsi="Calibri"/>
        </w:rPr>
        <w:t>7. Service scope, intensity and the agency principle</w:t>
      </w:r>
    </w:p>
    <w:p>
      <w:pPr>
        <w:spacing w:after="80" w:line="300" w:lineRule="auto"/>
        <w:numPr>
          <w:ilvl w:val="0"/>
          <w:numId w:val="10"/>
        </w:numPr>
      </w:pPr>
      <w:r>
        <w:rPr>
          <w:rFonts w:ascii="Calibri" w:hAnsi="Calibri"/>
        </w:rPr>
        <w:t>8. High-touch R&amp;D and the path to scale</w:t>
      </w:r>
    </w:p>
    <w:p>
      <w:pPr>
        <w:spacing w:after="80" w:line="300" w:lineRule="auto"/>
        <w:numPr>
          <w:ilvl w:val="0"/>
          <w:numId w:val="10"/>
        </w:numPr>
      </w:pPr>
      <w:r>
        <w:rPr>
          <w:rFonts w:ascii="Calibri" w:hAnsi="Calibri"/>
        </w:rPr>
        <w:t>9. AI-supported reflection and learning</w:t>
      </w:r>
    </w:p>
    <w:p>
      <w:pPr>
        <w:spacing w:after="80" w:line="300" w:lineRule="auto"/>
        <w:numPr>
          <w:ilvl w:val="0"/>
          <w:numId w:val="10"/>
        </w:numPr>
      </w:pPr>
      <w:r>
        <w:rPr>
          <w:rFonts w:ascii="Calibri" w:hAnsi="Calibri"/>
        </w:rPr>
        <w:t>10. Ethical, safeguarding and specialist boundaries</w:t>
      </w:r>
    </w:p>
    <w:p>
      <w:pPr>
        <w:spacing w:after="80" w:line="300" w:lineRule="auto"/>
        <w:numPr>
          <w:ilvl w:val="0"/>
          <w:numId w:val="10"/>
        </w:numPr>
      </w:pPr>
      <w:r>
        <w:rPr>
          <w:rFonts w:ascii="Calibri" w:hAnsi="Calibri"/>
        </w:rPr>
        <w:t>11. Brand, positioning and market-language implications</w:t>
      </w:r>
    </w:p>
    <w:p>
      <w:pPr>
        <w:spacing w:after="80" w:line="300" w:lineRule="auto"/>
        <w:numPr>
          <w:ilvl w:val="0"/>
          <w:numId w:val="10"/>
        </w:numPr>
      </w:pPr>
      <w:r>
        <w:rPr>
          <w:rFonts w:ascii="Calibri" w:hAnsi="Calibri"/>
        </w:rPr>
        <w:t>12. Assumption ledger and next-stage learning agenda</w:t>
      </w:r>
    </w:p>
    <w:p>
      <w:r>
        <w:br w:type="page"/>
      </w:r>
    </w:p>
    <w:p>
      <w:pPr>
        <w:pStyle w:val="Heading1"/>
      </w:pPr>
      <w:r>
        <w:t>1. Where the concept came from</w:t>
      </w:r>
    </w:p>
    <w:p>
      <w:pPr>
        <w:pStyle w:val="Heading2"/>
      </w:pPr>
      <w:r>
        <w:t>1.1 The exploration began with purpose, not a product</w:t>
      </w:r>
    </w:p>
    <w:p>
      <w:r>
        <w:rPr>
          <w:rFonts w:ascii="Calibri" w:hAnsi="Calibri"/>
          <w:i w:val="0"/>
        </w:rPr>
        <w:t>The original question was how to find Chris's Ikigai: the intersection of what he loves, what he is good at, what the world needs and what he could be paid for, with an additional filter of what gives him energy. The discussion did not begin with divorce coaching, a website or a predetermined business model. It began by ranking the kinds of activity that felt most alive and worthwhile.</w:t>
      </w:r>
    </w:p>
    <w:p>
      <w:r>
        <w:rPr>
          <w:rFonts w:ascii="Calibri" w:hAnsi="Calibri"/>
          <w:i w:val="0"/>
        </w:rPr>
        <w:t>Helping someone came first. Understanding people deeply and improving things followed. When asked what kind of helping mattered most, Chris refined the answer to 'preventing unnecessary suffering'. The word unnecessary is important: the goal is not to eliminate grief, challenge or all difficult emotion. It is to reduce suffering that could be eased by better understanding, support, confidence, clarity, choices, systems or timely action.</w:t>
      </w:r>
    </w:p>
    <w:p>
      <w:pPr>
        <w:pStyle w:val="Heading2"/>
      </w:pPr>
      <w:r>
        <w:t>1.2 The form of the work emerged as a progression</w:t>
      </w:r>
    </w:p>
    <w:p>
      <w:r>
        <w:rPr>
          <w:rFonts w:ascii="Calibri" w:hAnsi="Calibri"/>
          <w:i w:val="0"/>
        </w:rPr>
        <w:t>Chris was drawn both to helping one person deeply and to changing systems at scale. Rather than choosing between human work and scalable work, he described a progression: begin close to individuals, learn recurring patterns, build systems, and ultimately affect more people and perhaps underlying causes. The purpose can remain stable while the mechanism and scale evolve.</w:t>
      </w:r>
    </w:p>
    <w:p>
      <w:pPr>
        <w:spacing w:after="80" w:line="300" w:lineRule="auto"/>
        <w:numPr>
          <w:ilvl w:val="0"/>
          <w:numId w:val="11"/>
        </w:numPr>
      </w:pPr>
      <w:r>
        <w:rPr>
          <w:rFonts w:ascii="Calibri" w:hAnsi="Calibri"/>
          <w:b/>
        </w:rPr>
        <w:t xml:space="preserve">Near term: </w:t>
      </w:r>
      <w:r>
        <w:rPr>
          <w:rFonts w:ascii="Calibri" w:hAnsi="Calibri"/>
        </w:rPr>
        <w:t>help a small number of people directly and deeply enough to learn and potentially earn a sustainable living.</w:t>
      </w:r>
    </w:p>
    <w:p>
      <w:pPr>
        <w:spacing w:after="80" w:line="300" w:lineRule="auto"/>
        <w:numPr>
          <w:ilvl w:val="0"/>
          <w:numId w:val="11"/>
        </w:numPr>
      </w:pPr>
      <w:r>
        <w:rPr>
          <w:rFonts w:ascii="Calibri" w:hAnsi="Calibri"/>
          <w:b/>
        </w:rPr>
        <w:t xml:space="preserve">Learning phase: </w:t>
      </w:r>
      <w:r>
        <w:rPr>
          <w:rFonts w:ascii="Calibri" w:hAnsi="Calibri"/>
        </w:rPr>
        <w:t>observe which problems, questions and interventions repeatedly create useful change.</w:t>
      </w:r>
    </w:p>
    <w:p>
      <w:pPr>
        <w:spacing w:after="80" w:line="300" w:lineRule="auto"/>
        <w:numPr>
          <w:ilvl w:val="0"/>
          <w:numId w:val="11"/>
        </w:numPr>
      </w:pPr>
      <w:r>
        <w:rPr>
          <w:rFonts w:ascii="Calibri" w:hAnsi="Calibri"/>
          <w:b/>
        </w:rPr>
        <w:t xml:space="preserve">Systemisation: </w:t>
      </w:r>
      <w:r>
        <w:rPr>
          <w:rFonts w:ascii="Calibri" w:hAnsi="Calibri"/>
        </w:rPr>
        <w:t>turn repeatable elements into frameworks, workflows, tools, groups, products or technology.</w:t>
      </w:r>
    </w:p>
    <w:p>
      <w:pPr>
        <w:spacing w:after="80" w:line="300" w:lineRule="auto"/>
        <w:numPr>
          <w:ilvl w:val="0"/>
          <w:numId w:val="11"/>
        </w:numPr>
      </w:pPr>
      <w:r>
        <w:rPr>
          <w:rFonts w:ascii="Calibri" w:hAnsi="Calibri"/>
          <w:b/>
        </w:rPr>
        <w:t xml:space="preserve">Scale: </w:t>
      </w:r>
      <w:r>
        <w:rPr>
          <w:rFonts w:ascii="Calibri" w:hAnsi="Calibri"/>
        </w:rPr>
        <w:t>make effective support accessible without requiring Chris's time for every person.</w:t>
      </w:r>
    </w:p>
    <w:p>
      <w:pPr>
        <w:spacing w:after="80" w:line="300" w:lineRule="auto"/>
        <w:numPr>
          <w:ilvl w:val="0"/>
          <w:numId w:val="11"/>
        </w:numPr>
      </w:pPr>
      <w:r>
        <w:rPr>
          <w:rFonts w:ascii="Calibri" w:hAnsi="Calibri"/>
          <w:b/>
        </w:rPr>
        <w:t xml:space="preserve">Long horizon: </w:t>
      </w:r>
      <w:r>
        <w:rPr>
          <w:rFonts w:ascii="Calibri" w:hAnsi="Calibri"/>
        </w:rPr>
        <w:t>use accumulated evidence to address deeper causes of unnecessary suffering.</w:t>
      </w:r>
    </w:p>
    <w:p>
      <w:pPr>
        <w:spacing w:before="120" w:after="160"/>
        <w:ind w:left="202" w:right="115"/>
        <w:shd w:fill="E8EEF5"/>
        <w:pBdr>
          <w:left w:val="single" w:sz="18" w:space="8" w:color="2E74B5"/>
        </w:pBdr>
      </w:pPr>
      <w:r>
        <w:rPr>
          <w:rFonts w:ascii="Calibri" w:hAnsi="Calibri"/>
          <w:b/>
          <w:color w:val="2E74B5"/>
          <w:sz w:val="19"/>
        </w:rPr>
        <w:t xml:space="preserve">REASONING PRESERVED  </w:t>
      </w:r>
      <w:r>
        <w:rPr>
          <w:rFonts w:ascii="Calibri" w:hAnsi="Calibri"/>
          <w:color w:val="203748"/>
          <w:sz w:val="21"/>
        </w:rPr>
        <w:t>The scalable product is not meant to be invented in isolation. It should emerge from evidence generated by high-touch human work.</w:t>
      </w:r>
    </w:p>
    <w:p>
      <w:pPr>
        <w:pStyle w:val="Heading1"/>
      </w:pPr>
      <w:r>
        <w:t>2. Motivation and the human problems that matter</w:t>
      </w:r>
    </w:p>
    <w:p>
      <w:pPr>
        <w:pStyle w:val="Heading2"/>
      </w:pPr>
      <w:r>
        <w:t>2.1 Prevent unnecessary suffering; create hope</w:t>
      </w:r>
    </w:p>
    <w:p>
      <w:r>
        <w:rPr>
          <w:rFonts w:ascii="Calibri" w:hAnsi="Calibri"/>
          <w:i w:val="0"/>
        </w:rPr>
        <w:t>Two formulations repeatedly converged. 'Prevent unnecessary suffering' describes the moral motivation. 'Help people feel excited about the future and what it holds for them' describes the desired emotional destination. A connecting idea is helping someone build a life that feels worth living: not treating suicidality, but helping a person who feels lost, purposeless or trapped rediscover meaningful possibilities and act on them.</w:t>
      </w:r>
    </w:p>
    <w:p>
      <w:pPr>
        <w:spacing w:before="120" w:after="160"/>
        <w:ind w:left="461" w:right="259"/>
        <w:shd w:fill="E8EEF5"/>
        <w:pBdr>
          <w:left w:val="single" w:sz="18" w:space="8" w:color="2E74B5"/>
        </w:pBdr>
      </w:pPr>
      <w:r>
        <w:rPr>
          <w:rFonts w:ascii="Calibri" w:hAnsi="Calibri"/>
          <w:i/>
          <w:color w:val="203748"/>
          <w:sz w:val="23"/>
        </w:rPr>
        <w:t>I feel excited about the future and what it holds for me.</w:t>
      </w:r>
      <w:r>
        <w:rPr>
          <w:rFonts w:ascii="Calibri" w:hAnsi="Calibri"/>
          <w:b/>
          <w:i w:val="0"/>
          <w:color w:val="5F6B76"/>
          <w:sz w:val="19"/>
        </w:rPr>
        <w:br/>
        <w:t>The outcome Chris chose when asked what he most wanted a person to be able to say</w:t>
      </w:r>
    </w:p>
    <w:p>
      <w:pPr>
        <w:pStyle w:val="Heading2"/>
      </w:pPr>
      <w:r>
        <w:t>2.2 Confidence, self-esteem and the 'I'm not good enough' belief</w:t>
      </w:r>
    </w:p>
    <w:p>
      <w:r>
        <w:rPr>
          <w:rFonts w:ascii="Calibri" w:hAnsi="Calibri"/>
          <w:i w:val="0"/>
        </w:rPr>
        <w:t>Chris identified confidence and self-esteem as a form of unnecessary suffering that has affected him personally and appears to constrain many people. The underlying belief 'I'm not good enough' can operate consciously or subconsciously, narrowing choices, discouraging action and making other people's expectations more powerful than a person's own preferences.</w:t>
      </w:r>
    </w:p>
    <w:p>
      <w:r>
        <w:rPr>
          <w:rFonts w:ascii="Calibri" w:hAnsi="Calibri"/>
          <w:i w:val="0"/>
        </w:rPr>
        <w:t>This is an established area of motivation and lived familiarity. It is not yet established as the market category people would buy. The exploration suggested it may be a recurring mechanism inside the transformation: people may arrive because their life has fallen apart, then discover that identity, worth and confidence are part of rebuilding it.</w:t>
      </w:r>
    </w:p>
    <w:p>
      <w:pPr>
        <w:pStyle w:val="Heading2"/>
      </w:pPr>
      <w:r>
        <w:t>2.3 Self-understanding, authenticity and courage</w:t>
      </w:r>
    </w:p>
    <w:p>
      <w:r>
        <w:rPr>
          <w:rFonts w:ascii="Calibri" w:hAnsi="Calibri"/>
          <w:i w:val="0"/>
        </w:rPr>
        <w:t>Chris is interested in helping people distinguish what they genuinely want from what they have absorbed from family, partners, convention or fear of judgement. Self-understanding is not the end point. Once someone recognises what feels authentic, they may still need courage to choose it, communicate it and tolerate disapproval or uncertainty.</w:t>
      </w:r>
    </w:p>
    <w:p>
      <w:pPr>
        <w:pStyle w:val="Heading2"/>
      </w:pPr>
      <w:r>
        <w:t>2.4 Overwhelm and complexity</w:t>
      </w:r>
    </w:p>
    <w:p>
      <w:r>
        <w:rPr>
          <w:rFonts w:ascii="Calibri" w:hAnsi="Calibri"/>
          <w:i w:val="0"/>
        </w:rPr>
        <w:t>Overwhelm was initially described as a problem category and later as a state created or intensified by complexity. A life disruption can create multiple entangled emotional and practical problems. When the situation feels like one enormous life problem, action becomes difficult. Breaking it into smaller, intelligible pieces can reduce helplessness and make the next step possible.</w:t>
      </w:r>
    </w:p>
    <w:p>
      <w:pPr>
        <w:pStyle w:val="Heading2"/>
      </w:pPr>
      <w:r>
        <w:t>2.5 Purpose, hope and agency</w:t>
      </w:r>
    </w:p>
    <w:p>
      <w:r>
        <w:rPr>
          <w:rFonts w:ascii="Calibri" w:hAnsi="Calibri"/>
          <w:i w:val="0"/>
        </w:rPr>
        <w:t>Chris distinguished not seeing the point of one's current life from wanting to die. In his own experience, self-reflection and greater self-awareness helped him identify what he wanted and recover meaning. That experience informs the concept, but it also reinforces the need for careful risk boundaries: Emotional Life Support must never blur into unsupported treatment of severe depression or suicidal crisis.</w:t>
      </w:r>
    </w:p>
    <w:p>
      <w:pPr>
        <w:spacing w:before="120" w:after="160"/>
        <w:ind w:left="202" w:right="115"/>
        <w:shd w:fill="EAF3EF"/>
        <w:pBdr>
          <w:left w:val="single" w:sz="18" w:space="8" w:color="39735E"/>
        </w:pBdr>
      </w:pPr>
      <w:r>
        <w:rPr>
          <w:rFonts w:ascii="Calibri" w:hAnsi="Calibri"/>
          <w:b/>
          <w:color w:val="39735E"/>
          <w:sz w:val="19"/>
        </w:rPr>
        <w:t xml:space="preserve">ESTABLISHED INSIGHT  </w:t>
      </w:r>
      <w:r>
        <w:rPr>
          <w:rFonts w:ascii="Calibri" w:hAnsi="Calibri"/>
          <w:color w:val="203748"/>
          <w:sz w:val="21"/>
        </w:rPr>
        <w:t>The deeper objective is agency: helping a person understand themselves and their choices well enough to influence what happens next, while accepting what is outside their control.</w:t>
      </w:r>
    </w:p>
    <w:p>
      <w:pPr>
        <w:pStyle w:val="Heading1"/>
      </w:pPr>
      <w:r>
        <w:t>3. Chris's distinctive strengths and the evidence behind them</w:t>
      </w:r>
    </w:p>
    <w:p>
      <w:pPr>
        <w:pStyle w:val="Heading2"/>
      </w:pPr>
      <w:r>
        <w:t>3.1 Emotional safety and deep listening</w:t>
      </w:r>
    </w:p>
    <w:p>
      <w:r>
        <w:rPr>
          <w:rFonts w:ascii="Calibri" w:hAnsi="Calibri"/>
          <w:i w:val="0"/>
        </w:rPr>
        <w:t>Chris reported that people, including people he has only recently met, often feel able to disclose deeply personal things without feeling judged. In one example, another person shared something and then realised they had never told anyone before. This matters because practical help can only address the real problem when the person feels safe enough to reveal it.</w:t>
      </w:r>
    </w:p>
    <w:p>
      <w:pPr>
        <w:spacing w:before="120" w:after="160"/>
        <w:ind w:left="202" w:right="115"/>
        <w:shd w:fill="E8EEF5"/>
        <w:pBdr>
          <w:left w:val="single" w:sz="18" w:space="8" w:color="2E74B5"/>
        </w:pBdr>
      </w:pPr>
      <w:r>
        <w:rPr>
          <w:rFonts w:ascii="Calibri" w:hAnsi="Calibri"/>
          <w:b/>
          <w:color w:val="2E74B5"/>
          <w:sz w:val="19"/>
        </w:rPr>
        <w:t xml:space="preserve">EVIDENCE  </w:t>
      </w:r>
      <w:r>
        <w:rPr>
          <w:rFonts w:ascii="Calibri" w:hAnsi="Calibri"/>
          <w:color w:val="203748"/>
          <w:sz w:val="21"/>
        </w:rPr>
        <w:t>Another person's unexpected disclosure is behavioural evidence that Chris may create unusual emotional safety. It is promising but not a substitute for feedback across multiple helping relationships.</w:t>
      </w:r>
    </w:p>
    <w:p>
      <w:pPr>
        <w:pStyle w:val="Heading2"/>
      </w:pPr>
      <w:r>
        <w:t>3.2 Seeing and articulating the real problem</w:t>
      </w:r>
    </w:p>
    <w:p>
      <w:r>
        <w:rPr>
          <w:rFonts w:ascii="Calibri" w:hAnsi="Calibri"/>
          <w:i w:val="0"/>
        </w:rPr>
        <w:t>Deep listening is paired with curiosity and an instinct to identify what is actually happening beneath the first description. Chris is not only interested in empathic presence; he tries to put a vague or tangled problem into words that the other person recognises. That articulation can itself reduce distress and create choices.</w:t>
      </w:r>
    </w:p>
    <w:p>
      <w:pPr>
        <w:pStyle w:val="Heading2"/>
      </w:pPr>
      <w:r>
        <w:t>3.3 Simplifying complexity</w:t>
      </w:r>
    </w:p>
    <w:p>
      <w:r>
        <w:rPr>
          <w:rFonts w:ascii="Calibri" w:hAnsi="Calibri"/>
          <w:i w:val="0"/>
        </w:rPr>
        <w:t>Chris believes his own sensitivity to complexity and overwhelm has forced him to become good at making things easier to understand, process and solve. His natural sequence is to understand, simplify, prioritise, break down and make the next step manageable. In business contexts this becomes systems thinking; in personal contexts it can turn an overwhelming life situation into workable pieces.</w:t>
      </w:r>
    </w:p>
    <w:p>
      <w:pPr>
        <w:pStyle w:val="Heading2"/>
      </w:pPr>
      <w:r>
        <w:t>3.4 Practical problem-solving and systems thinking</w:t>
      </w:r>
    </w:p>
    <w:p>
      <w:r>
        <w:rPr>
          <w:rFonts w:ascii="Calibri" w:hAnsi="Calibri"/>
          <w:i w:val="0"/>
        </w:rPr>
        <w:t>The emerging distinction is 'human understanding plus practical systems thinking'. An emotionally perceptive listener can help someone feel seen without producing movement. A systems thinker can efficiently solve the wrong problem. Chris may be most useful in the bridge: creating enough safety and understanding to find the right problem, then designing practical ways to improve it.</w:t>
      </w:r>
    </w:p>
    <w:p>
      <w:pPr>
        <w:pStyle w:val="Heading2"/>
      </w:pPr>
      <w:r>
        <w:t>3.5 Outcome orientation</w:t>
      </w:r>
    </w:p>
    <w:p>
      <w:pPr>
        <w:spacing w:before="120" w:after="160"/>
        <w:ind w:left="461" w:right="259"/>
        <w:shd w:fill="E8EEF5"/>
        <w:pBdr>
          <w:left w:val="single" w:sz="18" w:space="8" w:color="2E74B5"/>
        </w:pBdr>
      </w:pPr>
      <w:r>
        <w:rPr>
          <w:rFonts w:ascii="Calibri" w:hAnsi="Calibri"/>
          <w:i/>
          <w:color w:val="203748"/>
          <w:sz w:val="23"/>
        </w:rPr>
        <w:t>I actually did what we talked about, and my life is better because of it.</w:t>
      </w:r>
      <w:r>
        <w:rPr>
          <w:rFonts w:ascii="Calibri" w:hAnsi="Calibri"/>
          <w:b/>
          <w:i w:val="0"/>
          <w:color w:val="5F6B76"/>
          <w:sz w:val="19"/>
        </w:rPr>
        <w:br/>
        <w:t>The outcome Chris ranked above a good conversation, insight or plan</w:t>
      </w:r>
    </w:p>
    <w:p>
      <w:r>
        <w:rPr>
          <w:rFonts w:ascii="Calibri" w:hAnsi="Calibri"/>
          <w:i w:val="0"/>
        </w:rPr>
        <w:t>Chris enjoys discovery, diagnosis, simplification, possibilities, problem-solving and implementation, but the reward is whether something important in the person's life actually improved. This produces an important standard: good conversations are insufficient if insight never becomes action or life change.</w:t>
      </w:r>
    </w:p>
    <w:p>
      <w:pPr>
        <w:spacing w:before="120" w:after="160"/>
        <w:ind w:left="202" w:right="115"/>
        <w:shd w:fill="FCEBEC"/>
        <w:pBdr>
          <w:left w:val="single" w:sz="18" w:space="8" w:color="A13B36"/>
        </w:pBdr>
      </w:pPr>
      <w:r>
        <w:rPr>
          <w:rFonts w:ascii="Calibri" w:hAnsi="Calibri"/>
          <w:b/>
          <w:color w:val="A13B36"/>
          <w:sz w:val="19"/>
        </w:rPr>
        <w:t xml:space="preserve">BOUNDARY ON OWNERSHIP  </w:t>
      </w:r>
      <w:r>
        <w:rPr>
          <w:rFonts w:ascii="Calibri" w:hAnsi="Calibri"/>
          <w:color w:val="203748"/>
          <w:sz w:val="21"/>
        </w:rPr>
        <w:t>Outcome orientation must not become responsibility for controlling another adult's choices. Resistance may reveal that a goal is not genuinely theirs, that they are not ready, or that the cost is too high. Chris can support clarity and action without owning the outcome.</w:t>
      </w:r>
    </w:p>
    <w:p>
      <w:pPr>
        <w:pStyle w:val="Heading1"/>
      </w:pPr>
      <w:r>
        <w:t>4. The transformation Emotional Life Support is trying to create</w:t>
      </w:r>
    </w:p>
    <w:p>
      <w:pPr>
        <w:pStyle w:val="Heading2"/>
      </w:pPr>
      <w:r>
        <w:t>4.1 The relocation conversation: a real example</w:t>
      </w:r>
    </w:p>
    <w:p>
      <w:r>
        <w:rPr>
          <w:rFonts w:ascii="Calibri" w:hAnsi="Calibri"/>
          <w:i w:val="0"/>
        </w:rPr>
        <w:t>A person Chris knew was distressed about the possibility of relocating because they were unhappy where they were living. They were struggling to articulate the problem and were close to tears. Chris listened, helped put the real problem into words and acted as a sparring partner while they explored possible solutions. By the end, the person was smiling and describing excitement about the adventure ahead.</w:t>
      </w:r>
    </w:p>
    <w:p>
      <w:r>
        <w:rPr>
          <w:rFonts w:ascii="Calibri" w:hAnsi="Calibri"/>
          <w:i w:val="0"/>
        </w:rPr>
        <w:t>The example matters because the desired transformation appeared naturally before a formal method had been designed. The movement was not merely from 'no plan' to 'plan'. It was from distress and overwhelm, through being understood and clarifying the real problem, to possibilities, direction, hope and excitement. Chris also noticed the need to continue beyond the conversation through planning, action and accountability so the imagined future would not remain a plan in a drawer.</w:t>
      </w:r>
    </w:p>
    <w:p>
      <w:pPr>
        <w:spacing w:after="80" w:line="300" w:lineRule="auto"/>
        <w:numPr>
          <w:ilvl w:val="0"/>
          <w:numId w:val="12"/>
        </w:numPr>
      </w:pPr>
      <w:r>
        <w:rPr>
          <w:rFonts w:ascii="Calibri" w:hAnsi="Calibri"/>
        </w:rPr>
        <w:t>Distress and overwhelm</w:t>
      </w:r>
    </w:p>
    <w:p>
      <w:pPr>
        <w:spacing w:after="80" w:line="300" w:lineRule="auto"/>
        <w:numPr>
          <w:ilvl w:val="0"/>
          <w:numId w:val="12"/>
        </w:numPr>
      </w:pPr>
      <w:r>
        <w:rPr>
          <w:rFonts w:ascii="Calibri" w:hAnsi="Calibri"/>
        </w:rPr>
        <w:t>Feeling emotionally safe and understood</w:t>
      </w:r>
    </w:p>
    <w:p>
      <w:pPr>
        <w:spacing w:after="80" w:line="300" w:lineRule="auto"/>
        <w:numPr>
          <w:ilvl w:val="0"/>
          <w:numId w:val="12"/>
        </w:numPr>
      </w:pPr>
      <w:r>
        <w:rPr>
          <w:rFonts w:ascii="Calibri" w:hAnsi="Calibri"/>
        </w:rPr>
        <w:t>Putting the real problem into words</w:t>
      </w:r>
    </w:p>
    <w:p>
      <w:pPr>
        <w:spacing w:after="80" w:line="300" w:lineRule="auto"/>
        <w:numPr>
          <w:ilvl w:val="0"/>
          <w:numId w:val="12"/>
        </w:numPr>
      </w:pPr>
      <w:r>
        <w:rPr>
          <w:rFonts w:ascii="Calibri" w:hAnsi="Calibri"/>
        </w:rPr>
        <w:t>Separating the problem into addressable parts</w:t>
      </w:r>
    </w:p>
    <w:p>
      <w:pPr>
        <w:spacing w:after="80" w:line="300" w:lineRule="auto"/>
        <w:numPr>
          <w:ilvl w:val="0"/>
          <w:numId w:val="12"/>
        </w:numPr>
      </w:pPr>
      <w:r>
        <w:rPr>
          <w:rFonts w:ascii="Calibri" w:hAnsi="Calibri"/>
        </w:rPr>
        <w:t>Exploring possibilities and solutions</w:t>
      </w:r>
    </w:p>
    <w:p>
      <w:pPr>
        <w:spacing w:after="80" w:line="300" w:lineRule="auto"/>
        <w:numPr>
          <w:ilvl w:val="0"/>
          <w:numId w:val="12"/>
        </w:numPr>
      </w:pPr>
      <w:r>
        <w:rPr>
          <w:rFonts w:ascii="Calibri" w:hAnsi="Calibri"/>
        </w:rPr>
        <w:t>Seeing a future worth moving towards</w:t>
      </w:r>
    </w:p>
    <w:p>
      <w:pPr>
        <w:spacing w:after="80" w:line="300" w:lineRule="auto"/>
        <w:numPr>
          <w:ilvl w:val="0"/>
          <w:numId w:val="12"/>
        </w:numPr>
      </w:pPr>
      <w:r>
        <w:rPr>
          <w:rFonts w:ascii="Calibri" w:hAnsi="Calibri"/>
        </w:rPr>
        <w:t>Recovering hope and excitement</w:t>
      </w:r>
    </w:p>
    <w:p>
      <w:pPr>
        <w:spacing w:after="80" w:line="300" w:lineRule="auto"/>
        <w:numPr>
          <w:ilvl w:val="0"/>
          <w:numId w:val="12"/>
        </w:numPr>
      </w:pPr>
      <w:r>
        <w:rPr>
          <w:rFonts w:ascii="Calibri" w:hAnsi="Calibri"/>
        </w:rPr>
        <w:t>Turning direction into action and sustained change</w:t>
      </w:r>
    </w:p>
    <w:p>
      <w:pPr>
        <w:spacing w:before="120" w:after="160"/>
        <w:ind w:left="202" w:right="115"/>
        <w:shd w:fill="E8EEF5"/>
        <w:pBdr>
          <w:left w:val="single" w:sz="18" w:space="8" w:color="2E74B5"/>
        </w:pBdr>
      </w:pPr>
      <w:r>
        <w:rPr>
          <w:rFonts w:ascii="Calibri" w:hAnsi="Calibri"/>
          <w:b/>
          <w:color w:val="2E74B5"/>
          <w:sz w:val="19"/>
        </w:rPr>
        <w:t xml:space="preserve">INTERPRETATION  </w:t>
      </w:r>
      <w:r>
        <w:rPr>
          <w:rFonts w:ascii="Calibri" w:hAnsi="Calibri"/>
          <w:color w:val="203748"/>
          <w:sz w:val="21"/>
        </w:rPr>
        <w:t>This example supports the plausibility of the mechanism and Chris's fit with the work. It does not establish a repeatable method, a durable outcome or commercial demand.</w:t>
      </w:r>
    </w:p>
    <w:p>
      <w:pPr>
        <w:pStyle w:val="Heading2"/>
      </w:pPr>
      <w:r>
        <w:t>4.2 The working before-and-after</w:t>
      </w:r>
    </w:p>
    <w:tbl>
      <w:tblPr>
        <w:tblStyle w:val="TableGrid"/>
        <w:tblW w:type="dxa" w:w="9360"/>
        <w:tblLayout w:type="fixed"/>
        <w:tblLook w:firstColumn="1" w:firstRow="1" w:lastColumn="0" w:lastRow="0" w:noHBand="0" w:noVBand="1" w:val="04A0"/>
        <w:tblLayout w:type="fixed"/>
        <w:tblInd w:w="120" w:type="dxa"/>
      </w:tblPr>
      <w:tblGrid>
        <w:gridCol w:w="4680"/>
        <w:gridCol w:w="4680"/>
      </w:tblGrid>
      <w:tr>
        <w:trPr>
          <w:tblHeader w:val="true"/>
          <w:cantSplit/>
        </w:trPr>
        <w:tc>
          <w:tcPr>
            <w:tcW w:type="dxa" w:w="468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Starting experience</w:t>
            </w:r>
          </w:p>
        </w:tc>
        <w:tc>
          <w:tcPr>
            <w:tcW w:type="dxa" w:w="468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Desired transformation</w:t>
            </w:r>
          </w:p>
        </w:tc>
      </w:tr>
      <w:tr>
        <w:trPr>
          <w:cantSplit/>
        </w:trPr>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My old life does not work and I do not know what comes next.</w:t>
            </w:r>
          </w:p>
        </w:tc>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understand who I am now and what matters to me.</w:t>
            </w:r>
          </w:p>
        </w:tc>
      </w:tr>
      <w:tr>
        <w:trPr>
          <w:cantSplit/>
        </w:trPr>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feel lost, overwhelmed and helpless.</w:t>
            </w:r>
          </w:p>
        </w:tc>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can distinguish what I can influence and see manageable choices.</w:t>
            </w:r>
          </w:p>
        </w:tc>
      </w:tr>
      <w:tr>
        <w:trPr>
          <w:cantSplit/>
        </w:trPr>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cannot imagine a future I want.</w:t>
            </w:r>
          </w:p>
        </w:tc>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have a credible future vision that feels like mine.</w:t>
            </w:r>
          </w:p>
        </w:tc>
      </w:tr>
      <w:tr>
        <w:trPr>
          <w:cantSplit/>
        </w:trPr>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do not believe I am good enough or capable.</w:t>
            </w:r>
          </w:p>
        </w:tc>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have growing self-worth, confidence and courage.</w:t>
            </w:r>
          </w:p>
        </w:tc>
      </w:tr>
      <w:tr>
        <w:trPr>
          <w:cantSplit/>
        </w:trPr>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Everything is tangled and urgent.</w:t>
            </w:r>
          </w:p>
        </w:tc>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The situation is organised into priorities, decisions and next actions.</w:t>
            </w:r>
          </w:p>
        </w:tc>
      </w:tr>
      <w:tr>
        <w:trPr>
          <w:cantSplit/>
        </w:trPr>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am reacting to life.</w:t>
            </w:r>
          </w:p>
        </w:tc>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have hope, agency, support and practical momentum.</w:t>
            </w:r>
          </w:p>
        </w:tc>
      </w:tr>
      <w:tr>
        <w:trPr>
          <w:cantSplit/>
        </w:trPr>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have a plan but do not act.</w:t>
            </w:r>
          </w:p>
        </w:tc>
        <w:tc>
          <w:tcPr>
            <w:tcW w:type="dxa" w:w="4680"/>
            <w:vAlign w:val="center"/>
            <w:tcMar>
              <w:top w:w="100" w:type="dxa"/>
              <w:bottom w:w="100" w:type="dxa"/>
              <w:start w:w="120" w:type="dxa"/>
              <w:end w:w="120" w:type="dxa"/>
            </w:tcMar>
          </w:tcPr>
          <w:p>
            <w:pPr>
              <w:spacing w:before="40" w:after="40" w:line="276" w:lineRule="auto"/>
            </w:pPr>
            <w:r>
              <w:rPr>
                <w:rFonts w:ascii="Calibri" w:hAnsi="Calibri"/>
                <w:b w:val="0"/>
                <w:sz w:val="19"/>
              </w:rPr>
              <w:t>I take meaningful steps, learn and adapt.</w:t>
            </w:r>
          </w:p>
        </w:tc>
      </w:tr>
    </w:tbl>
    <w:p>
      <w:pPr>
        <w:spacing w:after="40"/>
      </w:pPr>
    </w:p>
    <w:p>
      <w:pPr>
        <w:pStyle w:val="Heading2"/>
      </w:pPr>
      <w:r>
        <w:t>4.3 Self, future and action</w:t>
      </w:r>
    </w:p>
    <w:p>
      <w:pPr>
        <w:spacing w:after="80" w:line="300" w:lineRule="auto"/>
        <w:numPr>
          <w:ilvl w:val="0"/>
          <w:numId w:val="13"/>
        </w:numPr>
      </w:pPr>
      <w:r>
        <w:rPr>
          <w:rFonts w:ascii="Calibri" w:hAnsi="Calibri"/>
          <w:b/>
        </w:rPr>
        <w:t xml:space="preserve">Self: </w:t>
      </w:r>
      <w:r>
        <w:rPr>
          <w:rFonts w:ascii="Calibri" w:hAnsi="Calibri"/>
        </w:rPr>
        <w:t>Who am I now? What matters to me? What do I genuinely want, rather than what I have been conditioned to want?</w:t>
      </w:r>
    </w:p>
    <w:p>
      <w:pPr>
        <w:spacing w:after="80" w:line="300" w:lineRule="auto"/>
        <w:numPr>
          <w:ilvl w:val="0"/>
          <w:numId w:val="13"/>
        </w:numPr>
      </w:pPr>
      <w:r>
        <w:rPr>
          <w:rFonts w:ascii="Calibri" w:hAnsi="Calibri"/>
          <w:b/>
        </w:rPr>
        <w:t xml:space="preserve">Future: </w:t>
      </w:r>
      <w:r>
        <w:rPr>
          <w:rFonts w:ascii="Calibri" w:hAnsi="Calibri"/>
        </w:rPr>
        <w:t>What could a life that feels authentically mine look like? Which possibilities create energy and hope?</w:t>
      </w:r>
    </w:p>
    <w:p>
      <w:pPr>
        <w:spacing w:after="80" w:line="300" w:lineRule="auto"/>
        <w:numPr>
          <w:ilvl w:val="0"/>
          <w:numId w:val="13"/>
        </w:numPr>
      </w:pPr>
      <w:r>
        <w:rPr>
          <w:rFonts w:ascii="Calibri" w:hAnsi="Calibri"/>
          <w:b/>
        </w:rPr>
        <w:t xml:space="preserve">Action: </w:t>
      </w:r>
      <w:r>
        <w:rPr>
          <w:rFonts w:ascii="Calibri" w:hAnsi="Calibri"/>
        </w:rPr>
        <w:t>What is stopping me? What can and cannot change? How do we reduce overwhelm and begin moving?</w:t>
      </w:r>
    </w:p>
    <w:p>
      <w:pPr>
        <w:pStyle w:val="Heading1"/>
      </w:pPr>
      <w:r>
        <w:t>5. Audience and beachhead hypotheses</w:t>
      </w:r>
    </w:p>
    <w:p>
      <w:pPr>
        <w:pStyle w:val="Heading2"/>
      </w:pPr>
      <w:r>
        <w:t>5.1 The underlying state</w:t>
      </w:r>
    </w:p>
    <w:p>
      <w:r>
        <w:rPr>
          <w:rFonts w:ascii="Calibri" w:hAnsi="Calibri"/>
          <w:i w:val="0"/>
        </w:rPr>
        <w:t>The strongest current audience hypothesis is not a demographic. It is a state created by major disruption: the old structure of a person's life has broken down and the next version has not yet been built. Identity, confidence, direction, routines, relationships, purpose and hope may all be unsettled at once.</w:t>
      </w:r>
    </w:p>
    <w:p>
      <w:pPr>
        <w:spacing w:before="120" w:after="160"/>
        <w:ind w:left="461" w:right="259"/>
        <w:shd w:fill="E8EEF5"/>
        <w:pBdr>
          <w:left w:val="single" w:sz="18" w:space="8" w:color="2E74B5"/>
        </w:pBdr>
      </w:pPr>
      <w:r>
        <w:rPr>
          <w:rFonts w:ascii="Calibri" w:hAnsi="Calibri"/>
          <w:i/>
          <w:color w:val="203748"/>
          <w:sz w:val="23"/>
        </w:rPr>
        <w:t>My old life has fallen apart and I don't know what comes next.</w:t>
      </w:r>
      <w:r>
        <w:rPr>
          <w:rFonts w:ascii="Calibri" w:hAnsi="Calibri"/>
          <w:b/>
          <w:i w:val="0"/>
          <w:color w:val="5F6B76"/>
          <w:sz w:val="19"/>
        </w:rPr>
        <w:br/>
        <w:t>Current shorthand for the recognisable starting state</w:t>
      </w:r>
    </w:p>
    <w:p>
      <w:pPr>
        <w:pStyle w:val="Heading2"/>
      </w:pPr>
      <w:r>
        <w:t>5.2 Events that may produce this state</w:t>
      </w:r>
    </w:p>
    <w:p>
      <w:pPr>
        <w:spacing w:after="80" w:line="300" w:lineRule="auto"/>
        <w:numPr>
          <w:ilvl w:val="0"/>
          <w:numId w:val="14"/>
        </w:numPr>
      </w:pPr>
      <w:r>
        <w:rPr>
          <w:rFonts w:ascii="Calibri" w:hAnsi="Calibri"/>
        </w:rPr>
        <w:t>separation or divorce</w:t>
      </w:r>
    </w:p>
    <w:p>
      <w:pPr>
        <w:spacing w:after="80" w:line="300" w:lineRule="auto"/>
        <w:numPr>
          <w:ilvl w:val="0"/>
          <w:numId w:val="14"/>
        </w:numPr>
      </w:pPr>
      <w:r>
        <w:rPr>
          <w:rFonts w:ascii="Calibri" w:hAnsi="Calibri"/>
        </w:rPr>
        <w:t>leaving a toxic or abusive relationship</w:t>
      </w:r>
    </w:p>
    <w:p>
      <w:pPr>
        <w:spacing w:after="80" w:line="300" w:lineRule="auto"/>
        <w:numPr>
          <w:ilvl w:val="0"/>
          <w:numId w:val="14"/>
        </w:numPr>
      </w:pPr>
      <w:r>
        <w:rPr>
          <w:rFonts w:ascii="Calibri" w:hAnsi="Calibri"/>
        </w:rPr>
        <w:t>serious illness or a major change in health</w:t>
      </w:r>
    </w:p>
    <w:p>
      <w:pPr>
        <w:spacing w:after="80" w:line="300" w:lineRule="auto"/>
        <w:numPr>
          <w:ilvl w:val="0"/>
          <w:numId w:val="14"/>
        </w:numPr>
      </w:pPr>
      <w:r>
        <w:rPr>
          <w:rFonts w:ascii="Calibri" w:hAnsi="Calibri"/>
        </w:rPr>
        <w:t>redundancy, career loss or business failure</w:t>
      </w:r>
    </w:p>
    <w:p>
      <w:pPr>
        <w:spacing w:after="80" w:line="300" w:lineRule="auto"/>
        <w:numPr>
          <w:ilvl w:val="0"/>
          <w:numId w:val="14"/>
        </w:numPr>
      </w:pPr>
      <w:r>
        <w:rPr>
          <w:rFonts w:ascii="Calibri" w:hAnsi="Calibri"/>
        </w:rPr>
        <w:t>burnout</w:t>
      </w:r>
    </w:p>
    <w:p>
      <w:pPr>
        <w:spacing w:after="80" w:line="300" w:lineRule="auto"/>
        <w:numPr>
          <w:ilvl w:val="0"/>
          <w:numId w:val="14"/>
        </w:numPr>
      </w:pPr>
      <w:r>
        <w:rPr>
          <w:rFonts w:ascii="Calibri" w:hAnsi="Calibri"/>
        </w:rPr>
        <w:t>bereavement, children leaving home or another identity-changing transition</w:t>
      </w:r>
    </w:p>
    <w:p>
      <w:pPr>
        <w:pStyle w:val="Heading2"/>
      </w:pPr>
      <w:r>
        <w:t>5.3 Separation or divorce as a possible beachhead</w:t>
      </w:r>
    </w:p>
    <w:p>
      <w:r>
        <w:rPr>
          <w:rFonts w:ascii="Calibri" w:hAnsi="Calibri"/>
          <w:i w:val="0"/>
        </w:rPr>
        <w:t>Separation and divorce may be a useful starting segment because the pain is acute, the before-and-after is obvious, multiple practical and emotional jobs collide, and people already seek help from coaches, therapists, solicitors, advisers, friends and online communities. Chris also feels personally drawn to the loss of self that can follow toxic or abusive relationships.</w:t>
      </w:r>
    </w:p>
    <w:p>
      <w:pPr>
        <w:spacing w:before="120" w:after="160"/>
        <w:ind w:left="202" w:right="115"/>
        <w:shd w:fill="FFF5DF"/>
        <w:pBdr>
          <w:left w:val="single" w:sz="18" w:space="8" w:color="9A6700"/>
        </w:pBdr>
      </w:pPr>
      <w:r>
        <w:rPr>
          <w:rFonts w:ascii="Calibri" w:hAnsi="Calibri"/>
          <w:b/>
          <w:color w:val="9A6700"/>
          <w:sz w:val="19"/>
        </w:rPr>
        <w:t xml:space="preserve">WORKING HYPOTHESIS  </w:t>
      </w:r>
      <w:r>
        <w:rPr>
          <w:rFonts w:ascii="Calibri" w:hAnsi="Calibri"/>
          <w:color w:val="203748"/>
          <w:sz w:val="21"/>
        </w:rPr>
        <w:t>Use separation or divorce as a focused initial laboratory or beachhead, not as a permanent identity. Test whether the deeper category is rebuilding life after disruption.</w:t>
      </w:r>
    </w:p>
    <w:p>
      <w:pPr>
        <w:pStyle w:val="Heading2"/>
      </w:pPr>
      <w:r>
        <w:t>5.4 What must not be assumed</w:t>
      </w:r>
    </w:p>
    <w:p>
      <w:pPr>
        <w:spacing w:after="80" w:line="300" w:lineRule="auto"/>
        <w:numPr>
          <w:ilvl w:val="0"/>
          <w:numId w:val="15"/>
        </w:numPr>
      </w:pPr>
      <w:r>
        <w:rPr>
          <w:rFonts w:ascii="Calibri" w:hAnsi="Calibri"/>
        </w:rPr>
        <w:t>That divorce is the highest-need or highest-willingness-to-pay segment.</w:t>
      </w:r>
    </w:p>
    <w:p>
      <w:pPr>
        <w:spacing w:after="80" w:line="300" w:lineRule="auto"/>
        <w:numPr>
          <w:ilvl w:val="0"/>
          <w:numId w:val="15"/>
        </w:numPr>
      </w:pPr>
      <w:r>
        <w:rPr>
          <w:rFonts w:ascii="Calibri" w:hAnsi="Calibri"/>
        </w:rPr>
        <w:t>That people in acute disruption want a broad life-rebuilding service rather than a narrower solution.</w:t>
      </w:r>
    </w:p>
    <w:p>
      <w:pPr>
        <w:spacing w:after="80" w:line="300" w:lineRule="auto"/>
        <w:numPr>
          <w:ilvl w:val="0"/>
          <w:numId w:val="15"/>
        </w:numPr>
      </w:pPr>
      <w:r>
        <w:rPr>
          <w:rFonts w:ascii="Calibri" w:hAnsi="Calibri"/>
        </w:rPr>
        <w:t>That Chris's own experience generalises to other people's needs.</w:t>
      </w:r>
    </w:p>
    <w:p>
      <w:pPr>
        <w:spacing w:after="80" w:line="300" w:lineRule="auto"/>
        <w:numPr>
          <w:ilvl w:val="0"/>
          <w:numId w:val="15"/>
        </w:numPr>
      </w:pPr>
      <w:r>
        <w:rPr>
          <w:rFonts w:ascii="Calibri" w:hAnsi="Calibri"/>
        </w:rPr>
        <w:t>That a single method will work across separation, illness, redundancy and burnout.</w:t>
      </w:r>
    </w:p>
    <w:p>
      <w:pPr>
        <w:spacing w:after="80" w:line="300" w:lineRule="auto"/>
        <w:numPr>
          <w:ilvl w:val="0"/>
          <w:numId w:val="15"/>
        </w:numPr>
      </w:pPr>
      <w:r>
        <w:rPr>
          <w:rFonts w:ascii="Calibri" w:hAnsi="Calibri"/>
        </w:rPr>
        <w:t>That the buyer and the person receiving support are always the same.</w:t>
      </w:r>
    </w:p>
    <w:p>
      <w:pPr>
        <w:spacing w:after="80" w:line="300" w:lineRule="auto"/>
        <w:numPr>
          <w:ilvl w:val="0"/>
          <w:numId w:val="15"/>
        </w:numPr>
      </w:pPr>
      <w:r>
        <w:rPr>
          <w:rFonts w:ascii="Calibri" w:hAnsi="Calibri"/>
        </w:rPr>
        <w:t>That people will understand or trust the phrase Emotional Life Support without explanation.</w:t>
      </w:r>
    </w:p>
    <w:p>
      <w:pPr>
        <w:pStyle w:val="Heading1"/>
      </w:pPr>
      <w:r>
        <w:t>6. The emerging Emotional Life Support process</w:t>
      </w:r>
    </w:p>
    <w:p>
      <w:r>
        <w:rPr>
          <w:rFonts w:ascii="Calibri" w:hAnsi="Calibri"/>
          <w:i w:val="0"/>
        </w:rPr>
        <w:t>The Serenity Prayer, translated into secular language, became a practical organising principle: accept what cannot be changed, develop the courage to change what can be changed, and cultivate the wisdom to know the difference. Chris added self-understanding and action: know what you genuinely want, decide what to do about the controllable parts, and build the courage and practical means to act.</w:t>
      </w:r>
    </w:p>
    <w:p>
      <w:pPr>
        <w:spacing w:after="80" w:line="300" w:lineRule="auto"/>
        <w:numPr>
          <w:ilvl w:val="0"/>
          <w:numId w:val="16"/>
        </w:numPr>
      </w:pPr>
      <w:r>
        <w:rPr>
          <w:rFonts w:ascii="Calibri" w:hAnsi="Calibri"/>
          <w:b/>
        </w:rPr>
        <w:t xml:space="preserve">Process emotions. </w:t>
      </w:r>
      <w:r>
        <w:rPr>
          <w:rFonts w:ascii="Calibri" w:hAnsi="Calibri"/>
        </w:rPr>
        <w:t>Create enough emotional safety for the person to express and understand what they are feeling. Do not rush into solving before they feel heard or regulated enough to think.</w:t>
      </w:r>
    </w:p>
    <w:p>
      <w:pPr>
        <w:spacing w:after="80" w:line="300" w:lineRule="auto"/>
        <w:numPr>
          <w:ilvl w:val="0"/>
          <w:numId w:val="16"/>
        </w:numPr>
      </w:pPr>
      <w:r>
        <w:rPr>
          <w:rFonts w:ascii="Calibri" w:hAnsi="Calibri"/>
          <w:b/>
        </w:rPr>
        <w:t xml:space="preserve">Understand what is happening. </w:t>
      </w:r>
      <w:r>
        <w:rPr>
          <w:rFonts w:ascii="Calibri" w:hAnsi="Calibri"/>
        </w:rPr>
        <w:t>Separate facts, interpretations, fears, assumptions, needs and emotions. Put the real problem into language the person recognises.</w:t>
      </w:r>
    </w:p>
    <w:p>
      <w:pPr>
        <w:spacing w:after="80" w:line="300" w:lineRule="auto"/>
        <w:numPr>
          <w:ilvl w:val="0"/>
          <w:numId w:val="16"/>
        </w:numPr>
      </w:pPr>
      <w:r>
        <w:rPr>
          <w:rFonts w:ascii="Calibri" w:hAnsi="Calibri"/>
          <w:b/>
        </w:rPr>
        <w:t xml:space="preserve">Distinguish control. </w:t>
      </w:r>
      <w:r>
        <w:rPr>
          <w:rFonts w:ascii="Calibri" w:hAnsi="Calibri"/>
        </w:rPr>
        <w:t>Identify what cannot be changed, what can be influenced, and where uncertainty remains.</w:t>
      </w:r>
    </w:p>
    <w:p>
      <w:pPr>
        <w:spacing w:after="80" w:line="300" w:lineRule="auto"/>
        <w:numPr>
          <w:ilvl w:val="0"/>
          <w:numId w:val="16"/>
        </w:numPr>
      </w:pPr>
      <w:r>
        <w:rPr>
          <w:rFonts w:ascii="Calibri" w:hAnsi="Calibri"/>
          <w:b/>
        </w:rPr>
        <w:t xml:space="preserve">Accept what cannot be changed. </w:t>
      </w:r>
      <w:r>
        <w:rPr>
          <w:rFonts w:ascii="Calibri" w:hAnsi="Calibri"/>
        </w:rPr>
        <w:t>Support grief, adjustment and a workable relationship with reality without pretending control exists.</w:t>
      </w:r>
    </w:p>
    <w:p>
      <w:pPr>
        <w:spacing w:after="80" w:line="300" w:lineRule="auto"/>
        <w:numPr>
          <w:ilvl w:val="0"/>
          <w:numId w:val="16"/>
        </w:numPr>
      </w:pPr>
      <w:r>
        <w:rPr>
          <w:rFonts w:ascii="Calibri" w:hAnsi="Calibri"/>
          <w:b/>
        </w:rPr>
        <w:t xml:space="preserve">Decide what to change. </w:t>
      </w:r>
      <w:r>
        <w:rPr>
          <w:rFonts w:ascii="Calibri" w:hAnsi="Calibri"/>
        </w:rPr>
        <w:t>Clarify what the person genuinely wants, not what Chris or other people think they should want.</w:t>
      </w:r>
    </w:p>
    <w:p>
      <w:pPr>
        <w:spacing w:after="80" w:line="300" w:lineRule="auto"/>
        <w:numPr>
          <w:ilvl w:val="0"/>
          <w:numId w:val="16"/>
        </w:numPr>
      </w:pPr>
      <w:r>
        <w:rPr>
          <w:rFonts w:ascii="Calibri" w:hAnsi="Calibri"/>
          <w:b/>
        </w:rPr>
        <w:t xml:space="preserve">Build courage. </w:t>
      </w:r>
      <w:r>
        <w:rPr>
          <w:rFonts w:ascii="Calibri" w:hAnsi="Calibri"/>
        </w:rPr>
        <w:t>Address fear, self-doubt, judgement and the emotional cost of acting. Knowing the answer is not the same as being ready to do it.</w:t>
      </w:r>
    </w:p>
    <w:p>
      <w:pPr>
        <w:spacing w:after="80" w:line="300" w:lineRule="auto"/>
        <w:numPr>
          <w:ilvl w:val="0"/>
          <w:numId w:val="16"/>
        </w:numPr>
      </w:pPr>
      <w:r>
        <w:rPr>
          <w:rFonts w:ascii="Calibri" w:hAnsi="Calibri"/>
          <w:b/>
        </w:rPr>
        <w:t xml:space="preserve">Act. </w:t>
      </w:r>
      <w:r>
        <w:rPr>
          <w:rFonts w:ascii="Calibri" w:hAnsi="Calibri"/>
        </w:rPr>
        <w:t>Break action into manageable pieces, organise practical problems, introduce accountability and involve qualified specialists where needed.</w:t>
      </w:r>
    </w:p>
    <w:p>
      <w:pPr>
        <w:spacing w:after="80" w:line="300" w:lineRule="auto"/>
        <w:numPr>
          <w:ilvl w:val="0"/>
          <w:numId w:val="16"/>
        </w:numPr>
      </w:pPr>
      <w:r>
        <w:rPr>
          <w:rFonts w:ascii="Calibri" w:hAnsi="Calibri"/>
          <w:b/>
        </w:rPr>
        <w:t xml:space="preserve">Reflect. </w:t>
      </w:r>
      <w:r>
        <w:rPr>
          <w:rFonts w:ascii="Calibri" w:hAnsi="Calibri"/>
        </w:rPr>
        <w:t>Review what happened, how the person feels, what worked, what was learned and what needs attention next.</w:t>
      </w:r>
    </w:p>
    <w:p>
      <w:pPr>
        <w:spacing w:before="120" w:after="160"/>
        <w:ind w:left="202" w:right="115"/>
        <w:shd w:fill="EAF3EF"/>
        <w:pBdr>
          <w:left w:val="single" w:sz="18" w:space="8" w:color="39735E"/>
        </w:pBdr>
      </w:pPr>
      <w:r>
        <w:rPr>
          <w:rFonts w:ascii="Calibri" w:hAnsi="Calibri"/>
          <w:b/>
          <w:color w:val="39735E"/>
          <w:sz w:val="19"/>
        </w:rPr>
        <w:t xml:space="preserve">DESIGN PRINCIPLE  </w:t>
      </w:r>
      <w:r>
        <w:rPr>
          <w:rFonts w:ascii="Calibri" w:hAnsi="Calibri"/>
          <w:color w:val="203748"/>
          <w:sz w:val="21"/>
        </w:rPr>
        <w:t>The process should gradually become something the person can use independently: from 'I need Chris to work this through' towards 'I know how to navigate this and when to seek appropriate help.'</w:t>
      </w:r>
    </w:p>
    <w:p>
      <w:pPr>
        <w:pStyle w:val="Heading2"/>
      </w:pPr>
      <w:r>
        <w:t>6.1 A process, not a rigid programme</w:t>
      </w:r>
    </w:p>
    <w:p>
      <w:r>
        <w:rPr>
          <w:rFonts w:ascii="Calibri" w:hAnsi="Calibri"/>
          <w:i w:val="0"/>
        </w:rPr>
        <w:t>The steps are a working loop, not a clinical protocol or guaranteed linear journey. A person may return to emotional processing after new information, discover that a proposed goal is not authentic, or temporarily need more support at a difficult milestone. The order and dosage require testing.</w:t>
      </w:r>
    </w:p>
    <w:p>
      <w:pPr>
        <w:pStyle w:val="Heading1"/>
      </w:pPr>
      <w:r>
        <w:t>7. Service scope, intensity and the agency principle</w:t>
      </w:r>
    </w:p>
    <w:p>
      <w:pPr>
        <w:pStyle w:val="Heading2"/>
      </w:pPr>
      <w:r>
        <w:t>7.1 What support may include</w:t>
      </w:r>
    </w:p>
    <w:p>
      <w:r>
        <w:rPr>
          <w:rFonts w:ascii="Calibri" w:hAnsi="Calibri"/>
          <w:i w:val="0"/>
        </w:rPr>
        <w:t>Chris's preferred role is flexible within clear boundaries. Depending on the moment, support may include emotional presence, coaching, practical sparring and hands-on problem organisation. The consistent role is not to be every specialist; it is to help the person understand the whole situation, make choices, coordinate next steps and know when specialist help is required.</w:t>
      </w:r>
    </w:p>
    <w:tbl>
      <w:tblPr>
        <w:tblStyle w:val="TableGrid"/>
        <w:tblW w:type="dxa" w:w="9360"/>
        <w:tblLayout w:type="fixed"/>
        <w:tblLook w:firstColumn="1" w:firstRow="1" w:lastColumn="0" w:lastRow="0" w:noHBand="0" w:noVBand="1" w:val="04A0"/>
        <w:tblLayout w:type="fixed"/>
        <w:tblInd w:w="120" w:type="dxa"/>
      </w:tblPr>
      <w:tblGrid>
        <w:gridCol w:w="1800"/>
        <w:gridCol w:w="4480"/>
        <w:gridCol w:w="3080"/>
      </w:tblGrid>
      <w:tr>
        <w:trPr>
          <w:tblHeader w:val="true"/>
          <w:cantSplit/>
        </w:trPr>
        <w:tc>
          <w:tcPr>
            <w:tcW w:type="dxa" w:w="180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Mode</w:t>
            </w:r>
          </w:p>
        </w:tc>
        <w:tc>
          <w:tcPr>
            <w:tcW w:type="dxa" w:w="448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What it may involve</w:t>
            </w:r>
          </w:p>
        </w:tc>
        <w:tc>
          <w:tcPr>
            <w:tcW w:type="dxa" w:w="308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Boundary</w:t>
            </w:r>
          </w:p>
        </w:tc>
      </w:tr>
      <w:tr>
        <w:trPr>
          <w:cantSplit/>
        </w:trPr>
        <w:tc>
          <w:tcPr>
            <w:tcW w:type="dxa" w:w="1800"/>
            <w:vAlign w:val="center"/>
            <w:tcMar>
              <w:top w:w="100" w:type="dxa"/>
              <w:bottom w:w="100" w:type="dxa"/>
              <w:start w:w="120" w:type="dxa"/>
              <w:end w:w="120" w:type="dxa"/>
            </w:tcMar>
          </w:tcPr>
          <w:p>
            <w:pPr>
              <w:spacing w:before="40" w:after="40" w:line="276" w:lineRule="auto"/>
            </w:pPr>
            <w:r>
              <w:rPr>
                <w:rFonts w:ascii="Calibri" w:hAnsi="Calibri"/>
                <w:b w:val="0"/>
                <w:sz w:val="19"/>
              </w:rPr>
              <w:t>Emotional support</w:t>
            </w:r>
          </w:p>
        </w:tc>
        <w:tc>
          <w:tcPr>
            <w:tcW w:type="dxa" w:w="4480"/>
            <w:vAlign w:val="center"/>
            <w:tcMar>
              <w:top w:w="100" w:type="dxa"/>
              <w:bottom w:w="100" w:type="dxa"/>
              <w:start w:w="120" w:type="dxa"/>
              <w:end w:w="120" w:type="dxa"/>
            </w:tcMar>
          </w:tcPr>
          <w:p>
            <w:pPr>
              <w:spacing w:before="40" w:after="40" w:line="276" w:lineRule="auto"/>
            </w:pPr>
            <w:r>
              <w:rPr>
                <w:rFonts w:ascii="Calibri" w:hAnsi="Calibri"/>
                <w:b w:val="0"/>
                <w:sz w:val="19"/>
              </w:rPr>
              <w:t>Listening, naming emotions, helping the person feel understood and less alone.</w:t>
            </w:r>
          </w:p>
        </w:tc>
        <w:tc>
          <w:tcPr>
            <w:tcW w:type="dxa" w:w="3080"/>
            <w:vAlign w:val="center"/>
            <w:tcMar>
              <w:top w:w="100" w:type="dxa"/>
              <w:bottom w:w="100" w:type="dxa"/>
              <w:start w:w="120" w:type="dxa"/>
              <w:end w:w="120" w:type="dxa"/>
            </w:tcMar>
          </w:tcPr>
          <w:p>
            <w:pPr>
              <w:spacing w:before="40" w:after="40" w:line="276" w:lineRule="auto"/>
            </w:pPr>
            <w:r>
              <w:rPr>
                <w:rFonts w:ascii="Calibri" w:hAnsi="Calibri"/>
                <w:b w:val="0"/>
                <w:sz w:val="19"/>
              </w:rPr>
              <w:t>Not therapy, diagnosis or crisis care.</w:t>
            </w:r>
          </w:p>
        </w:tc>
      </w:tr>
      <w:tr>
        <w:trPr>
          <w:cantSplit/>
        </w:trPr>
        <w:tc>
          <w:tcPr>
            <w:tcW w:type="dxa" w:w="1800"/>
            <w:vAlign w:val="center"/>
            <w:tcMar>
              <w:top w:w="100" w:type="dxa"/>
              <w:bottom w:w="100" w:type="dxa"/>
              <w:start w:w="120" w:type="dxa"/>
              <w:end w:w="120" w:type="dxa"/>
            </w:tcMar>
          </w:tcPr>
          <w:p>
            <w:pPr>
              <w:spacing w:before="40" w:after="40" w:line="276" w:lineRule="auto"/>
            </w:pPr>
            <w:r>
              <w:rPr>
                <w:rFonts w:ascii="Calibri" w:hAnsi="Calibri"/>
                <w:b w:val="0"/>
                <w:sz w:val="19"/>
              </w:rPr>
              <w:t>Coaching</w:t>
            </w:r>
          </w:p>
        </w:tc>
        <w:tc>
          <w:tcPr>
            <w:tcW w:type="dxa" w:w="4480"/>
            <w:vAlign w:val="center"/>
            <w:tcMar>
              <w:top w:w="100" w:type="dxa"/>
              <w:bottom w:w="100" w:type="dxa"/>
              <w:start w:w="120" w:type="dxa"/>
              <w:end w:w="120" w:type="dxa"/>
            </w:tcMar>
          </w:tcPr>
          <w:p>
            <w:pPr>
              <w:spacing w:before="40" w:after="40" w:line="276" w:lineRule="auto"/>
            </w:pPr>
            <w:r>
              <w:rPr>
                <w:rFonts w:ascii="Calibri" w:hAnsi="Calibri"/>
                <w:b w:val="0"/>
                <w:sz w:val="19"/>
              </w:rPr>
              <w:t>Questions that improve self-understanding, choices, goals and accountability.</w:t>
            </w:r>
          </w:p>
        </w:tc>
        <w:tc>
          <w:tcPr>
            <w:tcW w:type="dxa" w:w="3080"/>
            <w:vAlign w:val="center"/>
            <w:tcMar>
              <w:top w:w="100" w:type="dxa"/>
              <w:bottom w:w="100" w:type="dxa"/>
              <w:start w:w="120" w:type="dxa"/>
              <w:end w:w="120" w:type="dxa"/>
            </w:tcMar>
          </w:tcPr>
          <w:p>
            <w:pPr>
              <w:spacing w:before="40" w:after="40" w:line="276" w:lineRule="auto"/>
            </w:pPr>
            <w:r>
              <w:rPr>
                <w:rFonts w:ascii="Calibri" w:hAnsi="Calibri"/>
                <w:b w:val="0"/>
                <w:sz w:val="19"/>
              </w:rPr>
              <w:t>The client retains autonomy; Chris does not prescribe a life.</w:t>
            </w:r>
          </w:p>
        </w:tc>
      </w:tr>
      <w:tr>
        <w:trPr>
          <w:cantSplit/>
        </w:trPr>
        <w:tc>
          <w:tcPr>
            <w:tcW w:type="dxa" w:w="1800"/>
            <w:vAlign w:val="center"/>
            <w:tcMar>
              <w:top w:w="100" w:type="dxa"/>
              <w:bottom w:w="100" w:type="dxa"/>
              <w:start w:w="120" w:type="dxa"/>
              <w:end w:w="120" w:type="dxa"/>
            </w:tcMar>
          </w:tcPr>
          <w:p>
            <w:pPr>
              <w:spacing w:before="40" w:after="40" w:line="276" w:lineRule="auto"/>
            </w:pPr>
            <w:r>
              <w:rPr>
                <w:rFonts w:ascii="Calibri" w:hAnsi="Calibri"/>
                <w:b w:val="0"/>
                <w:sz w:val="19"/>
              </w:rPr>
              <w:t>Practical sparring</w:t>
            </w:r>
          </w:p>
        </w:tc>
        <w:tc>
          <w:tcPr>
            <w:tcW w:type="dxa" w:w="4480"/>
            <w:vAlign w:val="center"/>
            <w:tcMar>
              <w:top w:w="100" w:type="dxa"/>
              <w:bottom w:w="100" w:type="dxa"/>
              <w:start w:w="120" w:type="dxa"/>
              <w:end w:w="120" w:type="dxa"/>
            </w:tcMar>
          </w:tcPr>
          <w:p>
            <w:pPr>
              <w:spacing w:before="40" w:after="40" w:line="276" w:lineRule="auto"/>
            </w:pPr>
            <w:r>
              <w:rPr>
                <w:rFonts w:ascii="Calibri" w:hAnsi="Calibri"/>
                <w:b w:val="0"/>
                <w:sz w:val="19"/>
              </w:rPr>
              <w:t>Clarifying problems, comparing options, prioritising and designing next steps.</w:t>
            </w:r>
          </w:p>
        </w:tc>
        <w:tc>
          <w:tcPr>
            <w:tcW w:type="dxa" w:w="3080"/>
            <w:vAlign w:val="center"/>
            <w:tcMar>
              <w:top w:w="100" w:type="dxa"/>
              <w:bottom w:w="100" w:type="dxa"/>
              <w:start w:w="120" w:type="dxa"/>
              <w:end w:w="120" w:type="dxa"/>
            </w:tcMar>
          </w:tcPr>
          <w:p>
            <w:pPr>
              <w:spacing w:before="40" w:after="40" w:line="276" w:lineRule="auto"/>
            </w:pPr>
            <w:r>
              <w:rPr>
                <w:rFonts w:ascii="Calibri" w:hAnsi="Calibri"/>
                <w:b w:val="0"/>
                <w:sz w:val="19"/>
              </w:rPr>
              <w:t>Do not substitute for regulated professional advice.</w:t>
            </w:r>
          </w:p>
        </w:tc>
      </w:tr>
      <w:tr>
        <w:trPr>
          <w:cantSplit/>
        </w:trPr>
        <w:tc>
          <w:tcPr>
            <w:tcW w:type="dxa" w:w="1800"/>
            <w:vAlign w:val="center"/>
            <w:tcMar>
              <w:top w:w="100" w:type="dxa"/>
              <w:bottom w:w="100" w:type="dxa"/>
              <w:start w:w="120" w:type="dxa"/>
              <w:end w:w="120" w:type="dxa"/>
            </w:tcMar>
          </w:tcPr>
          <w:p>
            <w:pPr>
              <w:spacing w:before="40" w:after="40" w:line="276" w:lineRule="auto"/>
            </w:pPr>
            <w:r>
              <w:rPr>
                <w:rFonts w:ascii="Calibri" w:hAnsi="Calibri"/>
                <w:b w:val="0"/>
                <w:sz w:val="19"/>
              </w:rPr>
              <w:t>Hands-on organisation</w:t>
            </w:r>
          </w:p>
        </w:tc>
        <w:tc>
          <w:tcPr>
            <w:tcW w:type="dxa" w:w="4480"/>
            <w:vAlign w:val="center"/>
            <w:tcMar>
              <w:top w:w="100" w:type="dxa"/>
              <w:bottom w:w="100" w:type="dxa"/>
              <w:start w:w="120" w:type="dxa"/>
              <w:end w:w="120" w:type="dxa"/>
            </w:tcMar>
          </w:tcPr>
          <w:p>
            <w:pPr>
              <w:spacing w:before="40" w:after="40" w:line="276" w:lineRule="auto"/>
            </w:pPr>
            <w:r>
              <w:rPr>
                <w:rFonts w:ascii="Calibri" w:hAnsi="Calibri"/>
                <w:b w:val="0"/>
                <w:sz w:val="19"/>
              </w:rPr>
              <w:t>Researching options, structuring information, preparing questions, plans or workflows.</w:t>
            </w:r>
          </w:p>
        </w:tc>
        <w:tc>
          <w:tcPr>
            <w:tcW w:type="dxa" w:w="3080"/>
            <w:vAlign w:val="center"/>
            <w:tcMar>
              <w:top w:w="100" w:type="dxa"/>
              <w:bottom w:w="100" w:type="dxa"/>
              <w:start w:w="120" w:type="dxa"/>
              <w:end w:w="120" w:type="dxa"/>
            </w:tcMar>
          </w:tcPr>
          <w:p>
            <w:pPr>
              <w:spacing w:before="40" w:after="40" w:line="276" w:lineRule="auto"/>
            </w:pPr>
            <w:r>
              <w:rPr>
                <w:rFonts w:ascii="Calibri" w:hAnsi="Calibri"/>
                <w:b w:val="0"/>
                <w:sz w:val="19"/>
              </w:rPr>
              <w:t>Consent, confidentiality and role clarity are essential.</w:t>
            </w:r>
          </w:p>
        </w:tc>
      </w:tr>
      <w:tr>
        <w:trPr>
          <w:cantSplit/>
        </w:trPr>
        <w:tc>
          <w:tcPr>
            <w:tcW w:type="dxa" w:w="1800"/>
            <w:vAlign w:val="center"/>
            <w:tcMar>
              <w:top w:w="100" w:type="dxa"/>
              <w:bottom w:w="100" w:type="dxa"/>
              <w:start w:w="120" w:type="dxa"/>
              <w:end w:w="120" w:type="dxa"/>
            </w:tcMar>
          </w:tcPr>
          <w:p>
            <w:pPr>
              <w:spacing w:before="40" w:after="40" w:line="276" w:lineRule="auto"/>
            </w:pPr>
            <w:r>
              <w:rPr>
                <w:rFonts w:ascii="Calibri" w:hAnsi="Calibri"/>
                <w:b w:val="0"/>
                <w:sz w:val="19"/>
              </w:rPr>
              <w:t>Navigation</w:t>
            </w:r>
          </w:p>
        </w:tc>
        <w:tc>
          <w:tcPr>
            <w:tcW w:type="dxa" w:w="4480"/>
            <w:vAlign w:val="center"/>
            <w:tcMar>
              <w:top w:w="100" w:type="dxa"/>
              <w:bottom w:w="100" w:type="dxa"/>
              <w:start w:w="120" w:type="dxa"/>
              <w:end w:w="120" w:type="dxa"/>
            </w:tcMar>
          </w:tcPr>
          <w:p>
            <w:pPr>
              <w:spacing w:before="40" w:after="40" w:line="276" w:lineRule="auto"/>
            </w:pPr>
            <w:r>
              <w:rPr>
                <w:rFonts w:ascii="Calibri" w:hAnsi="Calibri"/>
                <w:b w:val="0"/>
                <w:sz w:val="19"/>
              </w:rPr>
              <w:t>Recognising when a therapist, GP, solicitor, financial adviser or other specialist is needed.</w:t>
            </w:r>
          </w:p>
        </w:tc>
        <w:tc>
          <w:tcPr>
            <w:tcW w:type="dxa" w:w="3080"/>
            <w:vAlign w:val="center"/>
            <w:tcMar>
              <w:top w:w="100" w:type="dxa"/>
              <w:bottom w:w="100" w:type="dxa"/>
              <w:start w:w="120" w:type="dxa"/>
              <w:end w:w="120" w:type="dxa"/>
            </w:tcMar>
          </w:tcPr>
          <w:p>
            <w:pPr>
              <w:spacing w:before="40" w:after="40" w:line="276" w:lineRule="auto"/>
            </w:pPr>
            <w:r>
              <w:rPr>
                <w:rFonts w:ascii="Calibri" w:hAnsi="Calibri"/>
                <w:b w:val="0"/>
                <w:sz w:val="19"/>
              </w:rPr>
              <w:t>Refer appropriately; do not imply competence outside scope.</w:t>
            </w:r>
          </w:p>
        </w:tc>
      </w:tr>
    </w:tbl>
    <w:p>
      <w:pPr>
        <w:spacing w:after="40"/>
      </w:pPr>
    </w:p>
    <w:p>
      <w:pPr>
        <w:pStyle w:val="Heading2"/>
      </w:pPr>
      <w:r>
        <w:t>7.2 Intensity may change over time</w:t>
      </w:r>
    </w:p>
    <w:p>
      <w:r>
        <w:rPr>
          <w:rFonts w:ascii="Calibri" w:hAnsi="Calibri"/>
          <w:i w:val="0"/>
        </w:rPr>
        <w:t>Chris challenged the assumption that the work should be a fixed-duration transformation programme. Significant life transitions may unfold over months or years, with non-linear needs. A possible pattern is high support during acute overwhelm, declining intensity as capacity returns, a lower-intensity maintenance relationship, and temporary increases around new phases or difficult events.</w:t>
      </w:r>
    </w:p>
    <w:p>
      <w:pPr>
        <w:spacing w:before="120" w:after="160"/>
        <w:ind w:left="461" w:right="259"/>
        <w:shd w:fill="E8EEF5"/>
        <w:pBdr>
          <w:left w:val="single" w:sz="18" w:space="8" w:color="2E74B5"/>
        </w:pBdr>
      </w:pPr>
      <w:r>
        <w:rPr>
          <w:rFonts w:ascii="Calibri" w:hAnsi="Calibri"/>
          <w:i/>
          <w:color w:val="203748"/>
          <w:sz w:val="23"/>
        </w:rPr>
        <w:t>What value am I currently adding, and what is the least intensive form of support that would still give this person what they need?</w:t>
      </w:r>
      <w:r>
        <w:rPr>
          <w:rFonts w:ascii="Calibri" w:hAnsi="Calibri"/>
          <w:b/>
          <w:i w:val="0"/>
          <w:color w:val="5F6B76"/>
          <w:sz w:val="19"/>
        </w:rPr>
        <w:br/>
        <w:t>A useful ethical review question</w:t>
      </w:r>
    </w:p>
    <w:p>
      <w:pPr>
        <w:spacing w:before="120" w:after="160"/>
        <w:ind w:left="202" w:right="115"/>
        <w:shd w:fill="F2F4F7"/>
        <w:pBdr>
          <w:left w:val="single" w:sz="18" w:space="8" w:color="5F6B76"/>
        </w:pBdr>
      </w:pPr>
      <w:r>
        <w:rPr>
          <w:rFonts w:ascii="Calibri" w:hAnsi="Calibri"/>
          <w:b/>
          <w:color w:val="5F6B76"/>
          <w:sz w:val="19"/>
        </w:rPr>
        <w:t xml:space="preserve">UNKNOWN  </w:t>
      </w:r>
      <w:r>
        <w:rPr>
          <w:rFonts w:ascii="Calibri" w:hAnsi="Calibri"/>
          <w:color w:val="203748"/>
          <w:sz w:val="21"/>
        </w:rPr>
        <w:t>Duration, frequency and the shape of any maintenance tier must be learned. Neither long retention nor rapid exit is automatically evidence of success.</w:t>
      </w:r>
    </w:p>
    <w:p>
      <w:pPr>
        <w:pStyle w:val="Heading2"/>
      </w:pPr>
      <w:r>
        <w:t>7.3 Agency rather than dependency</w:t>
      </w:r>
    </w:p>
    <w:p>
      <w:r>
        <w:rPr>
          <w:rFonts w:ascii="Calibri" w:hAnsi="Calibri"/>
          <w:i w:val="0"/>
        </w:rPr>
        <w:t>The business should not benefit from keeping a person helpless. Recurring support can be legitimate, but progress should be reviewed against increased capacity, choice and independence. A client staying for years may reflect sustained value, changing needs or an intervention that is not working; retention alone is not the success metric.</w:t>
      </w:r>
    </w:p>
    <w:p>
      <w:pPr>
        <w:pStyle w:val="Heading1"/>
      </w:pPr>
      <w:r>
        <w:t>8. High-touch R&amp;D and the path to scale</w:t>
      </w:r>
    </w:p>
    <w:p>
      <w:pPr>
        <w:pStyle w:val="Heading2"/>
      </w:pPr>
      <w:r>
        <w:t>8.1 The initial unscalable model</w:t>
      </w:r>
    </w:p>
    <w:p>
      <w:r>
        <w:rPr>
          <w:rFonts w:ascii="Calibri" w:hAnsi="Calibri"/>
          <w:i w:val="0"/>
        </w:rPr>
        <w:t>Chris imagined working deeply with approximately four or five people, perhaps at around £1,000 per month, as a way to support himself while learning what creates meaningful improvement. The service would be more involved than a weekly conversation and might combine substantial sessions, contact between sessions, exercises, problem-solving, accountability and appropriate practical help.</w:t>
      </w:r>
    </w:p>
    <w:p>
      <w:pPr>
        <w:spacing w:before="120" w:after="160"/>
        <w:ind w:left="202" w:right="115"/>
        <w:shd w:fill="FFF5DF"/>
        <w:pBdr>
          <w:left w:val="single" w:sz="18" w:space="8" w:color="9A6700"/>
        </w:pBdr>
      </w:pPr>
      <w:r>
        <w:rPr>
          <w:rFonts w:ascii="Calibri" w:hAnsi="Calibri"/>
          <w:b/>
          <w:color w:val="9A6700"/>
          <w:sz w:val="19"/>
        </w:rPr>
        <w:t xml:space="preserve">UNVALIDATED ECONOMIC HYPOTHESIS  </w:t>
      </w:r>
      <w:r>
        <w:rPr>
          <w:rFonts w:ascii="Calibri" w:hAnsi="Calibri"/>
          <w:color w:val="203748"/>
          <w:sz w:val="21"/>
        </w:rPr>
        <w:t>Four to five clients, approximately £1,000 per month, specific access levels and any programme length are discussion figures only. They must not appear as settled pricing, capacity or duration until researched and tested.</w:t>
      </w:r>
    </w:p>
    <w:p>
      <w:pPr>
        <w:pStyle w:val="Heading2"/>
      </w:pPr>
      <w:r>
        <w:t>8.2 The learning loop</w:t>
      </w:r>
    </w:p>
    <w:p>
      <w:pPr>
        <w:spacing w:before="120" w:after="160"/>
        <w:ind w:left="461" w:right="259"/>
        <w:shd w:fill="E8EEF5"/>
        <w:pBdr>
          <w:left w:val="single" w:sz="18" w:space="8" w:color="2E74B5"/>
        </w:pBdr>
      </w:pPr>
      <w:r>
        <w:rPr>
          <w:rFonts w:ascii="Calibri" w:hAnsi="Calibri"/>
          <w:i/>
          <w:color w:val="203748"/>
          <w:sz w:val="23"/>
        </w:rPr>
        <w:t>Person -&gt; problem -&gt; intervention -&gt; outcome -&gt; pattern</w:t>
      </w:r>
      <w:r>
        <w:rPr>
          <w:rFonts w:ascii="Calibri" w:hAnsi="Calibri"/>
          <w:b/>
          <w:i w:val="0"/>
          <w:color w:val="5F6B76"/>
          <w:sz w:val="19"/>
        </w:rPr>
        <w:br/>
        <w:t>The proposed R&amp;D logic</w:t>
      </w:r>
    </w:p>
    <w:p>
      <w:pPr>
        <w:spacing w:after="80" w:line="300" w:lineRule="auto"/>
        <w:numPr>
          <w:ilvl w:val="0"/>
          <w:numId w:val="17"/>
        </w:numPr>
      </w:pPr>
      <w:r>
        <w:rPr>
          <w:rFonts w:ascii="Calibri" w:hAnsi="Calibri"/>
        </w:rPr>
        <w:t>What problem did the person recognise and what deeper problem emerged?</w:t>
      </w:r>
    </w:p>
    <w:p>
      <w:pPr>
        <w:spacing w:after="80" w:line="300" w:lineRule="auto"/>
        <w:numPr>
          <w:ilvl w:val="0"/>
          <w:numId w:val="17"/>
        </w:numPr>
      </w:pPr>
      <w:r>
        <w:rPr>
          <w:rFonts w:ascii="Calibri" w:hAnsi="Calibri"/>
        </w:rPr>
        <w:t>What changed during or after the intervention?</w:t>
      </w:r>
    </w:p>
    <w:p>
      <w:pPr>
        <w:spacing w:after="80" w:line="300" w:lineRule="auto"/>
        <w:numPr>
          <w:ilvl w:val="0"/>
          <w:numId w:val="17"/>
        </w:numPr>
      </w:pPr>
      <w:r>
        <w:rPr>
          <w:rFonts w:ascii="Calibri" w:hAnsi="Calibri"/>
        </w:rPr>
        <w:t>Which questions, explanations, exercises or practical actions appeared useful?</w:t>
      </w:r>
    </w:p>
    <w:p>
      <w:pPr>
        <w:spacing w:after="80" w:line="300" w:lineRule="auto"/>
        <w:numPr>
          <w:ilvl w:val="0"/>
          <w:numId w:val="17"/>
        </w:numPr>
      </w:pPr>
      <w:r>
        <w:rPr>
          <w:rFonts w:ascii="Calibri" w:hAnsi="Calibri"/>
        </w:rPr>
        <w:t>What required human relationship, judgement or emotional presence?</w:t>
      </w:r>
    </w:p>
    <w:p>
      <w:pPr>
        <w:spacing w:after="80" w:line="300" w:lineRule="auto"/>
        <w:numPr>
          <w:ilvl w:val="0"/>
          <w:numId w:val="17"/>
        </w:numPr>
      </w:pPr>
      <w:r>
        <w:rPr>
          <w:rFonts w:ascii="Calibri" w:hAnsi="Calibri"/>
        </w:rPr>
        <w:t>What could become an assessment, prompt, workflow, template or tool?</w:t>
      </w:r>
    </w:p>
    <w:p>
      <w:pPr>
        <w:spacing w:after="80" w:line="300" w:lineRule="auto"/>
        <w:numPr>
          <w:ilvl w:val="0"/>
          <w:numId w:val="17"/>
        </w:numPr>
      </w:pPr>
      <w:r>
        <w:rPr>
          <w:rFonts w:ascii="Calibri" w:hAnsi="Calibri"/>
        </w:rPr>
        <w:t>Was the change durable, and what alternative explanations exist?</w:t>
      </w:r>
    </w:p>
    <w:p>
      <w:pPr>
        <w:spacing w:after="80" w:line="300" w:lineRule="auto"/>
        <w:numPr>
          <w:ilvl w:val="0"/>
          <w:numId w:val="17"/>
        </w:numPr>
      </w:pPr>
      <w:r>
        <w:rPr>
          <w:rFonts w:ascii="Calibri" w:hAnsi="Calibri"/>
        </w:rPr>
        <w:t>What did not work, for whom, and under what conditions?</w:t>
      </w:r>
    </w:p>
    <w:p>
      <w:pPr>
        <w:pStyle w:val="Heading2"/>
      </w:pPr>
      <w:r>
        <w:t>8.3 Possible routes to scale</w:t>
      </w:r>
    </w:p>
    <w:p>
      <w:pPr>
        <w:spacing w:after="80" w:line="300" w:lineRule="auto"/>
        <w:numPr>
          <w:ilvl w:val="0"/>
          <w:numId w:val="18"/>
        </w:numPr>
      </w:pPr>
      <w:r>
        <w:rPr>
          <w:rFonts w:ascii="Calibri" w:hAnsi="Calibri"/>
        </w:rPr>
        <w:t>repeatable frameworks and a coherent methodology</w:t>
      </w:r>
    </w:p>
    <w:p>
      <w:pPr>
        <w:spacing w:after="80" w:line="300" w:lineRule="auto"/>
        <w:numPr>
          <w:ilvl w:val="0"/>
          <w:numId w:val="18"/>
        </w:numPr>
      </w:pPr>
      <w:r>
        <w:rPr>
          <w:rFonts w:ascii="Calibri" w:hAnsi="Calibri"/>
        </w:rPr>
        <w:t>self-assessments, reflection exercises and decision tools</w:t>
      </w:r>
    </w:p>
    <w:p>
      <w:pPr>
        <w:spacing w:after="80" w:line="300" w:lineRule="auto"/>
        <w:numPr>
          <w:ilvl w:val="0"/>
          <w:numId w:val="18"/>
        </w:numPr>
      </w:pPr>
      <w:r>
        <w:rPr>
          <w:rFonts w:ascii="Calibri" w:hAnsi="Calibri"/>
        </w:rPr>
        <w:t>structured workflows and personal operating systems</w:t>
      </w:r>
    </w:p>
    <w:p>
      <w:pPr>
        <w:spacing w:after="80" w:line="300" w:lineRule="auto"/>
        <w:numPr>
          <w:ilvl w:val="0"/>
          <w:numId w:val="18"/>
        </w:numPr>
      </w:pPr>
      <w:r>
        <w:rPr>
          <w:rFonts w:ascii="Calibri" w:hAnsi="Calibri"/>
        </w:rPr>
        <w:t>AI-supported tools and software</w:t>
      </w:r>
    </w:p>
    <w:p>
      <w:pPr>
        <w:spacing w:after="80" w:line="300" w:lineRule="auto"/>
        <w:numPr>
          <w:ilvl w:val="0"/>
          <w:numId w:val="18"/>
        </w:numPr>
      </w:pPr>
      <w:r>
        <w:rPr>
          <w:rFonts w:ascii="Calibri" w:hAnsi="Calibri"/>
        </w:rPr>
        <w:t>lower-cost self-guided products</w:t>
      </w:r>
    </w:p>
    <w:p>
      <w:pPr>
        <w:spacing w:after="80" w:line="300" w:lineRule="auto"/>
        <w:numPr>
          <w:ilvl w:val="0"/>
          <w:numId w:val="18"/>
        </w:numPr>
      </w:pPr>
      <w:r>
        <w:rPr>
          <w:rFonts w:ascii="Calibri" w:hAnsi="Calibri"/>
        </w:rPr>
        <w:t>group services, peer communities and maintenance memberships</w:t>
      </w:r>
    </w:p>
    <w:p>
      <w:pPr>
        <w:spacing w:after="80" w:line="300" w:lineRule="auto"/>
        <w:numPr>
          <w:ilvl w:val="0"/>
          <w:numId w:val="18"/>
        </w:numPr>
      </w:pPr>
      <w:r>
        <w:rPr>
          <w:rFonts w:ascii="Calibri" w:hAnsi="Calibri"/>
        </w:rPr>
        <w:t>training, standards and supervision structures for other practitioners</w:t>
      </w:r>
    </w:p>
    <w:p>
      <w:r>
        <w:rPr>
          <w:rFonts w:ascii="Calibri" w:hAnsi="Calibri"/>
          <w:i w:val="0"/>
        </w:rPr>
        <w:t>Chris may continue serving a small premium client list even as systems and other practitioners expand access. This could preserve direct human work he finds meaningful, keep product development close to real problems and provide a premium option. It should not prevent the organisation from designing for access beyond Chris's time.</w:t>
      </w:r>
    </w:p>
    <w:p>
      <w:pPr>
        <w:pStyle w:val="Heading1"/>
      </w:pPr>
      <w:r>
        <w:t>9. AI-supported reflection and learning</w:t>
      </w:r>
    </w:p>
    <w:p>
      <w:pPr>
        <w:pStyle w:val="Heading2"/>
      </w:pPr>
      <w:r>
        <w:t>9.1 The post-session debrief or 'shift leader' concept</w:t>
      </w:r>
    </w:p>
    <w:p>
      <w:r>
        <w:rPr>
          <w:rFonts w:ascii="Calibri" w:hAnsi="Calibri"/>
          <w:i w:val="0"/>
        </w:rPr>
        <w:t>One proposed tool is an AI-supported post-session debrief. After a client interaction, Chris could use a structured reflection flow to capture what happened, the client's stated outcomes, the apparent problem, interventions used, decisions, risks, follow-ups, uncertainty and learning. Across sessions, structured notes could make recurring patterns easier to observe and help turn tacit practice into explicit methodology.</w:t>
      </w:r>
    </w:p>
    <w:p>
      <w:pPr>
        <w:spacing w:after="80" w:line="300" w:lineRule="auto"/>
        <w:numPr>
          <w:ilvl w:val="0"/>
          <w:numId w:val="19"/>
        </w:numPr>
      </w:pPr>
      <w:r>
        <w:rPr>
          <w:rFonts w:ascii="Calibri" w:hAnsi="Calibri"/>
        </w:rPr>
        <w:t>Summarise the client's words and distinguish them from Chris's interpretation.</w:t>
      </w:r>
    </w:p>
    <w:p>
      <w:pPr>
        <w:spacing w:after="80" w:line="300" w:lineRule="auto"/>
        <w:numPr>
          <w:ilvl w:val="0"/>
          <w:numId w:val="19"/>
        </w:numPr>
      </w:pPr>
      <w:r>
        <w:rPr>
          <w:rFonts w:ascii="Calibri" w:hAnsi="Calibri"/>
        </w:rPr>
        <w:t>Record emotional shifts without making clinical diagnoses.</w:t>
      </w:r>
    </w:p>
    <w:p>
      <w:pPr>
        <w:spacing w:after="80" w:line="300" w:lineRule="auto"/>
        <w:numPr>
          <w:ilvl w:val="0"/>
          <w:numId w:val="19"/>
        </w:numPr>
      </w:pPr>
      <w:r>
        <w:rPr>
          <w:rFonts w:ascii="Calibri" w:hAnsi="Calibri"/>
        </w:rPr>
        <w:t>Identify interventions attempted and the immediate response.</w:t>
      </w:r>
    </w:p>
    <w:p>
      <w:pPr>
        <w:spacing w:after="80" w:line="300" w:lineRule="auto"/>
        <w:numPr>
          <w:ilvl w:val="0"/>
          <w:numId w:val="19"/>
        </w:numPr>
      </w:pPr>
      <w:r>
        <w:rPr>
          <w:rFonts w:ascii="Calibri" w:hAnsi="Calibri"/>
        </w:rPr>
        <w:t>Capture agreed actions, owner, timing and consented follow-up.</w:t>
      </w:r>
    </w:p>
    <w:p>
      <w:pPr>
        <w:spacing w:after="80" w:line="300" w:lineRule="auto"/>
        <w:numPr>
          <w:ilvl w:val="0"/>
          <w:numId w:val="19"/>
        </w:numPr>
      </w:pPr>
      <w:r>
        <w:rPr>
          <w:rFonts w:ascii="Calibri" w:hAnsi="Calibri"/>
        </w:rPr>
        <w:t>Flag possible specialist or safeguarding concerns for human review.</w:t>
      </w:r>
    </w:p>
    <w:p>
      <w:pPr>
        <w:spacing w:after="80" w:line="300" w:lineRule="auto"/>
        <w:numPr>
          <w:ilvl w:val="0"/>
          <w:numId w:val="19"/>
        </w:numPr>
      </w:pPr>
      <w:r>
        <w:rPr>
          <w:rFonts w:ascii="Calibri" w:hAnsi="Calibri"/>
        </w:rPr>
        <w:t>Generate questions for reflection rather than declaring certainty.</w:t>
      </w:r>
    </w:p>
    <w:p>
      <w:pPr>
        <w:spacing w:after="80" w:line="300" w:lineRule="auto"/>
        <w:numPr>
          <w:ilvl w:val="0"/>
          <w:numId w:val="19"/>
        </w:numPr>
      </w:pPr>
      <w:r>
        <w:rPr>
          <w:rFonts w:ascii="Calibri" w:hAnsi="Calibri"/>
        </w:rPr>
        <w:t>Aggregate de-identified learning about patterns only where lawful and consented.</w:t>
      </w:r>
    </w:p>
    <w:p>
      <w:pPr>
        <w:spacing w:before="120" w:after="160"/>
        <w:ind w:left="202" w:right="115"/>
        <w:shd w:fill="FCEBEC"/>
        <w:pBdr>
          <w:left w:val="single" w:sz="18" w:space="8" w:color="A13B36"/>
        </w:pBdr>
      </w:pPr>
      <w:r>
        <w:rPr>
          <w:rFonts w:ascii="Calibri" w:hAnsi="Calibri"/>
          <w:b/>
          <w:color w:val="A13B36"/>
          <w:sz w:val="19"/>
        </w:rPr>
        <w:t xml:space="preserve">BOUNDARY  </w:t>
      </w:r>
      <w:r>
        <w:rPr>
          <w:rFonts w:ascii="Calibri" w:hAnsi="Calibri"/>
          <w:color w:val="203748"/>
          <w:sz w:val="21"/>
        </w:rPr>
        <w:t>An AI debrief is not automatically an adequate substitute for professional supervision, clinical consultation or safeguarding expertise. It requires explicit confidentiality, data-minimisation, retention, access, consent and security decisions before client information is entered.</w:t>
      </w:r>
    </w:p>
    <w:p>
      <w:pPr>
        <w:pStyle w:val="Heading2"/>
      </w:pPr>
      <w:r>
        <w:t>9.2 Learning without turning people into experiments</w:t>
      </w:r>
    </w:p>
    <w:p>
      <w:r>
        <w:rPr>
          <w:rFonts w:ascii="Calibri" w:hAnsi="Calibri"/>
          <w:i w:val="0"/>
        </w:rPr>
        <w:t>High-touch work can be R&amp;D only when the client's welfare and informed consent remain primary. The person must receive a real service, understand relevant use of their information and never be exposed to untested practices presented as proven. Learning records should be separated from identifiable personal records wherever possible.</w:t>
      </w:r>
    </w:p>
    <w:p>
      <w:pPr>
        <w:pStyle w:val="Heading1"/>
      </w:pPr>
      <w:r>
        <w:t>10. Ethical, safeguarding and specialist boundaries</w:t>
      </w:r>
    </w:p>
    <w:p>
      <w:r>
        <w:rPr>
          <w:rFonts w:ascii="Calibri" w:hAnsi="Calibri"/>
          <w:i w:val="0"/>
        </w:rPr>
        <w:t>Emotional Life Support sits near areas where harm is possible if roles are unclear. Boundaries are not a disclaimer added after the offer; they are part of the service design, eligibility, onboarding, training, documentation, escalation and referral network.</w:t>
      </w:r>
    </w:p>
    <w:tbl>
      <w:tblPr>
        <w:tblStyle w:val="TableGrid"/>
        <w:tblW w:type="dxa" w:w="9360"/>
        <w:tblLayout w:type="fixed"/>
        <w:tblLook w:firstColumn="1" w:firstRow="1" w:lastColumn="0" w:lastRow="0" w:noHBand="0" w:noVBand="1" w:val="04A0"/>
        <w:tblLayout w:type="fixed"/>
        <w:tblInd w:w="120" w:type="dxa"/>
      </w:tblPr>
      <w:tblGrid>
        <w:gridCol w:w="1600"/>
        <w:gridCol w:w="3880"/>
        <w:gridCol w:w="3880"/>
      </w:tblGrid>
      <w:tr>
        <w:trPr>
          <w:tblHeader w:val="true"/>
          <w:cantSplit/>
        </w:trPr>
        <w:tc>
          <w:tcPr>
            <w:tcW w:type="dxa" w:w="160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Area</w:t>
            </w:r>
          </w:p>
        </w:tc>
        <w:tc>
          <w:tcPr>
            <w:tcW w:type="dxa" w:w="388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Emotional Life Support may</w:t>
            </w:r>
          </w:p>
        </w:tc>
        <w:tc>
          <w:tcPr>
            <w:tcW w:type="dxa" w:w="388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Must not</w:t>
            </w:r>
          </w:p>
        </w:tc>
      </w:tr>
      <w:tr>
        <w:trPr>
          <w:cantSplit/>
        </w:trPr>
        <w:tc>
          <w:tcPr>
            <w:tcW w:type="dxa" w:w="1600"/>
            <w:vAlign w:val="center"/>
            <w:tcMar>
              <w:top w:w="100" w:type="dxa"/>
              <w:bottom w:w="100" w:type="dxa"/>
              <w:start w:w="120" w:type="dxa"/>
              <w:end w:w="120" w:type="dxa"/>
            </w:tcMar>
          </w:tcPr>
          <w:p>
            <w:pPr>
              <w:spacing w:before="40" w:after="40" w:line="276" w:lineRule="auto"/>
            </w:pPr>
            <w:r>
              <w:rPr>
                <w:rFonts w:ascii="Calibri" w:hAnsi="Calibri"/>
                <w:b w:val="0"/>
                <w:sz w:val="19"/>
              </w:rPr>
              <w:t>Suicidality and crisis</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Recognise warning signs, follow a documented escalation route and connect the person with urgent qualified help.</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Market to or manage suicidal crisis as a non-clinical service.</w:t>
            </w:r>
          </w:p>
        </w:tc>
      </w:tr>
      <w:tr>
        <w:trPr>
          <w:cantSplit/>
        </w:trPr>
        <w:tc>
          <w:tcPr>
            <w:tcW w:type="dxa" w:w="1600"/>
            <w:vAlign w:val="center"/>
            <w:tcMar>
              <w:top w:w="100" w:type="dxa"/>
              <w:bottom w:w="100" w:type="dxa"/>
              <w:start w:w="120" w:type="dxa"/>
              <w:end w:w="120" w:type="dxa"/>
            </w:tcMar>
          </w:tcPr>
          <w:p>
            <w:pPr>
              <w:spacing w:before="40" w:after="40" w:line="276" w:lineRule="auto"/>
            </w:pPr>
            <w:r>
              <w:rPr>
                <w:rFonts w:ascii="Calibri" w:hAnsi="Calibri"/>
                <w:b w:val="0"/>
                <w:sz w:val="19"/>
              </w:rPr>
              <w:t>Clinical mental health</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Support everyday coping and life organisation where appropriate alongside professional care.</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Diagnose, treat or imply treatment of depression, anxiety disorders or other conditions without qualification.</w:t>
            </w:r>
          </w:p>
        </w:tc>
      </w:tr>
      <w:tr>
        <w:trPr>
          <w:cantSplit/>
        </w:trPr>
        <w:tc>
          <w:tcPr>
            <w:tcW w:type="dxa" w:w="1600"/>
            <w:vAlign w:val="center"/>
            <w:tcMar>
              <w:top w:w="100" w:type="dxa"/>
              <w:bottom w:w="100" w:type="dxa"/>
              <w:start w:w="120" w:type="dxa"/>
              <w:end w:w="120" w:type="dxa"/>
            </w:tcMar>
          </w:tcPr>
          <w:p>
            <w:pPr>
              <w:spacing w:before="40" w:after="40" w:line="276" w:lineRule="auto"/>
            </w:pPr>
            <w:r>
              <w:rPr>
                <w:rFonts w:ascii="Calibri" w:hAnsi="Calibri"/>
                <w:b w:val="0"/>
                <w:sz w:val="19"/>
              </w:rPr>
              <w:t>Trauma and abuse</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Be trauma-aware, avoid blame, support safety planning with qualified services and respect autonomy.</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Conduct trauma therapy, pressure disclosure or make safety claims beyond competence.</w:t>
            </w:r>
          </w:p>
        </w:tc>
      </w:tr>
      <w:tr>
        <w:trPr>
          <w:cantSplit/>
        </w:trPr>
        <w:tc>
          <w:tcPr>
            <w:tcW w:type="dxa" w:w="1600"/>
            <w:vAlign w:val="center"/>
            <w:tcMar>
              <w:top w:w="100" w:type="dxa"/>
              <w:bottom w:w="100" w:type="dxa"/>
              <w:start w:w="120" w:type="dxa"/>
              <w:end w:w="120" w:type="dxa"/>
            </w:tcMar>
          </w:tcPr>
          <w:p>
            <w:pPr>
              <w:spacing w:before="40" w:after="40" w:line="276" w:lineRule="auto"/>
            </w:pPr>
            <w:r>
              <w:rPr>
                <w:rFonts w:ascii="Calibri" w:hAnsi="Calibri"/>
                <w:b w:val="0"/>
                <w:sz w:val="19"/>
              </w:rPr>
              <w:t>Therapy</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Refer and collaborate with consent where roles complement each other.</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Present coaching, listening or AI tools as therapy.</w:t>
            </w:r>
          </w:p>
        </w:tc>
      </w:tr>
      <w:tr>
        <w:trPr>
          <w:cantSplit/>
        </w:trPr>
        <w:tc>
          <w:tcPr>
            <w:tcW w:type="dxa" w:w="1600"/>
            <w:vAlign w:val="center"/>
            <w:tcMar>
              <w:top w:w="100" w:type="dxa"/>
              <w:bottom w:w="100" w:type="dxa"/>
              <w:start w:w="120" w:type="dxa"/>
              <w:end w:w="120" w:type="dxa"/>
            </w:tcMar>
          </w:tcPr>
          <w:p>
            <w:pPr>
              <w:spacing w:before="40" w:after="40" w:line="276" w:lineRule="auto"/>
            </w:pPr>
            <w:r>
              <w:rPr>
                <w:rFonts w:ascii="Calibri" w:hAnsi="Calibri"/>
                <w:b w:val="0"/>
                <w:sz w:val="19"/>
              </w:rPr>
              <w:t>Legal</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Help organise facts, questions, documents and appointments.</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Give legal advice or influence decisions as though qualified.</w:t>
            </w:r>
          </w:p>
        </w:tc>
      </w:tr>
      <w:tr>
        <w:trPr>
          <w:cantSplit/>
        </w:trPr>
        <w:tc>
          <w:tcPr>
            <w:tcW w:type="dxa" w:w="1600"/>
            <w:vAlign w:val="center"/>
            <w:tcMar>
              <w:top w:w="100" w:type="dxa"/>
              <w:bottom w:w="100" w:type="dxa"/>
              <w:start w:w="120" w:type="dxa"/>
              <w:end w:w="120" w:type="dxa"/>
            </w:tcMar>
          </w:tcPr>
          <w:p>
            <w:pPr>
              <w:spacing w:before="40" w:after="40" w:line="276" w:lineRule="auto"/>
            </w:pPr>
            <w:r>
              <w:rPr>
                <w:rFonts w:ascii="Calibri" w:hAnsi="Calibri"/>
                <w:b w:val="0"/>
                <w:sz w:val="19"/>
              </w:rPr>
              <w:t>Financial</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Help clarify goals, gather information and prepare for an adviser.</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Recommend regulated products or provide financial advice.</w:t>
            </w:r>
          </w:p>
        </w:tc>
      </w:tr>
      <w:tr>
        <w:trPr>
          <w:cantSplit/>
        </w:trPr>
        <w:tc>
          <w:tcPr>
            <w:tcW w:type="dxa" w:w="1600"/>
            <w:vAlign w:val="center"/>
            <w:tcMar>
              <w:top w:w="100" w:type="dxa"/>
              <w:bottom w:w="100" w:type="dxa"/>
              <w:start w:w="120" w:type="dxa"/>
              <w:end w:w="120" w:type="dxa"/>
            </w:tcMar>
          </w:tcPr>
          <w:p>
            <w:pPr>
              <w:spacing w:before="40" w:after="40" w:line="276" w:lineRule="auto"/>
            </w:pPr>
            <w:r>
              <w:rPr>
                <w:rFonts w:ascii="Calibri" w:hAnsi="Calibri"/>
                <w:b w:val="0"/>
                <w:sz w:val="19"/>
              </w:rPr>
              <w:t>Medical</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Help organise questions, routines and support around professional care.</w:t>
            </w:r>
          </w:p>
        </w:tc>
        <w:tc>
          <w:tcPr>
            <w:tcW w:type="dxa" w:w="3880"/>
            <w:vAlign w:val="center"/>
            <w:tcMar>
              <w:top w:w="100" w:type="dxa"/>
              <w:bottom w:w="100" w:type="dxa"/>
              <w:start w:w="120" w:type="dxa"/>
              <w:end w:w="120" w:type="dxa"/>
            </w:tcMar>
          </w:tcPr>
          <w:p>
            <w:pPr>
              <w:spacing w:before="40" w:after="40" w:line="276" w:lineRule="auto"/>
            </w:pPr>
            <w:r>
              <w:rPr>
                <w:rFonts w:ascii="Calibri" w:hAnsi="Calibri"/>
                <w:b w:val="0"/>
                <w:sz w:val="19"/>
              </w:rPr>
              <w:t>Diagnose, recommend treatment or contradict clinicians.</w:t>
            </w:r>
          </w:p>
        </w:tc>
      </w:tr>
    </w:tbl>
    <w:p>
      <w:pPr>
        <w:spacing w:after="40"/>
      </w:pPr>
    </w:p>
    <w:p>
      <w:pPr>
        <w:pStyle w:val="Heading2"/>
      </w:pPr>
      <w:r>
        <w:t>10.1 Minimum safeguards to design before a pilot</w:t>
      </w:r>
    </w:p>
    <w:p>
      <w:pPr>
        <w:spacing w:after="80" w:line="300" w:lineRule="auto"/>
        <w:numPr>
          <w:ilvl w:val="0"/>
          <w:numId w:val="20"/>
        </w:numPr>
      </w:pPr>
      <w:r>
        <w:rPr>
          <w:rFonts w:ascii="Calibri" w:hAnsi="Calibri"/>
        </w:rPr>
        <w:t>Clear eligibility, exclusion and referral criteria.</w:t>
      </w:r>
    </w:p>
    <w:p>
      <w:pPr>
        <w:spacing w:after="80" w:line="300" w:lineRule="auto"/>
        <w:numPr>
          <w:ilvl w:val="0"/>
          <w:numId w:val="20"/>
        </w:numPr>
      </w:pPr>
      <w:r>
        <w:rPr>
          <w:rFonts w:ascii="Calibri" w:hAnsi="Calibri"/>
        </w:rPr>
        <w:t>A written scope of practice and plain-language client agreement.</w:t>
      </w:r>
    </w:p>
    <w:p>
      <w:pPr>
        <w:spacing w:after="80" w:line="300" w:lineRule="auto"/>
        <w:numPr>
          <w:ilvl w:val="0"/>
          <w:numId w:val="20"/>
        </w:numPr>
      </w:pPr>
      <w:r>
        <w:rPr>
          <w:rFonts w:ascii="Calibri" w:hAnsi="Calibri"/>
        </w:rPr>
        <w:t>A documented procedure for risk, crisis, abuse and safeguarding disclosures.</w:t>
      </w:r>
    </w:p>
    <w:p>
      <w:pPr>
        <w:spacing w:after="80" w:line="300" w:lineRule="auto"/>
        <w:numPr>
          <w:ilvl w:val="0"/>
          <w:numId w:val="20"/>
        </w:numPr>
      </w:pPr>
      <w:r>
        <w:rPr>
          <w:rFonts w:ascii="Calibri" w:hAnsi="Calibri"/>
        </w:rPr>
        <w:t>A vetted referral network and emergency information appropriate to geography.</w:t>
      </w:r>
    </w:p>
    <w:p>
      <w:pPr>
        <w:spacing w:after="80" w:line="300" w:lineRule="auto"/>
        <w:numPr>
          <w:ilvl w:val="0"/>
          <w:numId w:val="20"/>
        </w:numPr>
      </w:pPr>
      <w:r>
        <w:rPr>
          <w:rFonts w:ascii="Calibri" w:hAnsi="Calibri"/>
        </w:rPr>
        <w:t>Training in boundaries, safeguarding, trauma awareness and recognising clinical risk.</w:t>
      </w:r>
    </w:p>
    <w:p>
      <w:pPr>
        <w:spacing w:after="80" w:line="300" w:lineRule="auto"/>
        <w:numPr>
          <w:ilvl w:val="0"/>
          <w:numId w:val="20"/>
        </w:numPr>
      </w:pPr>
      <w:r>
        <w:rPr>
          <w:rFonts w:ascii="Calibri" w:hAnsi="Calibri"/>
        </w:rPr>
        <w:t>Appropriate supervision or consultation arrangements; AI alone is insufficient.</w:t>
      </w:r>
    </w:p>
    <w:p>
      <w:pPr>
        <w:spacing w:after="80" w:line="300" w:lineRule="auto"/>
        <w:numPr>
          <w:ilvl w:val="0"/>
          <w:numId w:val="20"/>
        </w:numPr>
      </w:pPr>
      <w:r>
        <w:rPr>
          <w:rFonts w:ascii="Calibri" w:hAnsi="Calibri"/>
        </w:rPr>
        <w:t>Confidential records, consent, data minimisation, retention limits and breach procedures.</w:t>
      </w:r>
    </w:p>
    <w:p>
      <w:pPr>
        <w:spacing w:after="80" w:line="300" w:lineRule="auto"/>
        <w:numPr>
          <w:ilvl w:val="0"/>
          <w:numId w:val="20"/>
        </w:numPr>
      </w:pPr>
      <w:r>
        <w:rPr>
          <w:rFonts w:ascii="Calibri" w:hAnsi="Calibri"/>
        </w:rPr>
        <w:t>Professional indemnity and legal review appropriate to the eventual service.</w:t>
      </w:r>
    </w:p>
    <w:p>
      <w:pPr>
        <w:pStyle w:val="Heading1"/>
      </w:pPr>
      <w:r>
        <w:t>11. Brand, positioning and market-language implications</w:t>
      </w:r>
    </w:p>
    <w:p>
      <w:pPr>
        <w:pStyle w:val="Heading2"/>
      </w:pPr>
      <w:r>
        <w:t>11.1 Market the pain people recognise; solve the deeper problem</w:t>
      </w:r>
    </w:p>
    <w:p>
      <w:r>
        <w:rPr>
          <w:rFonts w:ascii="Calibri" w:hAnsi="Calibri"/>
          <w:i w:val="0"/>
        </w:rPr>
        <w:t>People may not search for self-awareness, agency or an authentic future. They may recognise a painful situation or symptom: 'I am getting divorced and I do not know what to do with myself', 'I have lost who I am', 'everything feels overwhelming', or 'everyone says this is a fresh start, but it does not feel like one.' Those are possible entry points. The deeper work may involve identity, confidence, emotional coping, choices, systems, purpose and action.</w:t>
      </w:r>
    </w:p>
    <w:p>
      <w:pPr>
        <w:spacing w:before="120" w:after="160"/>
        <w:ind w:left="202" w:right="115"/>
        <w:shd w:fill="EAF3EF"/>
        <w:pBdr>
          <w:left w:val="single" w:sz="18" w:space="8" w:color="39735E"/>
        </w:pBdr>
      </w:pPr>
      <w:r>
        <w:rPr>
          <w:rFonts w:ascii="Calibri" w:hAnsi="Calibri"/>
          <w:b/>
          <w:color w:val="39735E"/>
          <w:sz w:val="19"/>
        </w:rPr>
        <w:t xml:space="preserve">POSITIONING PRINCIPLE  </w:t>
      </w:r>
      <w:r>
        <w:rPr>
          <w:rFonts w:ascii="Calibri" w:hAnsi="Calibri"/>
          <w:color w:val="203748"/>
          <w:sz w:val="21"/>
        </w:rPr>
        <w:t>Marketing can begin with the pain a person already recognises, but it must not exploit distress, exaggerate risk or promise a transformation that has not been demonstrated.</w:t>
      </w:r>
    </w:p>
    <w:p>
      <w:pPr>
        <w:pStyle w:val="Heading2"/>
      </w:pPr>
      <w:r>
        <w:t>11.2 Emotional Life Support as product or brand</w:t>
      </w:r>
    </w:p>
    <w:p>
      <w:r>
        <w:rPr>
          <w:rFonts w:ascii="Calibri" w:hAnsi="Calibri"/>
          <w:i w:val="0"/>
        </w:rPr>
        <w:t>The name Emotional Life Support may work better as the product, service or brand than as Chris's professional title. This creates room for a multidisciplinary support system and for future tools or practitioners. The domain emotionallifesupport.com has been acquired and is the working project and brand name, with permission to change if research reveals a stronger or safer alternative.</w:t>
      </w:r>
    </w:p>
    <w:p>
      <w:pPr>
        <w:pStyle w:val="Heading2"/>
      </w:pPr>
      <w:r>
        <w:t>11.3 Questions the name must survive</w:t>
      </w:r>
    </w:p>
    <w:p>
      <w:pPr>
        <w:spacing w:after="80" w:line="300" w:lineRule="auto"/>
        <w:numPr>
          <w:ilvl w:val="0"/>
          <w:numId w:val="21"/>
        </w:numPr>
      </w:pPr>
      <w:r>
        <w:rPr>
          <w:rFonts w:ascii="Calibri" w:hAnsi="Calibri"/>
        </w:rPr>
        <w:t>Does it feel reassuring and understandable, or alarmist and medicalised?</w:t>
      </w:r>
    </w:p>
    <w:p>
      <w:pPr>
        <w:spacing w:after="80" w:line="300" w:lineRule="auto"/>
        <w:numPr>
          <w:ilvl w:val="0"/>
          <w:numId w:val="21"/>
        </w:numPr>
      </w:pPr>
      <w:r>
        <w:rPr>
          <w:rFonts w:ascii="Calibri" w:hAnsi="Calibri"/>
        </w:rPr>
        <w:t>Does 'life support' imply emergency, clinical treatment or dependency?</w:t>
      </w:r>
    </w:p>
    <w:p>
      <w:pPr>
        <w:spacing w:after="80" w:line="300" w:lineRule="auto"/>
        <w:numPr>
          <w:ilvl w:val="0"/>
          <w:numId w:val="21"/>
        </w:numPr>
      </w:pPr>
      <w:r>
        <w:rPr>
          <w:rFonts w:ascii="Calibri" w:hAnsi="Calibri"/>
        </w:rPr>
        <w:t>Can people tell who it is for and what happens without a long explanation?</w:t>
      </w:r>
    </w:p>
    <w:p>
      <w:pPr>
        <w:spacing w:after="80" w:line="300" w:lineRule="auto"/>
        <w:numPr>
          <w:ilvl w:val="0"/>
          <w:numId w:val="21"/>
        </w:numPr>
      </w:pPr>
      <w:r>
        <w:rPr>
          <w:rFonts w:ascii="Calibri" w:hAnsi="Calibri"/>
        </w:rPr>
        <w:t>Does the name work for separation as a beachhead and broader transitions later?</w:t>
      </w:r>
    </w:p>
    <w:p>
      <w:pPr>
        <w:spacing w:after="80" w:line="300" w:lineRule="auto"/>
        <w:numPr>
          <w:ilvl w:val="0"/>
          <w:numId w:val="21"/>
        </w:numPr>
      </w:pPr>
      <w:r>
        <w:rPr>
          <w:rFonts w:ascii="Calibri" w:hAnsi="Calibri"/>
        </w:rPr>
        <w:t>Can the brand sound human and hopeful while speaking honestly about pain?</w:t>
      </w:r>
    </w:p>
    <w:p>
      <w:pPr>
        <w:spacing w:after="80" w:line="300" w:lineRule="auto"/>
        <w:numPr>
          <w:ilvl w:val="0"/>
          <w:numId w:val="21"/>
        </w:numPr>
      </w:pPr>
      <w:r>
        <w:rPr>
          <w:rFonts w:ascii="Calibri" w:hAnsi="Calibri"/>
        </w:rPr>
        <w:t>Are there trademark, search, accessibility or trust implications?</w:t>
      </w:r>
    </w:p>
    <w:p>
      <w:pPr>
        <w:pStyle w:val="Heading1"/>
      </w:pPr>
      <w:r>
        <w:t>12. Assumption ledger and next-stage learning agenda</w:t>
      </w:r>
    </w:p>
    <w:tbl>
      <w:tblPr>
        <w:tblStyle w:val="TableGrid"/>
        <w:tblW w:type="dxa" w:w="9360"/>
        <w:tblLayout w:type="fixed"/>
        <w:tblLook w:firstColumn="1" w:firstRow="1" w:lastColumn="0" w:lastRow="0" w:noHBand="0" w:noVBand="1" w:val="04A0"/>
        <w:tblLayout w:type="fixed"/>
        <w:tblInd w:w="120" w:type="dxa"/>
      </w:tblPr>
      <w:tblGrid>
        <w:gridCol w:w="2080"/>
        <w:gridCol w:w="2440"/>
        <w:gridCol w:w="4840"/>
      </w:tblGrid>
      <w:tr>
        <w:trPr>
          <w:tblHeader w:val="true"/>
          <w:cantSplit/>
        </w:trPr>
        <w:tc>
          <w:tcPr>
            <w:tcW w:type="dxa" w:w="208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Topic</w:t>
            </w:r>
          </w:p>
        </w:tc>
        <w:tc>
          <w:tcPr>
            <w:tcW w:type="dxa" w:w="244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Current status</w:t>
            </w:r>
          </w:p>
        </w:tc>
        <w:tc>
          <w:tcPr>
            <w:tcW w:type="dxa" w:w="4840"/>
            <w:vAlign w:val="center"/>
            <w:shd w:fill="E8EEF5"/>
            <w:tcMar>
              <w:top w:w="100" w:type="dxa"/>
              <w:bottom w:w="100" w:type="dxa"/>
              <w:start w:w="120" w:type="dxa"/>
              <w:end w:w="120" w:type="dxa"/>
            </w:tcMar>
          </w:tcPr>
          <w:p>
            <w:pPr>
              <w:spacing w:before="40" w:after="40" w:line="276" w:lineRule="auto"/>
            </w:pPr>
            <w:r>
              <w:rPr>
                <w:rFonts w:ascii="Calibri" w:hAnsi="Calibri"/>
                <w:b/>
                <w:color w:val="203748"/>
                <w:sz w:val="19"/>
              </w:rPr>
              <w:t>What must be learned</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Purpose and motivation</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Strong internal evidence</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Does the real work sustain Chris's energy and boundaries over time?</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Distinctive strengths</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Promising personal and anecdotal evidence</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Do clients independently experience emotional safety, clarity and useful action?</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Transformation</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Coherent hypothesis</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Which outcomes are valued, observable and attributable enough to measure?</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Major disruption audience</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Strongest current hypothesis</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Which situations share enough needs for one method?</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Separation/divorce beachhead</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Plausible, not fixed</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Need, accessibility, competition, risk, buying triggers and willingness to pay.</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High-touch offer</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Concept only</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What access, cadence, activities and boundaries create value?</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£1,000/month</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Unvalidated economic hypothesis</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Actual alternatives, budgets, purchase process, price sensitivity and unit economics.</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Duration and maintenance</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Unknown</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How support needs change and what least-intensive effective support looks like.</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Emerging process</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Coherent working framework</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Repeatability, sequencing, contraindications and client language.</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Scalable products and AI</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Plausible architecture</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Which elements can scale safely without losing what works?</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Brand/name</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Working name and owned domain</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Comprehension, trust, category cues, clinical associations and distinctiveness.</w:t>
            </w:r>
          </w:p>
        </w:tc>
      </w:tr>
      <w:tr>
        <w:trPr>
          <w:cantSplit/>
        </w:trPr>
        <w:tc>
          <w:tcPr>
            <w:tcW w:type="dxa" w:w="2080"/>
            <w:vAlign w:val="center"/>
            <w:tcMar>
              <w:top w:w="100" w:type="dxa"/>
              <w:bottom w:w="100" w:type="dxa"/>
              <w:start w:w="120" w:type="dxa"/>
              <w:end w:w="120" w:type="dxa"/>
            </w:tcMar>
          </w:tcPr>
          <w:p>
            <w:pPr>
              <w:spacing w:before="40" w:after="40" w:line="276" w:lineRule="auto"/>
            </w:pPr>
            <w:r>
              <w:rPr>
                <w:rFonts w:ascii="Calibri" w:hAnsi="Calibri"/>
                <w:b w:val="0"/>
                <w:sz w:val="19"/>
              </w:rPr>
              <w:t>Effectiveness</w:t>
            </w:r>
          </w:p>
        </w:tc>
        <w:tc>
          <w:tcPr>
            <w:tcW w:type="dxa" w:w="2440"/>
            <w:vAlign w:val="center"/>
            <w:tcMar>
              <w:top w:w="100" w:type="dxa"/>
              <w:bottom w:w="100" w:type="dxa"/>
              <w:start w:w="120" w:type="dxa"/>
              <w:end w:w="120" w:type="dxa"/>
            </w:tcMar>
          </w:tcPr>
          <w:p>
            <w:pPr>
              <w:spacing w:before="40" w:after="40" w:line="276" w:lineRule="auto"/>
            </w:pPr>
            <w:r>
              <w:rPr>
                <w:rFonts w:ascii="Calibri" w:hAnsi="Calibri"/>
                <w:b w:val="0"/>
                <w:sz w:val="19"/>
              </w:rPr>
              <w:t>Unknown</w:t>
            </w:r>
          </w:p>
        </w:tc>
        <w:tc>
          <w:tcPr>
            <w:tcW w:type="dxa" w:w="4840"/>
            <w:vAlign w:val="center"/>
            <w:tcMar>
              <w:top w:w="100" w:type="dxa"/>
              <w:bottom w:w="100" w:type="dxa"/>
              <w:start w:w="120" w:type="dxa"/>
              <w:end w:w="120" w:type="dxa"/>
            </w:tcMar>
          </w:tcPr>
          <w:p>
            <w:pPr>
              <w:spacing w:before="40" w:after="40" w:line="276" w:lineRule="auto"/>
            </w:pPr>
            <w:r>
              <w:rPr>
                <w:rFonts w:ascii="Calibri" w:hAnsi="Calibri"/>
                <w:b w:val="0"/>
                <w:sz w:val="19"/>
              </w:rPr>
              <w:t>Outcomes, baselines, follow-up, adverse effects and alternative explanations.</w:t>
            </w:r>
          </w:p>
        </w:tc>
      </w:tr>
    </w:tbl>
    <w:p>
      <w:pPr>
        <w:spacing w:after="40"/>
      </w:pPr>
    </w:p>
    <w:p>
      <w:pPr>
        <w:pStyle w:val="Heading2"/>
      </w:pPr>
      <w:r>
        <w:t>12.1 The next phase should try to disprove the attractive story</w:t>
      </w:r>
    </w:p>
    <w:p>
      <w:r>
        <w:rPr>
          <w:rFonts w:ascii="Calibri" w:hAnsi="Calibri"/>
          <w:i w:val="0"/>
        </w:rPr>
        <w:t>The concept is coherent enough to test, not proven enough to sell as a settled transformation. Research should actively seek reasons the beachhead, problem, offer, name, price or delivery model may be wrong. The best next step is not a polished sales funnel. It is a disciplined combination of market research, customer discovery, service prototyping, safeguarding design and a concept-validation landing page that makes it easy for relevant people to respond honestly.</w:t>
      </w:r>
    </w:p>
    <w:p>
      <w:pPr>
        <w:spacing w:after="80" w:line="300" w:lineRule="auto"/>
        <w:numPr>
          <w:ilvl w:val="0"/>
          <w:numId w:val="22"/>
        </w:numPr>
      </w:pPr>
      <w:r>
        <w:rPr>
          <w:rFonts w:ascii="Calibri" w:hAnsi="Calibri"/>
        </w:rPr>
        <w:t>Identify and compare beachhead segments rather than defaulting to divorce.</w:t>
      </w:r>
    </w:p>
    <w:p>
      <w:pPr>
        <w:spacing w:after="80" w:line="300" w:lineRule="auto"/>
        <w:numPr>
          <w:ilvl w:val="0"/>
          <w:numId w:val="22"/>
        </w:numPr>
      </w:pPr>
      <w:r>
        <w:rPr>
          <w:rFonts w:ascii="Calibri" w:hAnsi="Calibri"/>
        </w:rPr>
        <w:t>Study the jobs people are already trying to accomplish and the alternatives they already use.</w:t>
      </w:r>
    </w:p>
    <w:p>
      <w:pPr>
        <w:spacing w:after="80" w:line="300" w:lineRule="auto"/>
        <w:numPr>
          <w:ilvl w:val="0"/>
          <w:numId w:val="22"/>
        </w:numPr>
      </w:pPr>
      <w:r>
        <w:rPr>
          <w:rFonts w:ascii="Calibri" w:hAnsi="Calibri"/>
        </w:rPr>
        <w:t>Capture exact pain language, triggers, outcomes and objections without leading interviewees.</w:t>
      </w:r>
    </w:p>
    <w:p>
      <w:pPr>
        <w:spacing w:after="80" w:line="300" w:lineRule="auto"/>
        <w:numPr>
          <w:ilvl w:val="0"/>
          <w:numId w:val="22"/>
        </w:numPr>
      </w:pPr>
      <w:r>
        <w:rPr>
          <w:rFonts w:ascii="Calibri" w:hAnsi="Calibri"/>
        </w:rPr>
        <w:t>Understand what people pay for now and the conditions under which a premium service feels credible.</w:t>
      </w:r>
    </w:p>
    <w:p>
      <w:pPr>
        <w:spacing w:after="80" w:line="300" w:lineRule="auto"/>
        <w:numPr>
          <w:ilvl w:val="0"/>
          <w:numId w:val="22"/>
        </w:numPr>
      </w:pPr>
      <w:r>
        <w:rPr>
          <w:rFonts w:ascii="Calibri" w:hAnsi="Calibri"/>
        </w:rPr>
        <w:t>Prototype the smallest safe service that can produce observable learning.</w:t>
      </w:r>
    </w:p>
    <w:p>
      <w:pPr>
        <w:spacing w:after="80" w:line="300" w:lineRule="auto"/>
        <w:numPr>
          <w:ilvl w:val="0"/>
          <w:numId w:val="22"/>
        </w:numPr>
      </w:pPr>
      <w:r>
        <w:rPr>
          <w:rFonts w:ascii="Calibri" w:hAnsi="Calibri"/>
        </w:rPr>
        <w:t>Create a landing page whose primary goal is useful feedback and qualified conversations, not premature conversion optimisation.</w:t>
      </w:r>
    </w:p>
    <w:p>
      <w:pPr>
        <w:spacing w:after="80" w:line="300" w:lineRule="auto"/>
        <w:numPr>
          <w:ilvl w:val="0"/>
          <w:numId w:val="22"/>
        </w:numPr>
      </w:pPr>
      <w:r>
        <w:rPr>
          <w:rFonts w:ascii="Calibri" w:hAnsi="Calibri"/>
        </w:rPr>
        <w:t>Define evidence thresholds that would support continuing, changing or stopping the idea.</w:t>
      </w:r>
    </w:p>
    <w:p>
      <w:r>
        <w:br w:type="page"/>
      </w:r>
    </w:p>
    <w:p>
      <w:pPr>
        <w:pStyle w:val="Heading1"/>
      </w:pPr>
      <w:r>
        <w:t>Current working statements</w:t>
      </w:r>
    </w:p>
    <w:p>
      <w:pPr>
        <w:pStyle w:val="Heading2"/>
      </w:pPr>
      <w:r>
        <w:t>Purpose</w:t>
      </w:r>
    </w:p>
    <w:p>
      <w:pPr>
        <w:spacing w:before="120" w:after="160"/>
        <w:ind w:left="461" w:right="259"/>
        <w:shd w:fill="E8EEF5"/>
        <w:pBdr>
          <w:left w:val="single" w:sz="18" w:space="8" w:color="2E74B5"/>
        </w:pBdr>
      </w:pPr>
      <w:r>
        <w:rPr>
          <w:rFonts w:ascii="Calibri" w:hAnsi="Calibri"/>
          <w:i/>
          <w:color w:val="203748"/>
          <w:sz w:val="23"/>
        </w:rPr>
        <w:t>Help people who feel lost after major disruption rediscover who they are, understand what they genuinely want, and turn an overwhelming situation into a practical path towards a future they are excited to live.</w:t>
      </w:r>
    </w:p>
    <w:p>
      <w:pPr>
        <w:pStyle w:val="Heading2"/>
      </w:pPr>
      <w:r>
        <w:t>Longer-term purpose</w:t>
      </w:r>
    </w:p>
    <w:p>
      <w:pPr>
        <w:spacing w:before="120" w:after="160"/>
        <w:ind w:left="461" w:right="259"/>
        <w:shd w:fill="E8EEF5"/>
        <w:pBdr>
          <w:left w:val="single" w:sz="18" w:space="8" w:color="2E74B5"/>
        </w:pBdr>
      </w:pPr>
      <w:r>
        <w:rPr>
          <w:rFonts w:ascii="Calibri" w:hAnsi="Calibri"/>
          <w:i/>
          <w:color w:val="203748"/>
          <w:sz w:val="23"/>
        </w:rPr>
        <w:t>Learn what reliably creates that transformation through deep human work, then build systems that make it accessible to far more people.</w:t>
      </w:r>
    </w:p>
    <w:p>
      <w:pPr>
        <w:pStyle w:val="Heading2"/>
      </w:pPr>
      <w:r>
        <w:t>Service principle</w:t>
      </w:r>
    </w:p>
    <w:p>
      <w:pPr>
        <w:spacing w:before="120" w:after="160"/>
        <w:ind w:left="461" w:right="259"/>
        <w:shd w:fill="E8EEF5"/>
        <w:pBdr>
          <w:left w:val="single" w:sz="18" w:space="8" w:color="2E74B5"/>
        </w:pBdr>
      </w:pPr>
      <w:r>
        <w:rPr>
          <w:rFonts w:ascii="Calibri" w:hAnsi="Calibri"/>
          <w:i/>
          <w:color w:val="203748"/>
          <w:sz w:val="23"/>
        </w:rPr>
        <w:t>Help me understand what is happening. Help me understand myself. Help me distinguish what I can and cannot change. Help me decide what I want to do about what I can change. Help me find the courage and practical means to do it. Then help me learn to navigate more of life myself.</w:t>
      </w:r>
    </w:p>
    <w:p>
      <w:pPr>
        <w:pStyle w:val="Heading2"/>
      </w:pPr>
      <w:r>
        <w:t>Final status</w:t>
      </w:r>
    </w:p>
    <w:p>
      <w:pPr>
        <w:spacing w:before="120" w:after="160"/>
        <w:ind w:left="202" w:right="115"/>
        <w:shd w:fill="FFF5DF"/>
        <w:pBdr>
          <w:left w:val="single" w:sz="18" w:space="8" w:color="9A6700"/>
        </w:pBdr>
      </w:pPr>
      <w:r>
        <w:rPr>
          <w:rFonts w:ascii="Calibri" w:hAnsi="Calibri"/>
          <w:b/>
          <w:color w:val="9A6700"/>
          <w:sz w:val="19"/>
        </w:rPr>
        <w:t xml:space="preserve">WORKING FOUNDATION  </w:t>
      </w:r>
      <w:r>
        <w:rPr>
          <w:rFonts w:ascii="Calibri" w:hAnsi="Calibri"/>
          <w:color w:val="203748"/>
          <w:sz w:val="21"/>
        </w:rPr>
        <w:t>Emotional Life Support is a compelling, testable hypothesis at the intersection of Chris's motivation, strengths and preferred way of creating value. Customer demand, effectiveness, economics, professional scope and the best initial segment remain unproven.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7"/>
      </w:rPr>
      <w:t>EMOTIONAL LIFE SUPPORT | PROJECT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bullet"/>
      <w:lvlText w:val="•"/>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abstractNum w:abstractNumId="14">
    <w:multiLevelType w:val="singleLevel"/>
    <w:lvl w:ilvl="0">
      <w:start w:val="1"/>
      <w:numFmt w:val="bullet"/>
      <w:lvlText w:val="•"/>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bullet"/>
      <w:lvlText w:val="•"/>
      <w:lvlJc w:val="left"/>
      <w:pPr>
        <w:tabs>
          <w:tab w:val="num" w:pos="540"/>
        </w:tabs>
        <w:ind w:left="540" w:hanging="270"/>
      </w:pPr>
    </w:lvl>
  </w:abstractNum>
  <w:num w:numId="17">
    <w:abstractNumId w:val="16"/>
  </w:num>
  <w:abstractNum w:abstractNumId="17">
    <w:multiLevelType w:val="singleLevel"/>
    <w:lvl w:ilvl="0">
      <w:start w:val="1"/>
      <w:numFmt w:val="bullet"/>
      <w:lvlText w:val="•"/>
      <w:lvlJc w:val="left"/>
      <w:pPr>
        <w:tabs>
          <w:tab w:val="num" w:pos="540"/>
        </w:tabs>
        <w:ind w:left="540" w:hanging="270"/>
      </w:pPr>
    </w:lvl>
  </w:abstractNum>
  <w:num w:numId="18">
    <w:abstractNumId w:val="17"/>
  </w:num>
  <w:abstractNum w:abstractNumId="18">
    <w:multiLevelType w:val="singleLevel"/>
    <w:lvl w:ilvl="0">
      <w:start w:val="1"/>
      <w:numFmt w:val="bullet"/>
      <w:lvlText w:val="•"/>
      <w:lvlJc w:val="left"/>
      <w:pPr>
        <w:tabs>
          <w:tab w:val="num" w:pos="540"/>
        </w:tabs>
        <w:ind w:left="540" w:hanging="270"/>
      </w:pPr>
    </w:lvl>
  </w:abstractNum>
  <w:num w:numId="19">
    <w:abstractNumId w:val="18"/>
  </w:num>
  <w:abstractNum w:abstractNumId="19">
    <w:multiLevelType w:val="singleLevel"/>
    <w:lvl w:ilvl="0">
      <w:start w:val="1"/>
      <w:numFmt w:val="bullet"/>
      <w:lvlText w:val="•"/>
      <w:lvlJc w:val="left"/>
      <w:pPr>
        <w:tabs>
          <w:tab w:val="num" w:pos="540"/>
        </w:tabs>
        <w:ind w:left="540" w:hanging="270"/>
      </w:pPr>
    </w:lvl>
  </w:abstractNum>
  <w:num w:numId="20">
    <w:abstractNumId w:val="19"/>
  </w:num>
  <w:abstractNum w:abstractNumId="20">
    <w:multiLevelType w:val="singleLevel"/>
    <w:lvl w:ilvl="0">
      <w:start w:val="1"/>
      <w:numFmt w:val="bullet"/>
      <w:lvlText w:val="•"/>
      <w:lvlJc w:val="left"/>
      <w:pPr>
        <w:tabs>
          <w:tab w:val="num" w:pos="540"/>
        </w:tabs>
        <w:ind w:left="540" w:hanging="270"/>
      </w:pPr>
    </w:lvl>
  </w:abstractNum>
  <w:num w:numId="21">
    <w:abstractNumId w:val="20"/>
  </w:num>
  <w:abstractNum w:abstractNumId="21">
    <w:multiLevelType w:val="singleLevel"/>
    <w:lvl w:ilvl="0">
      <w:start w:val="1"/>
      <w:numFmt w:val="bullet"/>
      <w:lvlText w:val="•"/>
      <w:lvlJc w:val="left"/>
      <w:pPr>
        <w:tabs>
          <w:tab w:val="num" w:pos="540"/>
        </w:tabs>
        <w:ind w:left="540" w:hanging="270"/>
      </w:p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Life Support Project Foundation</dc:title>
  <dc:subject>Emotional Life Support project development</dc:subject>
  <dc:creator>Emotional Life Support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