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before="624" w:beforeLines="200" w:after="624" w:afterLines="200" w:line="720" w:lineRule="auto"/>
        <w:jc w:val="center"/>
        <w:rPr>
          <w:b/>
          <w:bCs/>
          <w:sz w:val="44"/>
          <w:szCs w:val="44"/>
        </w:rPr>
      </w:pPr>
      <w:r>
        <w:rPr>
          <w:rFonts w:hint="eastAsia" w:ascii="宋体" w:hAnsi="宋体"/>
          <w:b/>
          <w:bCs/>
          <w:sz w:val="44"/>
          <w:szCs w:val="44"/>
        </w:rPr>
        <w:t>机器学习课程设计论文（报告）评分表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5"/>
        <w:gridCol w:w="2516"/>
        <w:gridCol w:w="2475"/>
        <w:gridCol w:w="2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465" w:type="dxa"/>
            <w:shd w:val="clear" w:color="auto" w:fill="auto"/>
            <w:noWrap w:val="0"/>
            <w:vAlign w:val="center"/>
          </w:tcPr>
          <w:p>
            <w:pPr>
              <w:jc w:val="center"/>
              <w:rPr>
                <w:rFonts w:hint="eastAsia" w:ascii="黑体" w:hAnsi="黑体" w:eastAsia="黑体"/>
                <w:b/>
                <w:szCs w:val="21"/>
              </w:rPr>
            </w:pPr>
            <w:r>
              <w:rPr>
                <w:rFonts w:hint="eastAsia" w:ascii="黑体" w:hAnsi="黑体" w:eastAsia="黑体"/>
                <w:b/>
                <w:szCs w:val="21"/>
              </w:rPr>
              <w:t>课程名称</w:t>
            </w:r>
          </w:p>
        </w:tc>
        <w:tc>
          <w:tcPr>
            <w:tcW w:w="2516" w:type="dxa"/>
            <w:tcBorders>
              <w:right w:val="single" w:color="auto" w:sz="8" w:space="0"/>
            </w:tcBorders>
            <w:shd w:val="clear" w:color="auto" w:fill="auto"/>
            <w:noWrap w:val="0"/>
            <w:vAlign w:val="center"/>
          </w:tcPr>
          <w:p>
            <w:pPr>
              <w:jc w:val="center"/>
              <w:rPr>
                <w:rFonts w:hint="eastAsia" w:ascii="黑体" w:hAnsi="黑体" w:eastAsia="黑体"/>
                <w:b/>
                <w:szCs w:val="21"/>
              </w:rPr>
            </w:pPr>
            <w:r>
              <w:rPr>
                <w:rFonts w:hint="eastAsia" w:ascii="黑体" w:hAnsi="黑体" w:eastAsia="黑体"/>
                <w:b/>
                <w:szCs w:val="21"/>
              </w:rPr>
              <w:t>所在年级:</w:t>
            </w:r>
          </w:p>
        </w:tc>
        <w:tc>
          <w:tcPr>
            <w:tcW w:w="2475" w:type="dxa"/>
            <w:tcBorders>
              <w:left w:val="single" w:color="auto" w:sz="8" w:space="0"/>
            </w:tcBorders>
            <w:shd w:val="clear" w:color="auto" w:fill="auto"/>
            <w:noWrap w:val="0"/>
            <w:vAlign w:val="center"/>
          </w:tcPr>
          <w:p>
            <w:pPr>
              <w:jc w:val="center"/>
              <w:rPr>
                <w:rFonts w:hint="eastAsia" w:ascii="黑体" w:hAnsi="黑体" w:eastAsia="黑体"/>
                <w:b/>
                <w:szCs w:val="21"/>
              </w:rPr>
            </w:pPr>
            <w:r>
              <w:rPr>
                <w:rFonts w:hint="eastAsia" w:ascii="黑体" w:hAnsi="黑体" w:eastAsia="黑体"/>
                <w:b/>
                <w:szCs w:val="21"/>
              </w:rPr>
              <w:t>姓名</w:t>
            </w:r>
          </w:p>
        </w:tc>
        <w:tc>
          <w:tcPr>
            <w:tcW w:w="2506" w:type="dxa"/>
            <w:shd w:val="clear" w:color="auto" w:fill="auto"/>
            <w:noWrap w:val="0"/>
            <w:vAlign w:val="center"/>
          </w:tcPr>
          <w:p>
            <w:pPr>
              <w:jc w:val="center"/>
              <w:rPr>
                <w:rFonts w:hint="eastAsia" w:ascii="黑体" w:hAnsi="黑体" w:eastAsia="黑体"/>
                <w:b/>
                <w:szCs w:val="21"/>
              </w:rPr>
            </w:pPr>
            <w:r>
              <w:rPr>
                <w:rFonts w:hint="eastAsia" w:ascii="黑体" w:hAnsi="黑体" w:eastAsia="黑体"/>
                <w:b/>
                <w:szCs w:val="21"/>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465" w:type="dxa"/>
            <w:shd w:val="clear" w:color="auto" w:fill="auto"/>
            <w:noWrap w:val="0"/>
            <w:vAlign w:val="center"/>
          </w:tcPr>
          <w:p>
            <w:pPr>
              <w:jc w:val="center"/>
              <w:rPr>
                <w:rFonts w:hint="eastAsia" w:ascii="黑体" w:hAnsi="黑体" w:eastAsia="黑体"/>
                <w:b/>
                <w:szCs w:val="21"/>
              </w:rPr>
            </w:pPr>
            <w:r>
              <w:rPr>
                <w:rFonts w:hint="eastAsia" w:ascii="黑体" w:hAnsi="黑体" w:eastAsia="黑体"/>
                <w:b/>
                <w:szCs w:val="21"/>
              </w:rPr>
              <w:t>《机器学习课程设计》</w:t>
            </w:r>
          </w:p>
        </w:tc>
        <w:tc>
          <w:tcPr>
            <w:tcW w:w="2516" w:type="dxa"/>
            <w:tcBorders>
              <w:right w:val="single" w:color="auto" w:sz="8" w:space="0"/>
            </w:tcBorders>
            <w:shd w:val="clear" w:color="auto" w:fill="auto"/>
            <w:noWrap w:val="0"/>
            <w:vAlign w:val="center"/>
          </w:tcPr>
          <w:p>
            <w:pPr>
              <w:jc w:val="center"/>
              <w:rPr>
                <w:rFonts w:hint="default" w:ascii="黑体" w:hAnsi="黑体" w:eastAsia="黑体"/>
                <w:b/>
                <w:szCs w:val="21"/>
                <w:lang w:val="en-US" w:eastAsia="zh-CN"/>
              </w:rPr>
            </w:pPr>
            <w:r>
              <w:rPr>
                <w:rFonts w:hint="eastAsia" w:ascii="黑体" w:hAnsi="黑体" w:eastAsia="黑体"/>
                <w:b/>
                <w:szCs w:val="21"/>
                <w:lang w:val="en-US" w:eastAsia="zh-CN"/>
              </w:rPr>
              <w:t>2021级</w:t>
            </w:r>
          </w:p>
        </w:tc>
        <w:tc>
          <w:tcPr>
            <w:tcW w:w="2475" w:type="dxa"/>
            <w:tcBorders>
              <w:left w:val="single" w:color="auto" w:sz="8" w:space="0"/>
            </w:tcBorders>
            <w:shd w:val="clear" w:color="auto" w:fill="auto"/>
            <w:noWrap w:val="0"/>
            <w:vAlign w:val="center"/>
          </w:tcPr>
          <w:p>
            <w:pPr>
              <w:jc w:val="center"/>
              <w:rPr>
                <w:rFonts w:hint="eastAsia" w:ascii="黑体" w:hAnsi="黑体" w:eastAsia="黑体"/>
                <w:b/>
                <w:szCs w:val="21"/>
                <w:lang w:val="en-US" w:eastAsia="zh-CN"/>
              </w:rPr>
            </w:pPr>
            <w:r>
              <w:rPr>
                <w:rFonts w:hint="eastAsia" w:ascii="黑体" w:hAnsi="黑体" w:eastAsia="黑体"/>
                <w:b/>
                <w:szCs w:val="21"/>
                <w:lang w:val="en-US" w:eastAsia="zh-CN"/>
              </w:rPr>
              <w:t>成颖</w:t>
            </w:r>
          </w:p>
        </w:tc>
        <w:tc>
          <w:tcPr>
            <w:tcW w:w="2506" w:type="dxa"/>
            <w:shd w:val="clear" w:color="auto" w:fill="auto"/>
            <w:noWrap w:val="0"/>
            <w:vAlign w:val="center"/>
          </w:tcPr>
          <w:p>
            <w:pPr>
              <w:jc w:val="center"/>
              <w:rPr>
                <w:rFonts w:hint="default" w:ascii="黑体" w:hAnsi="黑体" w:eastAsia="黑体"/>
                <w:b/>
                <w:szCs w:val="21"/>
                <w:lang w:val="en-US" w:eastAsia="zh-CN"/>
              </w:rPr>
            </w:pPr>
            <w:r>
              <w:rPr>
                <w:rFonts w:hint="eastAsia" w:ascii="黑体" w:hAnsi="黑体" w:eastAsia="黑体"/>
                <w:b/>
                <w:szCs w:val="21"/>
                <w:lang w:val="en-US" w:eastAsia="zh-CN"/>
              </w:rPr>
              <w:t>2126010314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981" w:type="dxa"/>
            <w:gridSpan w:val="2"/>
            <w:tcBorders>
              <w:right w:val="single" w:color="auto" w:sz="8" w:space="0"/>
            </w:tcBorders>
            <w:shd w:val="clear" w:color="auto" w:fill="auto"/>
            <w:noWrap w:val="0"/>
            <w:vAlign w:val="center"/>
          </w:tcPr>
          <w:p>
            <w:pPr>
              <w:jc w:val="center"/>
              <w:rPr>
                <w:rFonts w:ascii="黑体" w:hAnsi="黑体" w:eastAsia="黑体"/>
                <w:b/>
                <w:szCs w:val="21"/>
              </w:rPr>
            </w:pPr>
            <w:r>
              <w:rPr>
                <w:rFonts w:hint="eastAsia" w:ascii="黑体" w:hAnsi="黑体" w:eastAsia="黑体"/>
                <w:b/>
                <w:szCs w:val="21"/>
              </w:rPr>
              <w:t>考核项目</w:t>
            </w:r>
          </w:p>
        </w:tc>
        <w:tc>
          <w:tcPr>
            <w:tcW w:w="4981" w:type="dxa"/>
            <w:gridSpan w:val="2"/>
            <w:tcBorders>
              <w:left w:val="single" w:color="auto" w:sz="8" w:space="0"/>
            </w:tcBorders>
            <w:shd w:val="clear" w:color="auto" w:fill="auto"/>
            <w:noWrap w:val="0"/>
            <w:vAlign w:val="center"/>
          </w:tcPr>
          <w:p>
            <w:pPr>
              <w:jc w:val="center"/>
              <w:rPr>
                <w:rFonts w:ascii="黑体" w:hAnsi="黑体" w:eastAsia="黑体"/>
                <w:b/>
                <w:szCs w:val="21"/>
              </w:rPr>
            </w:pPr>
            <w:r>
              <w:rPr>
                <w:rFonts w:hint="eastAsia" w:ascii="黑体" w:hAnsi="黑体" w:eastAsia="黑体"/>
                <w:b/>
                <w:szCs w:val="21"/>
              </w:rPr>
              <w:t>考核分数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981" w:type="dxa"/>
            <w:gridSpan w:val="2"/>
            <w:tcBorders>
              <w:right w:val="single" w:color="auto" w:sz="8" w:space="0"/>
            </w:tcBorders>
            <w:shd w:val="clear" w:color="auto" w:fill="auto"/>
            <w:noWrap w:val="0"/>
            <w:vAlign w:val="center"/>
          </w:tcPr>
          <w:p>
            <w:pPr>
              <w:rPr>
                <w:rFonts w:ascii="黑体" w:hAnsi="黑体" w:eastAsia="黑体"/>
                <w:b/>
                <w:szCs w:val="21"/>
              </w:rPr>
            </w:pPr>
            <w:r>
              <w:rPr>
                <w:rFonts w:hint="eastAsia" w:ascii="黑体" w:hAnsi="黑体" w:eastAsia="黑体"/>
                <w:b/>
                <w:szCs w:val="21"/>
              </w:rPr>
              <w:t>论文选题的合理性（10分）</w:t>
            </w:r>
          </w:p>
        </w:tc>
        <w:tc>
          <w:tcPr>
            <w:tcW w:w="4981" w:type="dxa"/>
            <w:gridSpan w:val="2"/>
            <w:tcBorders>
              <w:left w:val="single" w:color="auto" w:sz="8" w:space="0"/>
            </w:tcBorders>
            <w:shd w:val="clear" w:color="auto" w:fill="auto"/>
            <w:noWrap w:val="0"/>
            <w:vAlign w:val="center"/>
          </w:tcPr>
          <w:p>
            <w:pPr>
              <w:jc w:val="center"/>
              <w:rPr>
                <w:rFonts w:hint="eastAsia" w:ascii="黑体" w:hAnsi="黑体" w:eastAsia="黑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981" w:type="dxa"/>
            <w:gridSpan w:val="2"/>
            <w:tcBorders>
              <w:right w:val="single" w:color="auto" w:sz="8" w:space="0"/>
            </w:tcBorders>
            <w:shd w:val="clear" w:color="auto" w:fill="auto"/>
            <w:noWrap w:val="0"/>
            <w:vAlign w:val="center"/>
          </w:tcPr>
          <w:p>
            <w:pPr>
              <w:rPr>
                <w:rFonts w:ascii="黑体" w:hAnsi="黑体" w:eastAsia="黑体"/>
                <w:b/>
                <w:szCs w:val="21"/>
              </w:rPr>
            </w:pPr>
            <w:r>
              <w:rPr>
                <w:rFonts w:hint="eastAsia" w:ascii="黑体" w:hAnsi="黑体" w:eastAsia="黑体"/>
                <w:b/>
                <w:szCs w:val="21"/>
              </w:rPr>
              <w:t>论文的工作量（10分）</w:t>
            </w:r>
          </w:p>
        </w:tc>
        <w:tc>
          <w:tcPr>
            <w:tcW w:w="4981" w:type="dxa"/>
            <w:gridSpan w:val="2"/>
            <w:tcBorders>
              <w:left w:val="single" w:color="auto" w:sz="8" w:space="0"/>
            </w:tcBorders>
            <w:shd w:val="clear" w:color="auto" w:fill="auto"/>
            <w:noWrap w:val="0"/>
            <w:vAlign w:val="center"/>
          </w:tcPr>
          <w:p>
            <w:pPr>
              <w:jc w:val="center"/>
              <w:rPr>
                <w:rFonts w:hint="eastAsia" w:ascii="黑体" w:hAnsi="黑体" w:eastAsia="黑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981" w:type="dxa"/>
            <w:gridSpan w:val="2"/>
            <w:tcBorders>
              <w:right w:val="single" w:color="auto" w:sz="8" w:space="0"/>
            </w:tcBorders>
            <w:shd w:val="clear" w:color="auto" w:fill="auto"/>
            <w:noWrap w:val="0"/>
            <w:vAlign w:val="center"/>
          </w:tcPr>
          <w:p>
            <w:pPr>
              <w:rPr>
                <w:rFonts w:ascii="黑体" w:hAnsi="黑体" w:eastAsia="黑体"/>
                <w:b/>
                <w:szCs w:val="21"/>
              </w:rPr>
            </w:pPr>
            <w:r>
              <w:rPr>
                <w:rFonts w:hint="eastAsia" w:ascii="黑体" w:hAnsi="黑体" w:eastAsia="黑体"/>
                <w:b/>
                <w:szCs w:val="21"/>
              </w:rPr>
              <w:t>论文的文字表达（25分）</w:t>
            </w:r>
          </w:p>
        </w:tc>
        <w:tc>
          <w:tcPr>
            <w:tcW w:w="4981" w:type="dxa"/>
            <w:gridSpan w:val="2"/>
            <w:tcBorders>
              <w:left w:val="single" w:color="auto" w:sz="8" w:space="0"/>
            </w:tcBorders>
            <w:shd w:val="clear" w:color="auto" w:fill="auto"/>
            <w:noWrap w:val="0"/>
            <w:vAlign w:val="center"/>
          </w:tcPr>
          <w:p>
            <w:pPr>
              <w:jc w:val="center"/>
              <w:rPr>
                <w:rFonts w:hint="eastAsia" w:ascii="黑体" w:hAnsi="黑体" w:eastAsia="黑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981" w:type="dxa"/>
            <w:gridSpan w:val="2"/>
            <w:tcBorders>
              <w:right w:val="single" w:color="auto" w:sz="8" w:space="0"/>
            </w:tcBorders>
            <w:shd w:val="clear" w:color="auto" w:fill="auto"/>
            <w:noWrap w:val="0"/>
            <w:vAlign w:val="center"/>
          </w:tcPr>
          <w:p>
            <w:pPr>
              <w:rPr>
                <w:rFonts w:ascii="黑体" w:hAnsi="黑体" w:eastAsia="黑体"/>
                <w:b/>
                <w:szCs w:val="21"/>
              </w:rPr>
            </w:pPr>
            <w:r>
              <w:rPr>
                <w:rFonts w:hint="eastAsia" w:ascii="黑体" w:hAnsi="黑体" w:eastAsia="黑体"/>
                <w:b/>
                <w:szCs w:val="21"/>
              </w:rPr>
              <w:t>论文的组织结构（25分）</w:t>
            </w:r>
          </w:p>
        </w:tc>
        <w:tc>
          <w:tcPr>
            <w:tcW w:w="4981" w:type="dxa"/>
            <w:gridSpan w:val="2"/>
            <w:tcBorders>
              <w:left w:val="single" w:color="auto" w:sz="8" w:space="0"/>
            </w:tcBorders>
            <w:shd w:val="clear" w:color="auto" w:fill="auto"/>
            <w:noWrap w:val="0"/>
            <w:vAlign w:val="center"/>
          </w:tcPr>
          <w:p>
            <w:pPr>
              <w:jc w:val="center"/>
              <w:rPr>
                <w:rFonts w:hint="eastAsia" w:ascii="黑体" w:hAnsi="黑体" w:eastAsia="黑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981" w:type="dxa"/>
            <w:gridSpan w:val="2"/>
            <w:tcBorders>
              <w:right w:val="single" w:color="auto" w:sz="8" w:space="0"/>
            </w:tcBorders>
            <w:shd w:val="clear" w:color="auto" w:fill="auto"/>
            <w:noWrap w:val="0"/>
            <w:vAlign w:val="center"/>
          </w:tcPr>
          <w:p>
            <w:pPr>
              <w:rPr>
                <w:rFonts w:ascii="黑体" w:hAnsi="黑体" w:eastAsia="黑体"/>
                <w:b/>
                <w:szCs w:val="21"/>
              </w:rPr>
            </w:pPr>
            <w:r>
              <w:rPr>
                <w:rFonts w:hint="eastAsia" w:ascii="黑体" w:hAnsi="黑体" w:eastAsia="黑体"/>
                <w:b/>
                <w:szCs w:val="21"/>
              </w:rPr>
              <w:t>论文的完整性（25分）</w:t>
            </w:r>
          </w:p>
        </w:tc>
        <w:tc>
          <w:tcPr>
            <w:tcW w:w="4981" w:type="dxa"/>
            <w:gridSpan w:val="2"/>
            <w:tcBorders>
              <w:left w:val="single" w:color="auto" w:sz="8" w:space="0"/>
            </w:tcBorders>
            <w:shd w:val="clear" w:color="auto" w:fill="auto"/>
            <w:noWrap w:val="0"/>
            <w:vAlign w:val="center"/>
          </w:tcPr>
          <w:p>
            <w:pPr>
              <w:jc w:val="center"/>
              <w:rPr>
                <w:rFonts w:hint="eastAsia" w:ascii="黑体" w:hAnsi="黑体" w:eastAsia="黑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981" w:type="dxa"/>
            <w:gridSpan w:val="2"/>
            <w:tcBorders>
              <w:right w:val="single" w:color="auto" w:sz="8" w:space="0"/>
            </w:tcBorders>
            <w:shd w:val="clear" w:color="auto" w:fill="auto"/>
            <w:noWrap w:val="0"/>
            <w:vAlign w:val="center"/>
          </w:tcPr>
          <w:p>
            <w:pPr>
              <w:rPr>
                <w:rFonts w:ascii="黑体" w:hAnsi="黑体" w:eastAsia="黑体"/>
                <w:b/>
                <w:szCs w:val="21"/>
              </w:rPr>
            </w:pPr>
            <w:r>
              <w:rPr>
                <w:rFonts w:hint="eastAsia" w:ascii="黑体" w:hAnsi="黑体" w:eastAsia="黑体"/>
                <w:b/>
                <w:szCs w:val="21"/>
              </w:rPr>
              <w:t>论文的新颖性（5分）</w:t>
            </w:r>
          </w:p>
        </w:tc>
        <w:tc>
          <w:tcPr>
            <w:tcW w:w="4981" w:type="dxa"/>
            <w:gridSpan w:val="2"/>
            <w:tcBorders>
              <w:left w:val="single" w:color="auto" w:sz="8" w:space="0"/>
            </w:tcBorders>
            <w:shd w:val="clear" w:color="auto" w:fill="auto"/>
            <w:noWrap w:val="0"/>
            <w:vAlign w:val="center"/>
          </w:tcPr>
          <w:p>
            <w:pPr>
              <w:jc w:val="center"/>
              <w:rPr>
                <w:rFonts w:hint="eastAsia" w:ascii="黑体" w:hAnsi="黑体" w:eastAsia="黑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981" w:type="dxa"/>
            <w:gridSpan w:val="2"/>
            <w:tcBorders>
              <w:right w:val="single" w:color="auto" w:sz="8" w:space="0"/>
            </w:tcBorders>
            <w:shd w:val="clear" w:color="auto" w:fill="auto"/>
            <w:noWrap w:val="0"/>
            <w:vAlign w:val="center"/>
          </w:tcPr>
          <w:p>
            <w:pPr>
              <w:rPr>
                <w:rFonts w:hint="eastAsia" w:ascii="黑体" w:hAnsi="黑体" w:eastAsia="黑体"/>
                <w:b/>
                <w:szCs w:val="21"/>
              </w:rPr>
            </w:pPr>
            <w:r>
              <w:rPr>
                <w:rFonts w:hint="eastAsia" w:ascii="黑体" w:hAnsi="黑体" w:eastAsia="黑体"/>
                <w:b/>
                <w:szCs w:val="21"/>
              </w:rPr>
              <w:t>总成绩（总分100分）</w:t>
            </w:r>
          </w:p>
        </w:tc>
        <w:tc>
          <w:tcPr>
            <w:tcW w:w="4981" w:type="dxa"/>
            <w:gridSpan w:val="2"/>
            <w:tcBorders>
              <w:left w:val="single" w:color="auto" w:sz="8" w:space="0"/>
            </w:tcBorders>
            <w:shd w:val="clear" w:color="auto" w:fill="auto"/>
            <w:noWrap w:val="0"/>
            <w:vAlign w:val="center"/>
          </w:tcPr>
          <w:p>
            <w:pPr>
              <w:jc w:val="center"/>
              <w:rPr>
                <w:rFonts w:hint="eastAsia" w:ascii="黑体" w:hAnsi="黑体" w:eastAsia="黑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465" w:type="dxa"/>
            <w:shd w:val="clear" w:color="auto" w:fill="auto"/>
            <w:noWrap w:val="0"/>
            <w:vAlign w:val="center"/>
          </w:tcPr>
          <w:p>
            <w:pPr>
              <w:jc w:val="center"/>
              <w:rPr>
                <w:rFonts w:hint="eastAsia" w:ascii="黑体" w:hAnsi="黑体" w:eastAsia="黑体"/>
                <w:b/>
                <w:szCs w:val="21"/>
              </w:rPr>
            </w:pPr>
            <w:r>
              <w:rPr>
                <w:rFonts w:hint="eastAsia" w:ascii="黑体" w:hAnsi="黑体" w:eastAsia="黑体"/>
                <w:b/>
                <w:szCs w:val="21"/>
              </w:rPr>
              <w:t>评语</w:t>
            </w:r>
          </w:p>
        </w:tc>
        <w:tc>
          <w:tcPr>
            <w:tcW w:w="7497" w:type="dxa"/>
            <w:gridSpan w:val="3"/>
            <w:shd w:val="clear" w:color="auto" w:fill="auto"/>
            <w:noWrap w:val="0"/>
            <w:vAlign w:val="center"/>
          </w:tcPr>
          <w:p>
            <w:pPr>
              <w:jc w:val="center"/>
              <w:rPr>
                <w:rFonts w:ascii="黑体" w:hAnsi="黑体" w:eastAsia="黑体"/>
                <w:b/>
                <w:szCs w:val="21"/>
              </w:rPr>
            </w:pPr>
          </w:p>
          <w:p>
            <w:pPr>
              <w:jc w:val="center"/>
              <w:rPr>
                <w:rFonts w:ascii="黑体" w:hAnsi="黑体" w:eastAsia="黑体"/>
                <w:b/>
                <w:szCs w:val="21"/>
              </w:rPr>
            </w:pPr>
          </w:p>
          <w:p>
            <w:pPr>
              <w:jc w:val="center"/>
              <w:rPr>
                <w:rFonts w:ascii="黑体" w:hAnsi="黑体" w:eastAsia="黑体"/>
                <w:b/>
                <w:szCs w:val="21"/>
              </w:rPr>
            </w:pPr>
          </w:p>
          <w:p>
            <w:pPr>
              <w:jc w:val="center"/>
              <w:rPr>
                <w:rFonts w:hint="eastAsia" w:ascii="黑体" w:hAnsi="黑体" w:eastAsia="黑体"/>
                <w:b/>
                <w:szCs w:val="21"/>
              </w:rPr>
            </w:pPr>
          </w:p>
          <w:p>
            <w:pPr>
              <w:jc w:val="center"/>
              <w:rPr>
                <w:rFonts w:ascii="黑体" w:hAnsi="黑体" w:eastAsia="黑体"/>
                <w:b/>
                <w:szCs w:val="21"/>
              </w:rPr>
            </w:pPr>
          </w:p>
          <w:p>
            <w:pPr>
              <w:jc w:val="center"/>
              <w:rPr>
                <w:rFonts w:hint="eastAsia" w:ascii="黑体" w:hAnsi="黑体" w:eastAsia="黑体"/>
                <w:b/>
                <w:szCs w:val="21"/>
              </w:rPr>
            </w:pPr>
          </w:p>
          <w:p>
            <w:pPr>
              <w:jc w:val="center"/>
              <w:rPr>
                <w:rFonts w:hint="eastAsia" w:ascii="黑体" w:hAnsi="黑体" w:eastAsia="黑体"/>
                <w:b/>
                <w:szCs w:val="21"/>
              </w:rPr>
            </w:pPr>
          </w:p>
          <w:p>
            <w:pPr>
              <w:jc w:val="center"/>
              <w:rPr>
                <w:rFonts w:hint="eastAsia" w:ascii="黑体" w:hAnsi="黑体" w:eastAsia="黑体"/>
                <w:b/>
                <w:szCs w:val="21"/>
              </w:rPr>
            </w:pPr>
          </w:p>
        </w:tc>
      </w:tr>
    </w:tbl>
    <w:p>
      <w:pPr>
        <w:jc w:val="center"/>
        <w:rPr>
          <w:rFonts w:hint="eastAsia" w:ascii="黑体" w:hAnsi="宋体" w:eastAsia="黑体"/>
          <w:b/>
          <w:bCs/>
          <w:color w:val="000000"/>
          <w:sz w:val="18"/>
        </w:rPr>
      </w:pPr>
    </w:p>
    <w:p>
      <w:pPr>
        <w:autoSpaceDE w:val="0"/>
        <w:spacing w:line="480" w:lineRule="auto"/>
        <w:rPr>
          <w:b/>
          <w:bCs/>
          <w:sz w:val="28"/>
          <w:szCs w:val="28"/>
        </w:rPr>
      </w:pPr>
      <w:r>
        <w:rPr>
          <w:rFonts w:hint="eastAsia" w:ascii="宋体" w:hAnsi="宋体"/>
          <w:b/>
          <w:bCs/>
          <w:sz w:val="28"/>
          <w:szCs w:val="28"/>
        </w:rPr>
        <w:t>教师签名：</w:t>
      </w:r>
      <w:r>
        <w:rPr>
          <w:rFonts w:hint="eastAsia"/>
          <w:b/>
          <w:bCs/>
          <w:sz w:val="28"/>
          <w:szCs w:val="28"/>
          <w:u w:val="single"/>
        </w:rPr>
        <w:t xml:space="preserve">               </w:t>
      </w:r>
    </w:p>
    <w:p>
      <w:pPr>
        <w:rPr>
          <w:szCs w:val="21"/>
        </w:rPr>
      </w:pPr>
      <w:r>
        <w:rPr>
          <w:rFonts w:ascii="宋体" w:hAnsi="宋体"/>
          <w:b/>
          <w:bCs/>
          <w:kern w:val="8"/>
          <w:sz w:val="28"/>
          <w:szCs w:val="28"/>
        </w:rPr>
        <w:t>日</w:t>
      </w:r>
      <w:r>
        <w:rPr>
          <w:rFonts w:hint="eastAsia"/>
          <w:b/>
          <w:bCs/>
          <w:kern w:val="8"/>
          <w:sz w:val="28"/>
          <w:szCs w:val="28"/>
        </w:rPr>
        <w:t xml:space="preserve">    </w:t>
      </w:r>
      <w:r>
        <w:rPr>
          <w:rFonts w:ascii="宋体" w:hAnsi="宋体"/>
          <w:b/>
          <w:bCs/>
          <w:kern w:val="8"/>
          <w:sz w:val="28"/>
          <w:szCs w:val="28"/>
        </w:rPr>
        <w:t>期</w:t>
      </w:r>
      <w:r>
        <w:rPr>
          <w:rFonts w:hint="eastAsia" w:ascii="宋体" w:hAnsi="宋体"/>
          <w:b/>
          <w:bCs/>
          <w:sz w:val="28"/>
          <w:szCs w:val="28"/>
        </w:rPr>
        <w:t xml:space="preserve">：2024年 </w:t>
      </w:r>
      <w:r>
        <w:rPr>
          <w:rFonts w:hint="eastAsia" w:ascii="宋体" w:hAnsi="宋体"/>
          <w:b/>
          <w:bCs/>
          <w:sz w:val="28"/>
          <w:szCs w:val="28"/>
          <w:lang w:val="en-US" w:eastAsia="zh-CN"/>
        </w:rPr>
        <w:t>6</w:t>
      </w:r>
      <w:r>
        <w:rPr>
          <w:rFonts w:hint="eastAsia" w:ascii="宋体" w:hAnsi="宋体"/>
          <w:b/>
          <w:bCs/>
          <w:sz w:val="28"/>
          <w:szCs w:val="28"/>
        </w:rPr>
        <w:t xml:space="preserve">月 </w:t>
      </w:r>
      <w:r>
        <w:rPr>
          <w:rFonts w:hint="eastAsia" w:ascii="宋体" w:hAnsi="宋体"/>
          <w:b/>
          <w:bCs/>
          <w:sz w:val="28"/>
          <w:szCs w:val="28"/>
          <w:lang w:val="en-US" w:eastAsia="zh-CN"/>
        </w:rPr>
        <w:t>9</w:t>
      </w:r>
      <w:r>
        <w:rPr>
          <w:rFonts w:hint="eastAsia" w:ascii="宋体" w:hAnsi="宋体"/>
          <w:b/>
          <w:bCs/>
          <w:sz w:val="28"/>
          <w:szCs w:val="28"/>
        </w:rPr>
        <w:t>日</w:t>
      </w:r>
    </w:p>
    <w:p>
      <w:pPr>
        <w:jc w:val="center"/>
        <w:rPr>
          <w:rFonts w:hint="eastAsia" w:eastAsia="黑体"/>
          <w:bCs/>
          <w:sz w:val="44"/>
          <w:szCs w:val="44"/>
        </w:rPr>
      </w:pPr>
    </w:p>
    <w:p>
      <w:pPr>
        <w:jc w:val="center"/>
        <w:rPr>
          <w:rFonts w:hint="eastAsia" w:eastAsia="黑体"/>
          <w:bCs/>
          <w:sz w:val="44"/>
          <w:szCs w:val="44"/>
        </w:rPr>
      </w:pPr>
    </w:p>
    <w:p>
      <w:pPr>
        <w:jc w:val="center"/>
        <w:rPr>
          <w:rFonts w:hint="eastAsia" w:eastAsia="黑体"/>
          <w:bCs/>
          <w:sz w:val="44"/>
          <w:szCs w:val="44"/>
        </w:rPr>
      </w:pPr>
    </w:p>
    <w:p>
      <w:pPr>
        <w:jc w:val="center"/>
        <w:rPr>
          <w:rFonts w:hint="eastAsia" w:eastAsia="黑体"/>
          <w:bCs/>
          <w:sz w:val="44"/>
          <w:szCs w:val="44"/>
        </w:rPr>
      </w:pPr>
    </w:p>
    <w:p>
      <w:pPr>
        <w:jc w:val="center"/>
        <w:rPr>
          <w:rFonts w:hint="eastAsia" w:eastAsia="黑体"/>
          <w:bCs/>
          <w:sz w:val="44"/>
          <w:szCs w:val="44"/>
        </w:rPr>
      </w:pPr>
    </w:p>
    <w:p>
      <w:pPr>
        <w:jc w:val="center"/>
        <w:rPr>
          <w:rFonts w:ascii="宋体" w:hAnsi="宋体"/>
          <w:sz w:val="28"/>
        </w:rPr>
      </w:pPr>
      <w:r>
        <w:rPr>
          <w:rFonts w:hint="eastAsia" w:eastAsia="黑体"/>
          <w:bCs/>
          <w:sz w:val="30"/>
          <w:szCs w:val="30"/>
          <w:lang w:val="en-US" w:eastAsia="zh-CN"/>
        </w:rPr>
        <w:t>结合k-means方法的LSTM股票分类预测</w:t>
      </w:r>
    </w:p>
    <w:p>
      <w:pPr>
        <w:spacing w:line="400" w:lineRule="exact"/>
        <w:jc w:val="center"/>
        <w:rPr>
          <w:rFonts w:hint="eastAsia" w:ascii="宋体" w:hAnsi="宋体" w:eastAsia="宋体"/>
          <w:sz w:val="28"/>
          <w:lang w:eastAsia="zh-CN"/>
        </w:rPr>
      </w:pPr>
      <w:r>
        <w:rPr>
          <w:rFonts w:hint="eastAsia" w:ascii="宋体" w:hAnsi="宋体"/>
          <w:sz w:val="28"/>
        </w:rPr>
        <w:t>姓名：</w:t>
      </w:r>
      <w:r>
        <w:rPr>
          <w:rFonts w:hint="eastAsia" w:ascii="宋体" w:hAnsi="宋体"/>
          <w:sz w:val="28"/>
          <w:lang w:val="en-US" w:eastAsia="zh-CN"/>
        </w:rPr>
        <w:t>成颖</w:t>
      </w:r>
    </w:p>
    <w:p>
      <w:pPr>
        <w:spacing w:line="400" w:lineRule="exact"/>
        <w:jc w:val="center"/>
        <w:rPr>
          <w:rFonts w:hint="default" w:ascii="宋体" w:hAnsi="宋体" w:eastAsia="宋体"/>
          <w:sz w:val="28"/>
          <w:lang w:val="en-US" w:eastAsia="zh-CN"/>
        </w:rPr>
      </w:pPr>
      <w:r>
        <w:rPr>
          <w:rFonts w:hint="eastAsia" w:ascii="宋体" w:hAnsi="宋体"/>
          <w:sz w:val="28"/>
        </w:rPr>
        <w:t xml:space="preserve">学号： </w:t>
      </w:r>
      <w:r>
        <w:rPr>
          <w:rFonts w:hint="eastAsia" w:ascii="宋体" w:hAnsi="宋体"/>
          <w:sz w:val="28"/>
          <w:lang w:val="en-US" w:eastAsia="zh-CN"/>
        </w:rPr>
        <w:t>2126010314</w:t>
      </w:r>
      <w:r>
        <w:rPr>
          <w:rFonts w:ascii="宋体" w:hAnsi="宋体"/>
          <w:sz w:val="28"/>
        </w:rPr>
        <w:t xml:space="preserve">   </w:t>
      </w:r>
      <w:r>
        <w:rPr>
          <w:rFonts w:hint="eastAsia" w:ascii="宋体" w:hAnsi="宋体"/>
          <w:sz w:val="28"/>
        </w:rPr>
        <w:t>E-mail：</w:t>
      </w:r>
      <w:r>
        <w:rPr>
          <w:rFonts w:hint="eastAsia" w:ascii="宋体" w:hAnsi="宋体"/>
          <w:sz w:val="28"/>
          <w:lang w:val="en-US" w:eastAsia="zh-CN"/>
        </w:rPr>
        <w:t>2871128658qq.com</w:t>
      </w:r>
    </w:p>
    <w:p>
      <w:pPr>
        <w:autoSpaceDE w:val="0"/>
        <w:autoSpaceDN w:val="0"/>
        <w:spacing w:line="276" w:lineRule="auto"/>
        <w:rPr>
          <w:rFonts w:ascii="黑体" w:hAnsi="宋体" w:eastAsia="黑体"/>
          <w:b/>
          <w:bCs/>
          <w:sz w:val="18"/>
        </w:rPr>
      </w:pPr>
      <w:bookmarkStart w:id="0" w:name="OLE_LINK9"/>
      <w:bookmarkStart w:id="1" w:name="OLE_LINK10"/>
      <w:r>
        <w:rPr>
          <w:rFonts w:ascii="黑体" w:hAnsi="宋体" w:eastAsia="黑体"/>
          <w:b/>
          <w:bCs/>
          <w:sz w:val="18"/>
        </w:rPr>
        <w:t>摘  要 ：</w:t>
      </w:r>
    </w:p>
    <w:p>
      <w:pPr>
        <w:autoSpaceDE w:val="0"/>
        <w:autoSpaceDN w:val="0"/>
        <w:spacing w:line="276" w:lineRule="auto"/>
        <w:rPr>
          <w:sz w:val="18"/>
          <w:szCs w:val="18"/>
        </w:rPr>
      </w:pPr>
      <w:r>
        <w:rPr>
          <w:b/>
          <w:sz w:val="18"/>
          <w:szCs w:val="18"/>
        </w:rPr>
        <w:t>目的</w:t>
      </w:r>
      <w:r>
        <w:rPr>
          <w:sz w:val="18"/>
          <w:szCs w:val="18"/>
        </w:rPr>
        <w:t xml:space="preserve"> </w:t>
      </w:r>
      <w:r>
        <w:rPr>
          <w:rFonts w:hint="eastAsia"/>
          <w:sz w:val="18"/>
          <w:szCs w:val="18"/>
          <w:lang w:val="en-US" w:eastAsia="zh-CN"/>
        </w:rPr>
        <w:t>选取沪深京板块为背景，选取部分行业股票进行分析。模仿股票网站的K线，做出箱线图与折线图，方便准确的分析行业的走向。对比分析不同年份的行业数据，调查行业的发展情况，结合实际情况对股票进行分析。根据涨跌幅、振幅等股票特征进行聚类分析，基于已经建立的股票分类，利用长短期记忆网络（Long Short-Term Memory, LSTM）建立分类预测模型，以便帮助投资者更好的理解并投资不同类型的股票。</w:t>
      </w:r>
    </w:p>
    <w:p>
      <w:pPr>
        <w:autoSpaceDE w:val="0"/>
        <w:autoSpaceDN w:val="0"/>
        <w:spacing w:line="276" w:lineRule="auto"/>
        <w:rPr>
          <w:rFonts w:hint="default"/>
          <w:sz w:val="18"/>
          <w:szCs w:val="18"/>
          <w:lang w:val="en-US"/>
        </w:rPr>
      </w:pPr>
      <w:r>
        <w:rPr>
          <w:b/>
          <w:sz w:val="18"/>
          <w:szCs w:val="18"/>
        </w:rPr>
        <w:t>方法</w:t>
      </w:r>
      <w:r>
        <w:rPr>
          <w:sz w:val="18"/>
          <w:szCs w:val="18"/>
        </w:rPr>
        <w:t xml:space="preserve"> </w:t>
      </w:r>
      <w:r>
        <w:rPr>
          <w:rFonts w:hint="eastAsia"/>
          <w:sz w:val="18"/>
          <w:szCs w:val="18"/>
          <w:lang w:val="en-US" w:eastAsia="zh-CN"/>
        </w:rPr>
        <w:t>首先在东方财富网挑选合适的股票，对选取的股票数据进行爬取并进行整理。然后进行建模分析，运用k-means算法进行聚类分析，</w:t>
      </w:r>
      <w:r>
        <w:rPr>
          <w:rFonts w:hint="eastAsia" w:ascii="Times New Roman" w:hAnsi="Times New Roman" w:eastAsia="宋体" w:cs="Times New Roman"/>
          <w:sz w:val="18"/>
          <w:szCs w:val="18"/>
          <w:lang w:val="en-US" w:eastAsia="zh-CN"/>
        </w:rPr>
        <w:t>K-means是一种常用的聚类算法，用于将数据集中的观测点分为</w:t>
      </w:r>
      <w:r>
        <w:rPr>
          <w:rFonts w:hint="default" w:ascii="Times New Roman" w:hAnsi="Times New Roman" w:eastAsia="宋体" w:cs="Times New Roman"/>
          <w:sz w:val="18"/>
          <w:szCs w:val="18"/>
          <w:lang w:val="en-US" w:eastAsia="zh-CN"/>
        </w:rPr>
        <w:fldChar w:fldCharType="begin"/>
      </w:r>
      <w:r>
        <w:rPr>
          <w:rFonts w:hint="default" w:ascii="Times New Roman" w:hAnsi="Times New Roman" w:eastAsia="宋体" w:cs="Times New Roman"/>
          <w:sz w:val="18"/>
          <w:szCs w:val="18"/>
          <w:lang w:val="en-US" w:eastAsia="zh-CN"/>
        </w:rPr>
        <w:instrText xml:space="preserve"> HYPERLINK "https://so.csdn.net/so/search?q=%E4%B8%8D%E5%90%8C%E7%9A%84&amp;spm=1001.2101.3001.7020" \t "https://blog.csdn.net/m0_56694518/article/details/_blank" </w:instrText>
      </w:r>
      <w:r>
        <w:rPr>
          <w:rFonts w:hint="default" w:ascii="Times New Roman" w:hAnsi="Times New Roman" w:eastAsia="宋体" w:cs="Times New Roman"/>
          <w:sz w:val="18"/>
          <w:szCs w:val="18"/>
          <w:lang w:val="en-US" w:eastAsia="zh-CN"/>
        </w:rPr>
        <w:fldChar w:fldCharType="separate"/>
      </w:r>
      <w:r>
        <w:rPr>
          <w:rFonts w:hint="default" w:ascii="Times New Roman" w:hAnsi="Times New Roman" w:eastAsia="宋体" w:cs="Times New Roman"/>
          <w:sz w:val="18"/>
          <w:szCs w:val="18"/>
          <w:lang w:val="en-US" w:eastAsia="zh-CN"/>
        </w:rPr>
        <w:t>不同的</w:t>
      </w:r>
      <w:r>
        <w:rPr>
          <w:rFonts w:hint="default" w:ascii="Times New Roman" w:hAnsi="Times New Roman" w:eastAsia="宋体" w:cs="Times New Roman"/>
          <w:sz w:val="18"/>
          <w:szCs w:val="18"/>
          <w:lang w:val="en-US" w:eastAsia="zh-CN"/>
        </w:rPr>
        <w:fldChar w:fldCharType="end"/>
      </w:r>
      <w:r>
        <w:rPr>
          <w:rFonts w:hint="default" w:ascii="Times New Roman" w:hAnsi="Times New Roman" w:eastAsia="宋体" w:cs="Times New Roman"/>
          <w:sz w:val="18"/>
          <w:szCs w:val="18"/>
          <w:lang w:val="en-US" w:eastAsia="zh-CN"/>
        </w:rPr>
        <w:t>群组或簇。聚类是一种无监督学习方法，其目标是发现数据中隐藏的结构，将相似的数据点划分为同一组，同时将不相似的数据点划分为不同的组。</w:t>
      </w:r>
      <w:r>
        <w:rPr>
          <w:rFonts w:hint="eastAsia"/>
          <w:sz w:val="18"/>
          <w:szCs w:val="18"/>
          <w:lang w:val="en-US" w:eastAsia="zh-CN"/>
        </w:rPr>
        <w:t>其中通过画肘部图确定合适的k值。运用长短期记忆网络，通过选取的聚类股票特征，预处理数据集，划分出测试集与训练集。在使用长短期记忆网络对训练集进行训练后，确定出适合的参数，再对测试集进行测试。</w:t>
      </w:r>
    </w:p>
    <w:p>
      <w:pPr>
        <w:autoSpaceDE w:val="0"/>
        <w:autoSpaceDN w:val="0"/>
        <w:spacing w:line="276" w:lineRule="auto"/>
        <w:rPr>
          <w:rFonts w:hint="default" w:eastAsia="宋体"/>
          <w:sz w:val="18"/>
          <w:szCs w:val="18"/>
          <w:lang w:val="en-US" w:eastAsia="zh-CN"/>
        </w:rPr>
      </w:pPr>
      <w:r>
        <w:rPr>
          <w:b/>
          <w:sz w:val="18"/>
          <w:szCs w:val="18"/>
        </w:rPr>
        <w:t>结果</w:t>
      </w:r>
      <w:r>
        <w:rPr>
          <w:sz w:val="18"/>
          <w:szCs w:val="18"/>
        </w:rPr>
        <w:t xml:space="preserve"> 实验</w:t>
      </w:r>
      <w:r>
        <w:rPr>
          <w:rFonts w:hint="eastAsia"/>
          <w:sz w:val="18"/>
          <w:szCs w:val="18"/>
          <w:lang w:val="en-US" w:eastAsia="zh-CN"/>
        </w:rPr>
        <w:t>选取了5个行业板块共计89只股票近年来的数据。通过手肘法，观察手肘图，确定k值为4，故最佳簇数数量为4。大致可以分为4种类型：涨跌幅比较小，振幅比较大；涨跌幅比较大，振幅比较小；涨跌幅与振幅适中；涨跌幅极大，振幅小。使用混淆矩阵对构建的分类模型的性能进行</w:t>
      </w:r>
      <w:r>
        <w:rPr>
          <w:rFonts w:ascii="Segoe UI" w:hAnsi="Segoe UI" w:eastAsia="Segoe UI" w:cs="Segoe UI"/>
          <w:i w:val="0"/>
          <w:iCs w:val="0"/>
          <w:caps w:val="0"/>
          <w:color w:val="05073B"/>
          <w:spacing w:val="0"/>
          <w:sz w:val="18"/>
          <w:szCs w:val="18"/>
          <w:shd w:val="clear" w:fill="FDFDFE"/>
        </w:rPr>
        <w:t>评估</w:t>
      </w:r>
      <w:r>
        <w:rPr>
          <w:rFonts w:hint="eastAsia" w:ascii="Segoe UI" w:hAnsi="Segoe UI" w:cs="Segoe UI"/>
          <w:i w:val="0"/>
          <w:iCs w:val="0"/>
          <w:caps w:val="0"/>
          <w:color w:val="05073B"/>
          <w:spacing w:val="0"/>
          <w:sz w:val="18"/>
          <w:szCs w:val="18"/>
          <w:shd w:val="clear" w:fill="FDFDFE"/>
          <w:lang w:eastAsia="zh-CN"/>
        </w:rPr>
        <w:t>。</w:t>
      </w:r>
      <w:r>
        <w:rPr>
          <w:rFonts w:hint="eastAsia" w:ascii="Segoe UI" w:hAnsi="Segoe UI" w:cs="Segoe UI"/>
          <w:i w:val="0"/>
          <w:iCs w:val="0"/>
          <w:caps w:val="0"/>
          <w:color w:val="05073B"/>
          <w:spacing w:val="0"/>
          <w:sz w:val="18"/>
          <w:szCs w:val="18"/>
          <w:shd w:val="clear" w:fill="FDFDFE"/>
          <w:lang w:val="en-US" w:eastAsia="zh-CN"/>
        </w:rPr>
        <w:t>在训练集中，对0类的预测精度为98.6%，对1、2类的预测精度为100%，对第3类的预测精度97%，训练集的预测正确率为99.0132%；在测试集中，0类预测精度为97%，其他类别预测精度为100%，测试集预测正确率为99.2366%。</w:t>
      </w:r>
    </w:p>
    <w:p>
      <w:pPr>
        <w:autoSpaceDE w:val="0"/>
        <w:autoSpaceDN w:val="0"/>
        <w:spacing w:line="276" w:lineRule="auto"/>
        <w:rPr>
          <w:sz w:val="18"/>
          <w:szCs w:val="18"/>
        </w:rPr>
      </w:pPr>
      <w:r>
        <w:rPr>
          <w:b/>
          <w:sz w:val="18"/>
          <w:szCs w:val="18"/>
        </w:rPr>
        <w:t>结论</w:t>
      </w:r>
      <w:r>
        <w:rPr>
          <w:sz w:val="18"/>
          <w:szCs w:val="18"/>
        </w:rPr>
        <w:t xml:space="preserve"> 本文所提出的</w:t>
      </w:r>
      <w:r>
        <w:rPr>
          <w:rFonts w:hint="eastAsia"/>
          <w:sz w:val="18"/>
          <w:szCs w:val="18"/>
          <w:lang w:val="en-US" w:eastAsia="zh-CN"/>
        </w:rPr>
        <w:t>方法与</w:t>
      </w:r>
      <w:r>
        <w:rPr>
          <w:sz w:val="18"/>
          <w:szCs w:val="18"/>
        </w:rPr>
        <w:t>模型，</w:t>
      </w:r>
      <w:r>
        <w:rPr>
          <w:rFonts w:hint="eastAsia"/>
          <w:sz w:val="18"/>
          <w:szCs w:val="18"/>
          <w:lang w:val="en-US" w:eastAsia="zh-CN"/>
        </w:rPr>
        <w:t>能够对股票数据进行处理，并且对股票进行基础的聚类分析以及预测</w:t>
      </w:r>
      <w:r>
        <w:rPr>
          <w:sz w:val="18"/>
          <w:szCs w:val="18"/>
        </w:rPr>
        <w:t>。</w:t>
      </w:r>
      <w:bookmarkEnd w:id="0"/>
      <w:bookmarkEnd w:id="1"/>
    </w:p>
    <w:p>
      <w:pPr>
        <w:autoSpaceDE w:val="0"/>
        <w:autoSpaceDN w:val="0"/>
        <w:spacing w:line="276" w:lineRule="auto"/>
        <w:rPr>
          <w:sz w:val="18"/>
          <w:szCs w:val="18"/>
        </w:rPr>
      </w:pPr>
      <w:r>
        <w:rPr>
          <w:rFonts w:ascii="黑体" w:hAnsi="宋体" w:eastAsia="黑体"/>
          <w:b/>
          <w:bCs/>
          <w:sz w:val="18"/>
        </w:rPr>
        <w:t>关键词</w:t>
      </w:r>
      <w:r>
        <w:rPr>
          <w:rFonts w:eastAsia="黑体"/>
          <w:sz w:val="18"/>
          <w:szCs w:val="18"/>
        </w:rPr>
        <w:t>：</w:t>
      </w:r>
      <w:r>
        <w:rPr>
          <w:rFonts w:hint="eastAsia"/>
          <w:sz w:val="18"/>
          <w:szCs w:val="18"/>
          <w:lang w:val="en-US" w:eastAsia="zh-CN"/>
        </w:rPr>
        <w:t>机器学习</w:t>
      </w:r>
      <w:r>
        <w:rPr>
          <w:rFonts w:hint="eastAsia"/>
          <w:sz w:val="18"/>
          <w:szCs w:val="18"/>
        </w:rPr>
        <w:t>；</w:t>
      </w:r>
      <w:r>
        <w:rPr>
          <w:rFonts w:hint="eastAsia" w:ascii="Times New Roman" w:hAnsi="Times New Roman" w:eastAsia="宋体" w:cs="Times New Roman"/>
          <w:sz w:val="18"/>
          <w:szCs w:val="18"/>
          <w:lang w:val="en-US" w:eastAsia="zh-CN"/>
        </w:rPr>
        <w:t>K-means聚类</w:t>
      </w:r>
      <w:r>
        <w:rPr>
          <w:rFonts w:hint="eastAsia"/>
          <w:sz w:val="18"/>
          <w:szCs w:val="18"/>
        </w:rPr>
        <w:t>；</w:t>
      </w:r>
      <w:r>
        <w:rPr>
          <w:rFonts w:hint="eastAsia"/>
          <w:sz w:val="18"/>
          <w:szCs w:val="18"/>
          <w:lang w:val="en-US" w:eastAsia="zh-CN"/>
        </w:rPr>
        <w:t>长短期记忆网络</w:t>
      </w:r>
      <w:r>
        <w:rPr>
          <w:rFonts w:hint="eastAsia"/>
          <w:sz w:val="18"/>
          <w:szCs w:val="18"/>
        </w:rPr>
        <w:t>；</w:t>
      </w:r>
      <w:r>
        <w:rPr>
          <w:rFonts w:hint="eastAsia"/>
          <w:sz w:val="18"/>
          <w:szCs w:val="18"/>
          <w:lang w:val="en-US" w:eastAsia="zh-CN"/>
        </w:rPr>
        <w:t>手肘法</w:t>
      </w:r>
      <w:r>
        <w:rPr>
          <w:rFonts w:hint="eastAsia"/>
          <w:sz w:val="18"/>
          <w:szCs w:val="18"/>
        </w:rPr>
        <w:t>；</w:t>
      </w:r>
      <w:r>
        <w:rPr>
          <w:rFonts w:hint="eastAsia"/>
          <w:sz w:val="18"/>
          <w:szCs w:val="18"/>
          <w:lang w:val="en-US" w:eastAsia="zh-CN"/>
        </w:rPr>
        <w:t>股票</w:t>
      </w:r>
    </w:p>
    <w:p>
      <w:pPr>
        <w:rPr>
          <w:rFonts w:hint="eastAsia" w:ascii="黑体" w:hAnsi="宋体" w:eastAsia="黑体"/>
          <w:sz w:val="18"/>
        </w:rPr>
      </w:pPr>
    </w:p>
    <w:p>
      <w:pPr>
        <w:spacing w:line="276" w:lineRule="auto"/>
        <w:rPr>
          <w:color w:val="FF0000"/>
          <w:sz w:val="18"/>
          <w:szCs w:val="18"/>
        </w:rPr>
      </w:pPr>
    </w:p>
    <w:p>
      <w:pPr>
        <w:spacing w:line="276" w:lineRule="auto"/>
        <w:rPr>
          <w:color w:val="FF0000"/>
          <w:sz w:val="18"/>
          <w:szCs w:val="18"/>
        </w:rPr>
      </w:pPr>
    </w:p>
    <w:p>
      <w:pPr>
        <w:spacing w:line="276" w:lineRule="auto"/>
        <w:rPr>
          <w:color w:val="FF0000"/>
          <w:sz w:val="18"/>
          <w:szCs w:val="18"/>
        </w:rPr>
      </w:pPr>
    </w:p>
    <w:p>
      <w:pPr>
        <w:spacing w:line="276" w:lineRule="auto"/>
        <w:rPr>
          <w:color w:val="FF0000"/>
          <w:sz w:val="18"/>
          <w:szCs w:val="18"/>
        </w:rPr>
      </w:pPr>
    </w:p>
    <w:p>
      <w:pPr>
        <w:spacing w:line="276" w:lineRule="auto"/>
        <w:rPr>
          <w:color w:val="FF0000"/>
          <w:sz w:val="18"/>
          <w:szCs w:val="18"/>
        </w:rPr>
      </w:pPr>
    </w:p>
    <w:p>
      <w:pPr>
        <w:spacing w:line="276" w:lineRule="auto"/>
        <w:rPr>
          <w:color w:val="FF0000"/>
          <w:sz w:val="18"/>
          <w:szCs w:val="18"/>
        </w:rPr>
      </w:pPr>
    </w:p>
    <w:p>
      <w:pPr>
        <w:spacing w:line="276" w:lineRule="auto"/>
        <w:rPr>
          <w:color w:val="FF0000"/>
          <w:sz w:val="18"/>
          <w:szCs w:val="18"/>
        </w:rPr>
      </w:pPr>
    </w:p>
    <w:p>
      <w:pPr>
        <w:spacing w:line="276" w:lineRule="auto"/>
        <w:rPr>
          <w:color w:val="FF0000"/>
          <w:sz w:val="18"/>
          <w:szCs w:val="18"/>
        </w:rPr>
      </w:pPr>
    </w:p>
    <w:p>
      <w:pPr>
        <w:spacing w:line="276" w:lineRule="auto"/>
        <w:rPr>
          <w:color w:val="FF0000"/>
          <w:sz w:val="18"/>
          <w:szCs w:val="18"/>
        </w:rPr>
      </w:pPr>
    </w:p>
    <w:p>
      <w:pPr>
        <w:spacing w:line="276" w:lineRule="auto"/>
        <w:rPr>
          <w:color w:val="FF0000"/>
          <w:sz w:val="18"/>
          <w:szCs w:val="18"/>
        </w:rPr>
      </w:pPr>
    </w:p>
    <w:p>
      <w:pPr>
        <w:spacing w:line="276" w:lineRule="auto"/>
        <w:rPr>
          <w:color w:val="FF0000"/>
          <w:sz w:val="18"/>
          <w:szCs w:val="18"/>
        </w:rPr>
      </w:pPr>
    </w:p>
    <w:p>
      <w:pPr>
        <w:spacing w:line="276" w:lineRule="auto"/>
        <w:rPr>
          <w:color w:val="FF0000"/>
          <w:sz w:val="18"/>
          <w:szCs w:val="18"/>
        </w:rPr>
      </w:pPr>
    </w:p>
    <w:p>
      <w:pPr>
        <w:spacing w:line="276" w:lineRule="auto"/>
        <w:rPr>
          <w:color w:val="FF0000"/>
          <w:sz w:val="18"/>
          <w:szCs w:val="18"/>
        </w:rPr>
      </w:pPr>
    </w:p>
    <w:p>
      <w:pPr>
        <w:spacing w:line="276" w:lineRule="auto"/>
        <w:rPr>
          <w:color w:val="FF0000"/>
          <w:sz w:val="18"/>
          <w:szCs w:val="18"/>
        </w:rPr>
      </w:pPr>
    </w:p>
    <w:p>
      <w:pPr>
        <w:spacing w:line="276" w:lineRule="auto"/>
        <w:rPr>
          <w:color w:val="FF0000"/>
          <w:sz w:val="18"/>
          <w:szCs w:val="18"/>
        </w:rPr>
      </w:pPr>
    </w:p>
    <w:p>
      <w:pPr>
        <w:spacing w:line="276" w:lineRule="auto"/>
        <w:rPr>
          <w:color w:val="FF0000"/>
          <w:sz w:val="18"/>
          <w:szCs w:val="18"/>
        </w:rPr>
      </w:pPr>
    </w:p>
    <w:p>
      <w:pPr>
        <w:spacing w:line="276" w:lineRule="auto"/>
        <w:rPr>
          <w:color w:val="FF0000"/>
          <w:sz w:val="18"/>
          <w:szCs w:val="18"/>
        </w:rPr>
      </w:pPr>
    </w:p>
    <w:p>
      <w:pPr>
        <w:spacing w:line="276" w:lineRule="auto"/>
        <w:rPr>
          <w:color w:val="FF0000"/>
          <w:sz w:val="18"/>
          <w:szCs w:val="18"/>
        </w:rPr>
      </w:pPr>
    </w:p>
    <w:p>
      <w:pPr>
        <w:spacing w:line="276" w:lineRule="auto"/>
        <w:rPr>
          <w:color w:val="FF0000"/>
          <w:sz w:val="18"/>
          <w:szCs w:val="18"/>
        </w:rPr>
      </w:pPr>
    </w:p>
    <w:p>
      <w:pPr>
        <w:spacing w:line="276" w:lineRule="auto"/>
        <w:rPr>
          <w:rFonts w:ascii="宋体" w:hAnsi="宋体"/>
          <w:b/>
          <w:sz w:val="28"/>
        </w:rPr>
      </w:pPr>
      <w:r>
        <w:rPr>
          <w:rFonts w:ascii="宋体" w:hAnsi="宋体"/>
          <w:b/>
          <w:sz w:val="28"/>
        </w:rPr>
        <w:t>0  引  言</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rPr>
          <w:rFonts w:hint="eastAsia" w:ascii="Times New Roman" w:hAnsi="宋体" w:eastAsia="宋体" w:cs="Times New Roman"/>
          <w:color w:val="auto"/>
          <w:kern w:val="0"/>
          <w:szCs w:val="20"/>
          <w:lang w:val="en-US" w:eastAsia="zh-CN"/>
        </w:rPr>
      </w:pPr>
      <w:r>
        <w:rPr>
          <w:rFonts w:hint="eastAsia" w:hAnsi="宋体"/>
          <w:color w:val="FF0000"/>
          <w:kern w:val="0"/>
          <w:szCs w:val="20"/>
        </w:rPr>
        <w:t xml:space="preserve"> </w:t>
      </w:r>
      <w:r>
        <w:rPr>
          <w:rFonts w:hint="eastAsia" w:hAnsi="宋体"/>
          <w:color w:val="auto"/>
          <w:kern w:val="0"/>
          <w:szCs w:val="20"/>
          <w:lang w:val="en-US" w:eastAsia="zh-CN"/>
        </w:rPr>
        <w:t>股票市场是金融市场的重要组成部分。随着全球化和互联网技术的发展，股票市场的规模和影响力越来越大，成为国家经济发展的重要指标。随着国民经济的发展，中国的股票市场的规模也在持续扩大，早已成为了金融投资的重要部分，掌握股票市场的变化规律，对股票能够正确的分类以及预测，无论对股市的监管者还是投资者都具有极其重要的意义。</w:t>
      </w:r>
      <w:r>
        <w:rPr>
          <w:rFonts w:hint="eastAsia" w:ascii="Times New Roman" w:hAnsi="宋体" w:eastAsia="宋体" w:cs="Times New Roman"/>
          <w:color w:val="auto"/>
          <w:kern w:val="0"/>
          <w:szCs w:val="20"/>
          <w:lang w:val="en-US" w:eastAsia="zh-CN"/>
        </w:rPr>
        <w:t>本文旨在将机器学习的相关技术应用到金融数据的预测中，尝试建立能反映股票</w:t>
      </w:r>
      <w:r>
        <w:rPr>
          <w:rFonts w:hint="eastAsia" w:hAnsi="宋体" w:cs="Times New Roman"/>
          <w:color w:val="auto"/>
          <w:kern w:val="0"/>
          <w:szCs w:val="20"/>
          <w:lang w:val="en-US" w:eastAsia="zh-CN"/>
        </w:rPr>
        <w:t>类别</w:t>
      </w:r>
      <w:r>
        <w:rPr>
          <w:rFonts w:hint="eastAsia" w:ascii="Times New Roman" w:hAnsi="宋体" w:eastAsia="宋体" w:cs="Times New Roman"/>
          <w:color w:val="auto"/>
          <w:kern w:val="0"/>
          <w:szCs w:val="20"/>
          <w:lang w:val="en-US" w:eastAsia="zh-CN"/>
        </w:rPr>
        <w:t>的模型。对股票能够做出较为准确的</w:t>
      </w:r>
      <w:r>
        <w:rPr>
          <w:rFonts w:hint="eastAsia" w:hAnsi="宋体" w:cs="Times New Roman"/>
          <w:color w:val="auto"/>
          <w:kern w:val="0"/>
          <w:szCs w:val="20"/>
          <w:lang w:val="en-US" w:eastAsia="zh-CN"/>
        </w:rPr>
        <w:t>分类以及</w:t>
      </w:r>
      <w:r>
        <w:rPr>
          <w:rFonts w:hint="eastAsia" w:ascii="Times New Roman" w:hAnsi="宋体" w:eastAsia="宋体" w:cs="Times New Roman"/>
          <w:color w:val="auto"/>
          <w:kern w:val="0"/>
          <w:szCs w:val="20"/>
          <w:lang w:val="en-US" w:eastAsia="zh-CN"/>
        </w:rPr>
        <w:t>分析。</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rPr>
          <w:rFonts w:eastAsia="黑体"/>
          <w:sz w:val="28"/>
        </w:rPr>
      </w:pPr>
      <w:r>
        <w:rPr>
          <w:rFonts w:hint="eastAsia"/>
          <w:lang w:val="en-US" w:eastAsia="zh-CN"/>
        </w:rPr>
        <w:t>在股票交易中，大多数的参与者不可能注意全部股票变化，因此对股票进行分类预测时十分重要的。</w:t>
      </w:r>
      <w:r>
        <w:rPr>
          <w:rFonts w:hint="default"/>
          <w:lang w:val="en-US" w:eastAsia="zh-CN"/>
        </w:rPr>
        <w:t>股票分类预测能够帮助投资者识别出具有上升趋势、下降趋势或盘整趋势的股票，从而指导其买入、卖出或持有股票的决策。</w:t>
      </w:r>
      <w:r>
        <w:rPr>
          <w:rFonts w:hint="eastAsia"/>
          <w:lang w:val="en-US" w:eastAsia="zh-CN"/>
        </w:rPr>
        <w:t>并且</w:t>
      </w:r>
      <w:r>
        <w:rPr>
          <w:rFonts w:hint="default"/>
          <w:lang w:val="en-US" w:eastAsia="zh-CN"/>
        </w:rPr>
        <w:t>能够</w:t>
      </w:r>
      <w:r>
        <w:rPr>
          <w:rFonts w:hint="eastAsia"/>
          <w:lang w:val="en-US" w:eastAsia="zh-CN"/>
        </w:rPr>
        <w:t>进行</w:t>
      </w:r>
      <w:r>
        <w:rPr>
          <w:rFonts w:hint="default"/>
          <w:lang w:val="en-US" w:eastAsia="zh-CN"/>
        </w:rPr>
        <w:t>筛选投资机会，帮助投资者在众多股票中找出那些具备上升趋势或者反转趋势的股票，从而找到潜在的投资机会。通过对股票进行分类预测，投资者可以更加精准地设定止损和止盈位，有效地控制投资风险。</w:t>
      </w:r>
      <w:r>
        <w:rPr>
          <w:rFonts w:hint="eastAsia"/>
          <w:lang w:val="en-US" w:eastAsia="zh-CN"/>
        </w:rPr>
        <w:t>股票分类预测在股市中具有重要作用，它不仅能够指导投资决策、筛选投资机会、控制风险，还能提高预测准确率并结合基本面分析为投资者提供全面的市场视角。</w:t>
      </w:r>
    </w:p>
    <w:p>
      <w:pPr>
        <w:rPr>
          <w:rFonts w:hint="eastAsia" w:ascii="宋体" w:hAnsi="宋体"/>
          <w:color w:val="FF0000"/>
        </w:rPr>
      </w:pPr>
      <w:r>
        <w:rPr>
          <w:rFonts w:hint="eastAsia" w:ascii="宋体" w:hAnsi="宋体"/>
          <w:b/>
          <w:sz w:val="28"/>
        </w:rPr>
        <w:t xml:space="preserve">1 </w:t>
      </w:r>
      <w:r>
        <w:rPr>
          <w:rFonts w:hint="eastAsia" w:ascii="宋体" w:hAnsi="宋体"/>
          <w:b/>
          <w:sz w:val="28"/>
          <w:lang w:val="en-US" w:eastAsia="zh-CN"/>
        </w:rPr>
        <w:t>数据与方法</w:t>
      </w:r>
    </w:p>
    <w:p>
      <w:pPr>
        <w:numPr>
          <w:ilvl w:val="1"/>
          <w:numId w:val="2"/>
        </w:numPr>
        <w:rPr>
          <w:rFonts w:hint="eastAsia" w:ascii="宋体" w:hAnsi="宋体"/>
          <w:color w:val="FF0000"/>
        </w:rPr>
      </w:pPr>
      <w:r>
        <w:rPr>
          <w:rFonts w:hint="eastAsia" w:ascii="宋体" w:hAnsi="宋体"/>
          <w:b/>
          <w:lang w:val="en-US" w:eastAsia="zh-CN"/>
        </w:rPr>
        <w:t>数据来源</w:t>
      </w:r>
    </w:p>
    <w:p>
      <w:pPr>
        <w:numPr>
          <w:ilvl w:val="0"/>
          <w:numId w:val="0"/>
        </w:numPr>
        <w:ind w:leftChars="0"/>
        <w:rPr>
          <w:rFonts w:hint="default" w:ascii="宋体" w:hAnsi="宋体" w:eastAsia="宋体"/>
          <w:color w:val="FF0000"/>
          <w:lang w:val="en-US" w:eastAsia="zh-CN"/>
        </w:rPr>
      </w:pPr>
      <w:r>
        <w:rPr>
          <w:rFonts w:hint="eastAsia" w:ascii="宋体" w:hAnsi="宋体"/>
          <w:color w:val="FF0000"/>
          <w:lang w:val="en-US" w:eastAsia="zh-CN"/>
        </w:rPr>
        <w:t xml:space="preserve">    </w:t>
      </w:r>
      <w:r>
        <w:rPr>
          <w:rFonts w:hint="eastAsia" w:ascii="宋体" w:hAnsi="宋体"/>
          <w:color w:val="000000" w:themeColor="text1"/>
          <w:lang w:val="en-US" w:eastAsia="zh-CN"/>
          <w14:textFill>
            <w14:solidFill>
              <w14:schemeClr w14:val="tx1"/>
            </w14:solidFill>
          </w14:textFill>
        </w:rPr>
        <w:t>在东方财富网站上，沪深京板块中，选取半导体、玻璃纤维、电子元件、纺织服装、酿酒行业这5个行业。在这5个行业里各挑选了15-20只股票，收集了股票代码、股票简称、日期、开盘价、收盘价、最高价、最低价、涨跌幅(%)、涨跌额、成交量、成交额、振幅(%)、换手率(%)、行业、地区等信息，作为进行分析的数据。</w:t>
      </w:r>
    </w:p>
    <w:p>
      <w:pPr>
        <w:numPr>
          <w:ilvl w:val="1"/>
          <w:numId w:val="2"/>
        </w:numPr>
        <w:rPr>
          <w:rFonts w:hint="eastAsia" w:ascii="宋体" w:hAnsi="宋体"/>
          <w:b w:val="0"/>
          <w:bCs w:val="0"/>
          <w:color w:val="FF0000"/>
        </w:rPr>
      </w:pPr>
      <w:r>
        <w:rPr>
          <w:rFonts w:hint="eastAsia" w:ascii="宋体" w:hAnsi="宋体" w:eastAsia="宋体" w:cs="Times New Roman"/>
          <w:b/>
          <w:lang w:val="en-US" w:eastAsia="zh-CN"/>
        </w:rPr>
        <w:t>数据处理方法</w:t>
      </w:r>
    </w:p>
    <w:p>
      <w:pPr>
        <w:rPr>
          <w:rFonts w:ascii="宋体" w:hAnsi="宋体"/>
        </w:rPr>
      </w:pPr>
      <w:r>
        <w:rPr>
          <w:rFonts w:hint="eastAsia" w:ascii="宋体" w:hAnsi="宋体"/>
        </w:rPr>
        <w:t>1.</w:t>
      </w:r>
      <w:r>
        <w:rPr>
          <w:rFonts w:hint="eastAsia" w:ascii="宋体" w:hAnsi="宋体"/>
          <w:lang w:val="en-US" w:eastAsia="zh-CN"/>
        </w:rPr>
        <w:t>2</w:t>
      </w:r>
      <w:r>
        <w:rPr>
          <w:rFonts w:hint="eastAsia" w:ascii="宋体" w:hAnsi="宋体"/>
        </w:rPr>
        <w:t>.1</w:t>
      </w:r>
      <w:r>
        <w:rPr>
          <w:rFonts w:hint="eastAsia" w:ascii="宋体" w:hAnsi="宋体"/>
          <w:lang w:val="en-US" w:eastAsia="zh-CN"/>
        </w:rPr>
        <w:t xml:space="preserve"> </w:t>
      </w:r>
      <w:r>
        <w:rPr>
          <w:rFonts w:hint="eastAsia" w:ascii="宋体" w:hAnsi="宋体"/>
          <w:b w:val="0"/>
          <w:bCs w:val="0"/>
          <w:lang w:val="en-US" w:eastAsia="zh-CN"/>
        </w:rPr>
        <w:t>手肘法</w:t>
      </w:r>
    </w:p>
    <w:p>
      <w:pPr>
        <w:adjustRightInd w:val="0"/>
        <w:ind w:firstLine="420" w:firstLineChars="200"/>
        <w:rPr>
          <w:rFonts w:hint="eastAsia"/>
          <w:lang w:val="en-US" w:eastAsia="zh-CN"/>
        </w:rPr>
      </w:pPr>
      <w:r>
        <w:rPr>
          <w:rFonts w:hint="eastAsia"/>
          <w:lang w:val="en-US" w:eastAsia="zh-CN"/>
        </w:rPr>
        <w:t>手肘法是一种确定k值的方法，其核心指标是误差平方根（SSE）</w:t>
      </w:r>
    </w:p>
    <w:p>
      <w:pPr>
        <w:adjustRightInd w:val="0"/>
        <w:ind w:firstLine="420" w:firstLineChars="200"/>
        <w:jc w:val="center"/>
        <w:rPr>
          <w:rFonts w:hint="eastAsia"/>
          <w:lang w:val="en-US" w:eastAsia="zh-CN"/>
        </w:rPr>
      </w:pPr>
      <w:r>
        <w:rPr>
          <w:rFonts w:hint="eastAsia"/>
          <w:position w:val="-36"/>
        </w:rPr>
        <w:object>
          <v:shape id="_x0000_i1025" o:spt="75" type="#_x0000_t75" style="height:40pt;width:103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lang w:val="en-US" w:eastAsia="zh-CN"/>
        </w:rPr>
        <w:t xml:space="preserve">    </w:t>
      </w:r>
      <w:r>
        <w:rPr>
          <w:rFonts w:hint="eastAsia"/>
          <w:lang w:eastAsia="zh-CN"/>
        </w:rPr>
        <w:t>（</w:t>
      </w:r>
      <w:r>
        <w:rPr>
          <w:rFonts w:hint="eastAsia"/>
          <w:lang w:val="en-US" w:eastAsia="zh-CN"/>
        </w:rPr>
        <w:t>1）</w:t>
      </w:r>
    </w:p>
    <w:p>
      <w:pPr>
        <w:adjustRightInd w:val="0"/>
        <w:ind w:firstLine="420" w:firstLineChars="200"/>
        <w:rPr>
          <w:rFonts w:hint="eastAsia"/>
          <w:vertAlign w:val="baseline"/>
          <w:lang w:val="en-US" w:eastAsia="zh-CN"/>
        </w:rPr>
      </w:pPr>
      <w:r>
        <w:rPr>
          <w:rFonts w:hint="eastAsia"/>
          <w:lang w:val="en-US" w:eastAsia="zh-CN"/>
        </w:rPr>
        <w:t>式中：</w:t>
      </w:r>
      <w:r>
        <w:rPr>
          <w:rFonts w:hint="eastAsia"/>
          <w:i/>
          <w:iCs/>
          <w:lang w:val="en-US" w:eastAsia="zh-CN"/>
        </w:rPr>
        <w:t>C</w:t>
      </w:r>
      <w:r>
        <w:rPr>
          <w:rFonts w:hint="eastAsia"/>
          <w:i/>
          <w:iCs/>
          <w:vertAlign w:val="subscript"/>
          <w:lang w:val="en-US" w:eastAsia="zh-CN"/>
        </w:rPr>
        <w:t>i</w:t>
      </w:r>
      <w:r>
        <w:rPr>
          <w:rFonts w:hint="eastAsia"/>
          <w:vertAlign w:val="baseline"/>
          <w:lang w:val="en-US" w:eastAsia="zh-CN"/>
        </w:rPr>
        <w:t>——第</w:t>
      </w:r>
      <w:r>
        <w:rPr>
          <w:rFonts w:hint="eastAsia"/>
          <w:i/>
          <w:iCs/>
          <w:vertAlign w:val="baseline"/>
          <w:lang w:val="en-US" w:eastAsia="zh-CN"/>
        </w:rPr>
        <w:t>i</w:t>
      </w:r>
      <w:r>
        <w:rPr>
          <w:rFonts w:hint="eastAsia"/>
          <w:vertAlign w:val="baseline"/>
          <w:lang w:val="en-US" w:eastAsia="zh-CN"/>
        </w:rPr>
        <w:t>个簇；</w:t>
      </w:r>
    </w:p>
    <w:p>
      <w:pPr>
        <w:adjustRightInd w:val="0"/>
        <w:ind w:firstLine="1050" w:firstLineChars="500"/>
        <w:rPr>
          <w:rFonts w:hint="eastAsia"/>
          <w:i/>
          <w:iCs/>
          <w:vertAlign w:val="baseline"/>
          <w:lang w:val="en-US" w:eastAsia="zh-CN"/>
        </w:rPr>
      </w:pPr>
      <w:r>
        <w:rPr>
          <w:rFonts w:hint="eastAsia"/>
          <w:i/>
          <w:iCs/>
          <w:lang w:val="en-US" w:eastAsia="zh-CN"/>
        </w:rPr>
        <w:t>p</w:t>
      </w:r>
      <w:r>
        <w:rPr>
          <w:rFonts w:hint="eastAsia"/>
          <w:i w:val="0"/>
          <w:iCs w:val="0"/>
          <w:lang w:val="en-US" w:eastAsia="zh-CN"/>
        </w:rPr>
        <w:t>是</w:t>
      </w:r>
      <w:r>
        <w:rPr>
          <w:rFonts w:hint="eastAsia"/>
          <w:i/>
          <w:iCs/>
          <w:lang w:val="en-US" w:eastAsia="zh-CN"/>
        </w:rPr>
        <w:t>C</w:t>
      </w:r>
      <w:r>
        <w:rPr>
          <w:rFonts w:hint="eastAsia"/>
          <w:i/>
          <w:iCs/>
          <w:vertAlign w:val="subscript"/>
          <w:lang w:val="en-US" w:eastAsia="zh-CN"/>
        </w:rPr>
        <w:t>i</w:t>
      </w:r>
      <w:r>
        <w:rPr>
          <w:rFonts w:hint="eastAsia"/>
          <w:i w:val="0"/>
          <w:iCs w:val="0"/>
          <w:vertAlign w:val="baseline"/>
          <w:lang w:val="en-US" w:eastAsia="zh-CN"/>
        </w:rPr>
        <w:t>中的样本点</w:t>
      </w:r>
      <w:r>
        <w:rPr>
          <w:rFonts w:hint="eastAsia"/>
          <w:i/>
          <w:iCs/>
          <w:vertAlign w:val="baseline"/>
          <w:lang w:val="en-US" w:eastAsia="zh-CN"/>
        </w:rPr>
        <w:t>；</w:t>
      </w:r>
    </w:p>
    <w:p>
      <w:pPr>
        <w:adjustRightInd w:val="0"/>
        <w:ind w:firstLine="1050" w:firstLineChars="500"/>
        <w:rPr>
          <w:rFonts w:hint="eastAsia"/>
          <w:vertAlign w:val="baseline"/>
          <w:lang w:val="en-US" w:eastAsia="zh-CN"/>
        </w:rPr>
      </w:pPr>
      <w:r>
        <w:rPr>
          <w:rFonts w:hint="eastAsia"/>
          <w:i/>
          <w:iCs/>
          <w:lang w:val="en-US" w:eastAsia="zh-CN"/>
        </w:rPr>
        <w:t>M</w:t>
      </w:r>
      <w:r>
        <w:rPr>
          <w:rFonts w:hint="eastAsia"/>
          <w:i/>
          <w:iCs/>
          <w:vertAlign w:val="subscript"/>
          <w:lang w:val="en-US" w:eastAsia="zh-CN"/>
        </w:rPr>
        <w:t>i</w:t>
      </w:r>
      <w:r>
        <w:rPr>
          <w:rFonts w:hint="eastAsia"/>
          <w:vertAlign w:val="baseline"/>
          <w:lang w:val="en-US" w:eastAsia="zh-CN"/>
        </w:rPr>
        <w:t>是</w:t>
      </w:r>
      <w:r>
        <w:rPr>
          <w:rFonts w:hint="eastAsia"/>
          <w:i/>
          <w:iCs/>
          <w:vertAlign w:val="baseline"/>
          <w:lang w:val="en-US" w:eastAsia="zh-CN"/>
        </w:rPr>
        <w:t>C</w:t>
      </w:r>
      <w:r>
        <w:rPr>
          <w:rFonts w:hint="eastAsia"/>
          <w:i/>
          <w:iCs/>
          <w:vertAlign w:val="subscript"/>
          <w:lang w:val="en-US" w:eastAsia="zh-CN"/>
        </w:rPr>
        <w:t>i</w:t>
      </w:r>
      <w:r>
        <w:rPr>
          <w:rFonts w:hint="eastAsia"/>
          <w:vertAlign w:val="baseline"/>
          <w:lang w:val="en-US" w:eastAsia="zh-CN"/>
        </w:rPr>
        <w:t>中所有样本的均值；</w:t>
      </w:r>
    </w:p>
    <w:p>
      <w:pPr>
        <w:adjustRightInd w:val="0"/>
        <w:ind w:firstLine="1050" w:firstLineChars="500"/>
        <w:rPr>
          <w:rFonts w:hint="eastAsia"/>
          <w:vertAlign w:val="baseline"/>
          <w:lang w:val="en-US" w:eastAsia="zh-CN"/>
        </w:rPr>
      </w:pPr>
      <w:r>
        <w:rPr>
          <w:rFonts w:hint="eastAsia"/>
          <w:vertAlign w:val="baseline"/>
          <w:lang w:val="en-US" w:eastAsia="zh-CN"/>
        </w:rPr>
        <w:t>SSE是所有样本中的聚类误差，代表了聚类效果的好坏。</w:t>
      </w:r>
    </w:p>
    <w:p>
      <w:pPr>
        <w:adjustRightInd w:val="0"/>
        <w:ind w:firstLine="420" w:firstLineChars="200"/>
        <w:rPr>
          <w:rFonts w:hint="default"/>
          <w:lang w:val="en-US"/>
        </w:rPr>
      </w:pPr>
      <w:r>
        <w:rPr>
          <w:rFonts w:hint="eastAsia" w:ascii="Times New Roman" w:hAnsi="Times New Roman" w:eastAsia="宋体" w:cs="Times New Roman"/>
          <w:lang w:val="en-US" w:eastAsia="zh-CN"/>
        </w:rPr>
        <w:t>随着聚类数k的增大，样本划分会更加精细，每个簇的聚合程度会逐渐提高，那么误差平方和SSE自然会逐渐变小。当k小于真实聚类数时，由于k的增大会大幅增加每个簇的聚合程度，故SSE的下降幅度会很大，而当k到达真实聚类数时，再增加k所得到的聚合程度回报会迅速变小，所以SSE的下降幅度会骤减，然后随着k值的继续增大而趋于平缓，也就是说SSE和k的关系图是一个手肘的形状，而这个肘部对应的k值就是数据的真实聚类数。</w:t>
      </w:r>
    </w:p>
    <w:p>
      <w:pPr>
        <w:adjustRightInd w:val="0"/>
        <w:rPr>
          <w:rFonts w:hint="eastAsia" w:ascii="宋体" w:hAnsi="宋体"/>
        </w:rPr>
      </w:pPr>
      <w:r>
        <w:rPr>
          <w:rFonts w:hint="eastAsia" w:ascii="宋体" w:hAnsi="宋体"/>
        </w:rPr>
        <w:t>1.</w:t>
      </w:r>
      <w:r>
        <w:rPr>
          <w:rFonts w:hint="eastAsia" w:ascii="宋体" w:hAnsi="宋体"/>
          <w:lang w:val="en-US" w:eastAsia="zh-CN"/>
        </w:rPr>
        <w:t>2</w:t>
      </w:r>
      <w:r>
        <w:rPr>
          <w:rFonts w:hint="eastAsia" w:ascii="宋体" w:hAnsi="宋体"/>
        </w:rPr>
        <w:t>.</w:t>
      </w:r>
      <w:r>
        <w:rPr>
          <w:rFonts w:hint="eastAsia" w:ascii="宋体" w:hAnsi="宋体"/>
          <w:lang w:val="en-US" w:eastAsia="zh-CN"/>
        </w:rPr>
        <w:t xml:space="preserve">2  </w:t>
      </w:r>
      <w:r>
        <w:rPr>
          <w:rFonts w:hint="eastAsia" w:ascii="宋体" w:hAnsi="宋体"/>
          <w:color w:val="000000" w:themeColor="text1"/>
          <w:lang w:val="en-US" w:eastAsia="zh-CN"/>
          <w14:textFill>
            <w14:solidFill>
              <w14:schemeClr w14:val="tx1"/>
            </w14:solidFill>
          </w14:textFill>
        </w:rPr>
        <w:t>K-means聚类方法</w:t>
      </w:r>
      <w:r>
        <w:rPr>
          <w:rFonts w:hint="eastAsia" w:ascii="宋体" w:hAnsi="宋体"/>
          <w:color w:val="FF0000"/>
          <w:lang w:val="en-US" w:eastAsia="zh-CN"/>
        </w:rPr>
        <w:t xml:space="preserve">        </w:t>
      </w:r>
    </w:p>
    <w:p>
      <w:pPr>
        <w:numPr>
          <w:ilvl w:val="0"/>
          <w:numId w:val="0"/>
        </w:numPr>
        <w:autoSpaceDE w:val="0"/>
        <w:autoSpaceDN w:val="0"/>
        <w:snapToGrid w:val="0"/>
        <w:spacing w:before="93" w:beforeLines="30" w:after="93" w:afterLines="30" w:line="288" w:lineRule="auto"/>
        <w:ind w:firstLine="420" w:firstLineChars="200"/>
        <w:rPr>
          <w:rFonts w:hint="eastAsia" w:eastAsia="宋体"/>
          <w:lang w:eastAsia="zh-CN"/>
        </w:rPr>
      </w:pPr>
      <w:r>
        <w:rPr>
          <w:rFonts w:hint="eastAsia"/>
          <w:lang w:val="en-US" w:eastAsia="zh-CN"/>
        </w:rPr>
        <w:t>K-means</w:t>
      </w:r>
      <w:r>
        <w:rPr>
          <w:rFonts w:hint="eastAsia"/>
        </w:rPr>
        <w:t>聚类方法是划分聚类算法的典型代表之一，其核心思想是基于数据到中心点距离最小化原则无监督地对数据样本进行空间划分。该方法的工作原理是将n个数据对象按照k值进行划分，通过式（1）计算每个聚类平均值作为聚类中心点值p，通过式（2）计算每个数据对象与每个聚类中心点的距离d，依据距离最小值将数据对象划分到相应的聚类中。当所有数据对象聚类结束后，再通过式（1）计算每个新聚类的中心点值P。当P=p时，中心点值收敛，可终止聚类，否则继续聚类。</w:t>
      </w:r>
    </w:p>
    <w:p>
      <w:pPr>
        <w:numPr>
          <w:ilvl w:val="0"/>
          <w:numId w:val="0"/>
        </w:numPr>
        <w:autoSpaceDE w:val="0"/>
        <w:autoSpaceDN w:val="0"/>
        <w:snapToGrid w:val="0"/>
        <w:spacing w:before="93" w:beforeLines="30" w:after="93" w:afterLines="30" w:line="288" w:lineRule="auto"/>
        <w:jc w:val="center"/>
        <w:rPr>
          <w:rFonts w:hint="default" w:eastAsia="宋体"/>
          <w:lang w:val="en-US" w:eastAsia="zh-CN"/>
        </w:rPr>
      </w:pPr>
      <w:r>
        <w:rPr>
          <w:rFonts w:hint="eastAsia" w:hAnsi="Cambria Math"/>
          <w:i w:val="0"/>
          <w:iCs/>
          <w:kern w:val="2"/>
          <w:position w:val="-28"/>
          <w:sz w:val="21"/>
          <w:szCs w:val="24"/>
          <w:lang w:val="en-US" w:eastAsia="zh-CN" w:bidi="ar-SA"/>
        </w:rPr>
        <w:object>
          <v:shape id="_x0000_i1026" o:spt="75" type="#_x0000_t75" style="height:34pt;width:49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hAnsi="Cambria Math"/>
          <w:i w:val="0"/>
          <w:iCs/>
          <w:kern w:val="2"/>
          <w:sz w:val="21"/>
          <w:szCs w:val="24"/>
          <w:lang w:val="en-US" w:eastAsia="zh-CN" w:bidi="ar-SA"/>
        </w:rPr>
        <w:t xml:space="preserve">     (2)</w:t>
      </w:r>
    </w:p>
    <w:p>
      <w:pPr>
        <w:snapToGrid w:val="0"/>
        <w:spacing w:before="156" w:beforeLines="50" w:after="156" w:afterLines="50"/>
        <w:ind w:firstLine="210" w:firstLineChars="100"/>
        <w:jc w:val="center"/>
        <w:rPr>
          <w:rFonts w:hint="default" w:eastAsia="宋体"/>
          <w:szCs w:val="21"/>
          <w:lang w:val="en-US" w:eastAsia="zh-CN"/>
        </w:rPr>
      </w:pPr>
      <w:r>
        <w:rPr>
          <w:rFonts w:hint="eastAsia"/>
          <w:position w:val="-22"/>
        </w:rPr>
        <w:object>
          <v:shape id="_x0000_i1027" o:spt="75" type="#_x0000_t75" style="height:24.95pt;width:114.9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lang w:val="en-US" w:eastAsia="zh-CN"/>
        </w:rPr>
        <w:t xml:space="preserve">    </w:t>
      </w:r>
      <w:r>
        <w:rPr>
          <w:szCs w:val="21"/>
        </w:rPr>
        <w:t>(</w:t>
      </w:r>
      <w:r>
        <w:rPr>
          <w:rFonts w:hint="eastAsia"/>
          <w:szCs w:val="21"/>
          <w:lang w:val="en-US" w:eastAsia="zh-CN"/>
        </w:rPr>
        <w:t>3)</w:t>
      </w:r>
    </w:p>
    <w:p>
      <w:pPr>
        <w:ind w:firstLine="420" w:firstLineChars="200"/>
        <w:rPr>
          <w:rFonts w:hint="default" w:hAnsi="宋体" w:eastAsia="宋体"/>
          <w:color w:val="00B0F0"/>
          <w:kern w:val="0"/>
          <w:szCs w:val="20"/>
          <w:vertAlign w:val="baseline"/>
          <w:lang w:val="en-US" w:eastAsia="zh-CN"/>
        </w:rPr>
      </w:pPr>
      <w:r>
        <w:rPr>
          <w:szCs w:val="21"/>
        </w:rPr>
        <w:t>式中，</w:t>
      </w:r>
      <w:r>
        <w:rPr>
          <w:rFonts w:hint="eastAsia"/>
          <w:szCs w:val="21"/>
          <w:lang w:val="en-US" w:eastAsia="zh-CN"/>
        </w:rPr>
        <w:t>x</w:t>
      </w:r>
      <w:r>
        <w:rPr>
          <w:rFonts w:hint="eastAsia"/>
          <w:szCs w:val="21"/>
          <w:vertAlign w:val="baseline"/>
          <w:lang w:val="en-US" w:eastAsia="zh-CN"/>
        </w:rPr>
        <w:t>i表示聚类中的数据对象；xi∈{x1,x2,⋯,xn}；dist()表示2范数下的欧几里得距离。</w:t>
      </w:r>
    </w:p>
    <w:p>
      <w:pPr>
        <w:rPr>
          <w:rFonts w:hAnsi="宋体"/>
          <w:color w:val="FF0000"/>
          <w:kern w:val="0"/>
          <w:szCs w:val="20"/>
        </w:rPr>
      </w:pPr>
      <w:r>
        <w:rPr>
          <w:rFonts w:hint="eastAsia" w:ascii="宋体" w:hAnsi="宋体"/>
        </w:rPr>
        <w:t>1.</w:t>
      </w:r>
      <w:r>
        <w:rPr>
          <w:rFonts w:hint="eastAsia" w:ascii="宋体" w:hAnsi="宋体"/>
          <w:lang w:val="en-US" w:eastAsia="zh-CN"/>
        </w:rPr>
        <w:t>2</w:t>
      </w:r>
      <w:r>
        <w:rPr>
          <w:rFonts w:hint="eastAsia" w:ascii="宋体" w:hAnsi="宋体"/>
        </w:rPr>
        <w:t>.</w:t>
      </w:r>
      <w:r>
        <w:rPr>
          <w:rFonts w:hint="eastAsia" w:ascii="宋体" w:hAnsi="宋体"/>
          <w:lang w:val="en-US" w:eastAsia="zh-CN"/>
        </w:rPr>
        <w:t>3</w:t>
      </w:r>
      <w:r>
        <w:rPr>
          <w:rFonts w:hint="eastAsia" w:ascii="宋体" w:hAnsi="宋体"/>
        </w:rPr>
        <w:t xml:space="preserve"> </w:t>
      </w:r>
      <w:r>
        <w:rPr>
          <w:rFonts w:hint="eastAsia" w:ascii="宋体" w:hAnsi="宋体"/>
          <w:lang w:val="en-US" w:eastAsia="zh-CN"/>
        </w:rPr>
        <w:t xml:space="preserve">长短期记忆网络 </w:t>
      </w:r>
      <w:r>
        <w:rPr>
          <w:rFonts w:hint="eastAsia"/>
        </w:rPr>
        <w:t>(LSTM)</w:t>
      </w:r>
      <w:r>
        <w:rPr>
          <w:rFonts w:hint="eastAsia" w:hAnsi="宋体"/>
          <w:color w:val="FF0000"/>
          <w:kern w:val="0"/>
          <w:szCs w:val="20"/>
          <w:lang w:val="en-US" w:eastAsia="zh-CN"/>
        </w:rPr>
        <w:t xml:space="preserve">    </w:t>
      </w:r>
    </w:p>
    <w:p>
      <w:pPr>
        <w:ind w:firstLine="420" w:firstLineChars="200"/>
        <w:jc w:val="both"/>
        <w:rPr>
          <w:rFonts w:hint="eastAsia"/>
        </w:rPr>
      </w:pPr>
      <w:r>
        <w:rPr>
          <w:rFonts w:hint="eastAsia"/>
        </w:rPr>
        <w:t>长短</w:t>
      </w:r>
      <w:r>
        <w:rPr>
          <w:rFonts w:hint="eastAsia"/>
          <w:lang w:val="en-US" w:eastAsia="zh-CN"/>
        </w:rPr>
        <w:t>期</w:t>
      </w:r>
      <w:r>
        <w:rPr>
          <w:rFonts w:hint="eastAsia"/>
        </w:rPr>
        <w:t>记忆网络模型设计了三个门，分别是输入门、遗忘门和输出门。通过这三个“门”的控制，长短</w:t>
      </w:r>
      <w:r>
        <w:rPr>
          <w:rFonts w:hint="eastAsia"/>
          <w:lang w:val="en-US" w:eastAsia="zh-CN"/>
        </w:rPr>
        <w:t>期</w:t>
      </w:r>
      <w:r>
        <w:rPr>
          <w:rFonts w:hint="eastAsia"/>
        </w:rPr>
        <w:t>记忆网络模型可以很好地保护和控制网络中的细胞状态。长短</w:t>
      </w:r>
      <w:r>
        <w:rPr>
          <w:rFonts w:hint="eastAsia"/>
          <w:lang w:val="en-US" w:eastAsia="zh-CN"/>
        </w:rPr>
        <w:t>期</w:t>
      </w:r>
      <w:r>
        <w:rPr>
          <w:rFonts w:hint="eastAsia"/>
        </w:rPr>
        <w:t>记忆网络模型可以通过门控机制，有效地捕捉到序列数据中的长期依赖关系，从而提高模型的准确性，还可以帮助网络有效地控制梯度的流动，从而减轻梯度消失问题的影响。图</w:t>
      </w:r>
      <w:r>
        <w:rPr>
          <w:rFonts w:hint="eastAsia"/>
          <w:lang w:val="en-US" w:eastAsia="zh-CN"/>
        </w:rPr>
        <w:t>1</w:t>
      </w:r>
      <w:r>
        <w:rPr>
          <w:rFonts w:hint="eastAsia"/>
        </w:rPr>
        <w:t>展示了长短</w:t>
      </w:r>
      <w:r>
        <w:rPr>
          <w:rFonts w:hint="eastAsia"/>
          <w:lang w:val="en-US" w:eastAsia="zh-CN"/>
        </w:rPr>
        <w:t>期</w:t>
      </w:r>
      <w:r>
        <w:rPr>
          <w:rFonts w:hint="eastAsia"/>
        </w:rPr>
        <w:t>记忆网络模型的内部结构，通过设计的独特门控机制，可以灵活地决定哪些信息需要被遗忘、哪些信息需要被保留。</w:t>
      </w:r>
    </w:p>
    <w:p>
      <w:pPr>
        <w:ind w:firstLine="420" w:firstLineChars="200"/>
        <w:jc w:val="center"/>
        <w:rPr>
          <w:rFonts w:hint="eastAsia" w:eastAsia="宋体"/>
          <w:lang w:eastAsia="zh-CN"/>
        </w:rPr>
      </w:pPr>
      <w:r>
        <w:rPr>
          <w:rFonts w:hint="eastAsia" w:eastAsia="宋体"/>
          <w:lang w:eastAsia="zh-CN"/>
        </w:rPr>
        <w:drawing>
          <wp:inline distT="0" distB="0" distL="114300" distR="114300">
            <wp:extent cx="4598670" cy="2195830"/>
            <wp:effectExtent l="0" t="0" r="3810" b="13970"/>
            <wp:docPr id="6" name="图片 6" descr="GUAN202406025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UAN202406025_261"/>
                    <pic:cNvPicPr>
                      <a:picLocks noChangeAspect="1"/>
                    </pic:cNvPicPr>
                  </pic:nvPicPr>
                  <pic:blipFill>
                    <a:blip r:embed="rId11"/>
                    <a:stretch>
                      <a:fillRect/>
                    </a:stretch>
                  </pic:blipFill>
                  <pic:spPr>
                    <a:xfrm>
                      <a:off x="0" y="0"/>
                      <a:ext cx="4598670" cy="2195830"/>
                    </a:xfrm>
                    <a:prstGeom prst="rect">
                      <a:avLst/>
                    </a:prstGeom>
                  </pic:spPr>
                </pic:pic>
              </a:graphicData>
            </a:graphic>
          </wp:inline>
        </w:drawing>
      </w:r>
    </w:p>
    <w:p>
      <w:pPr>
        <w:widowControl/>
        <w:jc w:val="center"/>
        <w:textAlignment w:val="center"/>
        <w:rPr>
          <w:rFonts w:hint="eastAsia" w:ascii="宋体" w:hAnsi="宋体"/>
          <w:sz w:val="18"/>
          <w:szCs w:val="18"/>
          <w:lang w:val="en-US" w:eastAsia="zh-CN"/>
        </w:rPr>
      </w:pPr>
      <w:r>
        <w:rPr>
          <w:rFonts w:hint="eastAsia" w:ascii="宋体" w:hAnsi="宋体"/>
          <w:sz w:val="18"/>
          <w:szCs w:val="18"/>
          <w:lang w:val="en-US" w:eastAsia="zh-CN"/>
        </w:rPr>
        <w:t>图1  长短期记忆细胞结果图</w:t>
      </w:r>
    </w:p>
    <w:p>
      <w:pPr>
        <w:ind w:firstLine="420" w:firstLineChars="200"/>
        <w:rPr>
          <w:rFonts w:hint="eastAsia"/>
          <w:lang w:val="en-US" w:eastAsia="zh-CN"/>
        </w:rPr>
      </w:pPr>
      <w:r>
        <w:rPr>
          <w:rFonts w:hint="eastAsia"/>
        </w:rPr>
        <w:t>输入门用来决定细胞中应该加入哪些新状态。此项设计两部分工作：第一部分是通过使用输入门的sigmoid层决定我们要去更新哪些位置上的值，第二部分是通过tanh层生成一个候选值组成可加到细胞状态上的向量</w:t>
      </w:r>
      <w:r>
        <w:rPr>
          <w:rFonts w:hint="eastAsia"/>
          <w:lang w:eastAsia="zh-CN"/>
        </w:rPr>
        <w:t>。</w:t>
      </w:r>
      <w:r>
        <w:rPr>
          <w:rFonts w:hint="eastAsia"/>
          <w:lang w:val="en-US" w:eastAsia="zh-CN"/>
        </w:rPr>
        <w:t>输入门状态更新公式</w:t>
      </w:r>
    </w:p>
    <w:p>
      <w:pPr>
        <w:ind w:firstLine="420" w:firstLineChars="200"/>
        <w:jc w:val="center"/>
        <w:rPr>
          <w:rFonts w:hint="eastAsia"/>
          <w:lang w:val="en-US" w:eastAsia="zh-CN"/>
        </w:rPr>
      </w:pPr>
      <w:r>
        <w:rPr>
          <w:rFonts w:hint="eastAsia"/>
          <w:position w:val="-12"/>
          <w:lang w:val="en-US" w:eastAsia="zh-CN"/>
        </w:rPr>
        <w:object>
          <v:shape id="_x0000_i1028" o:spt="75" type="#_x0000_t75" style="height:18pt;width:103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lang w:val="en-US" w:eastAsia="zh-CN"/>
        </w:rPr>
        <w:t xml:space="preserve">    (4)</w:t>
      </w:r>
    </w:p>
    <w:p>
      <w:pPr>
        <w:ind w:firstLine="420" w:firstLineChars="200"/>
        <w:jc w:val="center"/>
        <w:rPr>
          <w:rFonts w:hint="eastAsia"/>
          <w:lang w:val="en-US" w:eastAsia="zh-CN"/>
        </w:rPr>
      </w:pPr>
      <w:r>
        <w:rPr>
          <w:rFonts w:hint="default"/>
          <w:position w:val="-12"/>
          <w:lang w:val="en-US" w:eastAsia="zh-CN"/>
        </w:rPr>
        <w:object>
          <v:shape id="_x0000_i1029" o:spt="75" type="#_x0000_t75" style="height:20pt;width:123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lang w:val="en-US" w:eastAsia="zh-CN"/>
        </w:rPr>
        <w:t xml:space="preserve">    (5)</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式(</w:t>
      </w:r>
      <w:r>
        <w:rPr>
          <w:rFonts w:hint="eastAsia"/>
          <w:lang w:val="en-US" w:eastAsia="zh-CN"/>
        </w:rPr>
        <w:t>4</w:t>
      </w:r>
      <w:r>
        <w:rPr>
          <w:rFonts w:hint="default"/>
          <w:lang w:val="en-US" w:eastAsia="zh-CN"/>
        </w:rPr>
        <w:t>)和式(</w:t>
      </w:r>
      <w:r>
        <w:rPr>
          <w:rFonts w:hint="eastAsia"/>
          <w:lang w:val="en-US" w:eastAsia="zh-CN"/>
        </w:rPr>
        <w:t>5</w:t>
      </w:r>
      <w:r>
        <w:rPr>
          <w:rFonts w:hint="default"/>
          <w:lang w:val="en-US" w:eastAsia="zh-CN"/>
        </w:rPr>
        <w:t>)中，σ(</w:t>
      </w:r>
      <w:r>
        <w:rPr>
          <w:rFonts w:hint="eastAsia"/>
          <w:lang w:val="en-US" w:eastAsia="zh-CN"/>
        </w:rPr>
        <w:t>·</w:t>
      </w:r>
      <w:r>
        <w:rPr>
          <w:rFonts w:hint="default"/>
          <w:lang w:val="en-US" w:eastAsia="zh-CN"/>
        </w:rPr>
        <w:t>)表示sigmoid函数，[</w:t>
      </w:r>
      <w:r>
        <w:rPr>
          <w:rFonts w:hint="eastAsia"/>
          <w:lang w:val="en-US" w:eastAsia="zh-CN"/>
        </w:rPr>
        <w:t>h</w:t>
      </w:r>
      <w:r>
        <w:rPr>
          <w:rFonts w:hint="default"/>
          <w:vertAlign w:val="subscript"/>
          <w:lang w:val="en-US" w:eastAsia="zh-CN"/>
        </w:rPr>
        <w:t>t-1</w:t>
      </w:r>
      <w:r>
        <w:rPr>
          <w:rFonts w:hint="default"/>
          <w:lang w:val="en-US" w:eastAsia="zh-CN"/>
        </w:rPr>
        <w:t>,</w:t>
      </w:r>
      <w:r>
        <w:rPr>
          <w:rFonts w:hint="eastAsia"/>
          <w:lang w:val="en-US" w:eastAsia="zh-CN"/>
        </w:rPr>
        <w:t>x</w:t>
      </w:r>
      <w:r>
        <w:rPr>
          <w:rFonts w:hint="default"/>
          <w:vertAlign w:val="subscript"/>
          <w:lang w:val="en-US" w:eastAsia="zh-CN"/>
        </w:rPr>
        <w:t>t</w:t>
      </w:r>
      <w:r>
        <w:rPr>
          <w:rFonts w:hint="default"/>
          <w:lang w:val="en-US" w:eastAsia="zh-CN"/>
        </w:rPr>
        <w:t>]表示上一时刻</w:t>
      </w:r>
      <w:r>
        <w:rPr>
          <w:rFonts w:hint="eastAsia"/>
        </w:rPr>
        <w:t>长短</w:t>
      </w:r>
      <w:r>
        <w:rPr>
          <w:rFonts w:hint="eastAsia"/>
          <w:lang w:val="en-US" w:eastAsia="zh-CN"/>
        </w:rPr>
        <w:t>期</w:t>
      </w:r>
      <w:r>
        <w:rPr>
          <w:rFonts w:hint="eastAsia"/>
        </w:rPr>
        <w:t>记忆网络模型</w:t>
      </w:r>
      <w:r>
        <w:rPr>
          <w:rFonts w:hint="default"/>
          <w:lang w:val="en-US" w:eastAsia="zh-CN"/>
        </w:rPr>
        <w:t>的输出值h</w:t>
      </w:r>
      <w:r>
        <w:rPr>
          <w:rFonts w:hint="default"/>
          <w:vertAlign w:val="subscript"/>
          <w:lang w:val="en-US" w:eastAsia="zh-CN"/>
        </w:rPr>
        <w:t>t-1</w:t>
      </w:r>
      <w:r>
        <w:rPr>
          <w:rFonts w:hint="default"/>
          <w:lang w:val="en-US" w:eastAsia="zh-CN"/>
        </w:rPr>
        <w:t>与当前时刻</w:t>
      </w:r>
      <w:r>
        <w:rPr>
          <w:rFonts w:hint="eastAsia"/>
        </w:rPr>
        <w:t>长短</w:t>
      </w:r>
      <w:r>
        <w:rPr>
          <w:rFonts w:hint="eastAsia"/>
          <w:lang w:val="en-US" w:eastAsia="zh-CN"/>
        </w:rPr>
        <w:t>期</w:t>
      </w:r>
      <w:r>
        <w:rPr>
          <w:rFonts w:hint="eastAsia"/>
        </w:rPr>
        <w:t>记忆网络模型</w:t>
      </w:r>
      <w:r>
        <w:rPr>
          <w:rFonts w:hint="default"/>
          <w:lang w:val="en-US" w:eastAsia="zh-CN"/>
        </w:rPr>
        <w:t>的输入值x</w:t>
      </w:r>
      <w:r>
        <w:rPr>
          <w:rFonts w:hint="default"/>
          <w:vertAlign w:val="subscript"/>
          <w:lang w:val="en-US" w:eastAsia="zh-CN"/>
        </w:rPr>
        <w:t>t</w:t>
      </w:r>
      <w:r>
        <w:rPr>
          <w:rFonts w:hint="default"/>
          <w:lang w:val="en-US" w:eastAsia="zh-CN"/>
        </w:rPr>
        <w:t>组成的向量，i</w:t>
      </w:r>
      <w:r>
        <w:rPr>
          <w:rFonts w:hint="default"/>
          <w:vertAlign w:val="subscript"/>
          <w:lang w:val="en-US" w:eastAsia="zh-CN"/>
        </w:rPr>
        <w:t>t</w:t>
      </w:r>
      <w:r>
        <w:rPr>
          <w:rFonts w:hint="default"/>
          <w:lang w:val="en-US" w:eastAsia="zh-CN"/>
        </w:rPr>
        <w:t>表示输入门的输出，W</w:t>
      </w:r>
      <w:r>
        <w:rPr>
          <w:rFonts w:hint="default"/>
          <w:vertAlign w:val="subscript"/>
          <w:lang w:val="en-US" w:eastAsia="zh-CN"/>
        </w:rPr>
        <w:t>i</w:t>
      </w:r>
      <w:r>
        <w:rPr>
          <w:rFonts w:hint="default"/>
          <w:lang w:val="en-US" w:eastAsia="zh-CN"/>
        </w:rPr>
        <w:t>表示输入门的权重矩阵，b</w:t>
      </w:r>
      <w:r>
        <w:rPr>
          <w:rFonts w:hint="default"/>
          <w:vertAlign w:val="subscript"/>
          <w:lang w:val="en-US" w:eastAsia="zh-CN"/>
        </w:rPr>
        <w:t>i</w:t>
      </w:r>
      <w:r>
        <w:rPr>
          <w:rFonts w:hint="default"/>
          <w:lang w:val="en-US" w:eastAsia="zh-CN"/>
        </w:rPr>
        <w:t>表示输入门的偏置。</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position w:val="-12"/>
          <w:lang w:val="en-US" w:eastAsia="zh-CN"/>
        </w:rPr>
        <w:object>
          <v:shape id="_x0000_i1030" o:spt="75" type="#_x0000_t75" style="height:20pt;width:13.95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default"/>
          <w:lang w:val="en-US" w:eastAsia="zh-CN"/>
        </w:rPr>
        <w:t>表示当前时刻的单元状态，</w:t>
      </w:r>
      <w:r>
        <w:rPr>
          <w:rFonts w:hint="default" w:ascii="Times New Roman" w:hAnsi="Times New Roman" w:cs="Times New Roman"/>
          <w:lang w:val="en-US" w:eastAsia="zh-CN"/>
        </w:rPr>
        <w:t>W</w:t>
      </w:r>
      <w:r>
        <w:rPr>
          <w:rFonts w:hint="default"/>
          <w:vertAlign w:val="subscript"/>
          <w:lang w:val="en-US" w:eastAsia="zh-CN"/>
        </w:rPr>
        <w:t>c</w:t>
      </w:r>
      <w:r>
        <w:rPr>
          <w:rFonts w:hint="default"/>
          <w:lang w:val="en-US" w:eastAsia="zh-CN"/>
        </w:rPr>
        <w:t>表示输入单元的权重，b</w:t>
      </w:r>
      <w:r>
        <w:rPr>
          <w:rFonts w:hint="default"/>
          <w:vertAlign w:val="subscript"/>
          <w:lang w:val="en-US" w:eastAsia="zh-CN"/>
        </w:rPr>
        <w:t>c</w:t>
      </w:r>
      <w:r>
        <w:rPr>
          <w:rFonts w:hint="default"/>
          <w:lang w:val="en-US" w:eastAsia="zh-CN"/>
        </w:rPr>
        <w:t>表示输入单元的偏置。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遗忘门是sigmoid层综合前一时刻的隐藏状态和当前时刻的输入数据做出是否让这些信息通过的决定。</w:t>
      </w:r>
      <w:r>
        <w:rPr>
          <w:rFonts w:hint="eastAsia"/>
          <w:lang w:val="en-US" w:eastAsia="zh-CN"/>
        </w:rPr>
        <w:t>其中</w:t>
      </w:r>
      <w:r>
        <w:rPr>
          <w:rFonts w:hint="default"/>
          <w:lang w:val="en-US" w:eastAsia="zh-CN"/>
        </w:rPr>
        <w:t>“0”表示完全忘记，“1”表示完全保留。 遗忘门状态更新公式</w:t>
      </w:r>
    </w:p>
    <w:p>
      <w:pPr>
        <w:ind w:firstLine="420" w:firstLineChars="200"/>
        <w:jc w:val="center"/>
        <w:rPr>
          <w:rFonts w:hint="eastAsia"/>
          <w:lang w:val="en-US" w:eastAsia="zh-CN"/>
        </w:rPr>
      </w:pPr>
      <w:r>
        <w:rPr>
          <w:rFonts w:hint="default"/>
          <w:position w:val="-14"/>
          <w:lang w:val="en-US" w:eastAsia="zh-CN"/>
        </w:rPr>
        <w:object>
          <v:shape id="_x0000_i1031" o:spt="75" type="#_x0000_t75" style="height:19pt;width:112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lang w:val="en-US" w:eastAsia="zh-CN"/>
        </w:rPr>
        <w:t xml:space="preserve">    (6)</w:t>
      </w:r>
    </w:p>
    <w:p>
      <w:pPr>
        <w:ind w:firstLine="420" w:firstLineChars="200"/>
        <w:rPr>
          <w:rFonts w:hint="default"/>
          <w:lang w:val="en-US" w:eastAsia="zh-CN"/>
        </w:rPr>
      </w:pPr>
      <w:r>
        <w:rPr>
          <w:rFonts w:hint="default"/>
          <w:lang w:val="en-US" w:eastAsia="zh-CN"/>
        </w:rPr>
        <w:t>式(4)中，f</w:t>
      </w:r>
      <w:r>
        <w:rPr>
          <w:rFonts w:hint="default"/>
          <w:vertAlign w:val="subscript"/>
          <w:lang w:val="en-US" w:eastAsia="zh-CN"/>
        </w:rPr>
        <w:t>t</w:t>
      </w:r>
      <w:r>
        <w:rPr>
          <w:rFonts w:hint="default"/>
          <w:lang w:val="en-US" w:eastAsia="zh-CN"/>
        </w:rPr>
        <w:t>为遗忘门的输出，W</w:t>
      </w:r>
      <w:r>
        <w:rPr>
          <w:rFonts w:hint="default"/>
          <w:vertAlign w:val="subscript"/>
          <w:lang w:val="en-US" w:eastAsia="zh-CN"/>
        </w:rPr>
        <w:t>f</w:t>
      </w:r>
      <w:r>
        <w:rPr>
          <w:rFonts w:hint="default"/>
          <w:lang w:val="en-US" w:eastAsia="zh-CN"/>
        </w:rPr>
        <w:t>表示遗忘门的权重矩阵，b</w:t>
      </w:r>
      <w:r>
        <w:rPr>
          <w:rFonts w:hint="default"/>
          <w:vertAlign w:val="subscript"/>
          <w:lang w:val="en-US" w:eastAsia="zh-CN"/>
        </w:rPr>
        <w:t>f</w:t>
      </w:r>
      <w:r>
        <w:rPr>
          <w:rFonts w:hint="default"/>
          <w:lang w:val="en-US" w:eastAsia="zh-CN"/>
        </w:rPr>
        <w:t>为遗忘门的偏置。</w:t>
      </w:r>
    </w:p>
    <w:p>
      <w:pPr>
        <w:ind w:firstLine="420" w:firstLineChars="200"/>
        <w:rPr>
          <w:rFonts w:hint="default"/>
          <w:lang w:val="en-US" w:eastAsia="zh-CN"/>
        </w:rPr>
      </w:pPr>
      <w:r>
        <w:rPr>
          <w:rFonts w:hint="default"/>
          <w:lang w:val="en-US" w:eastAsia="zh-CN"/>
        </w:rPr>
        <w:t>输出门是基于当前的细胞状态，首先通过一个tanh层来把细胞状态映射到区间(-1, 1)内，接着利用输出门的sigmoid层控制输出细胞状态中的信息。输出门状态更新公式</w:t>
      </w:r>
    </w:p>
    <w:p>
      <w:pPr>
        <w:ind w:firstLine="420" w:firstLineChars="200"/>
        <w:jc w:val="center"/>
        <w:rPr>
          <w:rFonts w:hint="eastAsia"/>
          <w:lang w:val="en-US" w:eastAsia="zh-CN"/>
        </w:rPr>
      </w:pPr>
      <w:r>
        <w:rPr>
          <w:rFonts w:hint="default"/>
          <w:position w:val="-12"/>
          <w:lang w:val="en-US" w:eastAsia="zh-CN"/>
        </w:rPr>
        <w:object>
          <v:shape id="_x0000_i1032" o:spt="75" type="#_x0000_t75" style="height:18pt;width:109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lang w:val="en-US" w:eastAsia="zh-CN"/>
        </w:rPr>
        <w:t xml:space="preserve">    (7)</w:t>
      </w:r>
    </w:p>
    <w:p>
      <w:pPr>
        <w:ind w:firstLine="420" w:firstLineChars="200"/>
        <w:rPr>
          <w:rFonts w:hint="default"/>
          <w:lang w:val="en-US" w:eastAsia="zh-CN"/>
        </w:rPr>
      </w:pPr>
      <w:r>
        <w:rPr>
          <w:rFonts w:hint="default"/>
          <w:lang w:val="en-US" w:eastAsia="zh-CN"/>
        </w:rPr>
        <w:t>式(5)中，o</w:t>
      </w:r>
      <w:r>
        <w:rPr>
          <w:rFonts w:hint="default"/>
          <w:vertAlign w:val="subscript"/>
          <w:lang w:val="en-US" w:eastAsia="zh-CN"/>
        </w:rPr>
        <w:t>t</w:t>
      </w:r>
      <w:r>
        <w:rPr>
          <w:rFonts w:hint="default"/>
          <w:lang w:val="en-US" w:eastAsia="zh-CN"/>
        </w:rPr>
        <w:t>表示当前输出门的输出，W</w:t>
      </w:r>
      <w:r>
        <w:rPr>
          <w:rFonts w:hint="eastAsia"/>
          <w:vertAlign w:val="subscript"/>
          <w:lang w:val="en-US" w:eastAsia="zh-CN"/>
        </w:rPr>
        <w:t>o</w:t>
      </w:r>
      <w:r>
        <w:rPr>
          <w:rFonts w:hint="default"/>
          <w:lang w:val="en-US" w:eastAsia="zh-CN"/>
        </w:rPr>
        <w:t>表示输出门的权重矩阵，b</w:t>
      </w:r>
      <w:r>
        <w:rPr>
          <w:rFonts w:hint="default"/>
          <w:vertAlign w:val="subscript"/>
          <w:lang w:val="en-US" w:eastAsia="zh-CN"/>
        </w:rPr>
        <w:t>o</w:t>
      </w:r>
      <w:r>
        <w:rPr>
          <w:rFonts w:hint="default"/>
          <w:lang w:val="en-US" w:eastAsia="zh-CN"/>
        </w:rPr>
        <w:t>表示输出门的偏置。</w:t>
      </w:r>
    </w:p>
    <w:p>
      <w:pPr>
        <w:ind w:firstLine="420" w:firstLineChars="200"/>
        <w:rPr>
          <w:rFonts w:hint="default"/>
          <w:lang w:val="en-US" w:eastAsia="zh-CN"/>
        </w:rPr>
      </w:pPr>
      <w:r>
        <w:rPr>
          <w:rFonts w:hint="default"/>
          <w:lang w:val="en-US" w:eastAsia="zh-CN"/>
        </w:rPr>
        <w:t>更新细胞Ct细胞状态</w:t>
      </w:r>
    </w:p>
    <w:p>
      <w:pPr>
        <w:ind w:firstLine="420" w:firstLineChars="200"/>
        <w:jc w:val="center"/>
        <w:rPr>
          <w:rFonts w:hint="eastAsia"/>
          <w:lang w:val="en-US" w:eastAsia="zh-CN"/>
        </w:rPr>
      </w:pPr>
      <w:r>
        <w:rPr>
          <w:rFonts w:hint="default"/>
          <w:position w:val="-12"/>
          <w:lang w:val="en-US" w:eastAsia="zh-CN"/>
        </w:rPr>
        <w:object>
          <v:shape id="_x0000_i1033" o:spt="75" type="#_x0000_t75" style="height:20pt;width:96.95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lang w:val="en-US" w:eastAsia="zh-CN"/>
        </w:rPr>
        <w:t xml:space="preserve">    (8)</w:t>
      </w:r>
    </w:p>
    <w:p>
      <w:pPr>
        <w:ind w:firstLine="420" w:firstLineChars="200"/>
        <w:rPr>
          <w:rFonts w:hint="default"/>
          <w:lang w:val="en-US" w:eastAsia="zh-CN"/>
        </w:rPr>
      </w:pPr>
      <w:r>
        <w:rPr>
          <w:rFonts w:hint="default"/>
          <w:lang w:val="en-US" w:eastAsia="zh-CN"/>
        </w:rPr>
        <w:t>输出</w:t>
      </w:r>
    </w:p>
    <w:p>
      <w:pPr>
        <w:ind w:firstLine="420" w:firstLineChars="200"/>
        <w:jc w:val="center"/>
        <w:rPr>
          <w:rFonts w:hint="default"/>
          <w:lang w:val="en-US" w:eastAsia="zh-CN"/>
        </w:rPr>
      </w:pPr>
      <w:r>
        <w:rPr>
          <w:rFonts w:hint="default"/>
          <w:position w:val="-12"/>
          <w:lang w:val="en-US" w:eastAsia="zh-CN"/>
        </w:rPr>
        <w:object>
          <v:shape id="_x0000_i1034" o:spt="75" type="#_x0000_t75" style="height:18pt;width:82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lang w:val="en-US" w:eastAsia="zh-CN"/>
        </w:rPr>
        <w:t xml:space="preserve">    (9)</w:t>
      </w:r>
    </w:p>
    <w:p>
      <w:pPr>
        <w:numPr>
          <w:ilvl w:val="0"/>
          <w:numId w:val="0"/>
        </w:numPr>
        <w:jc w:val="both"/>
        <w:rPr>
          <w:rFonts w:hint="eastAsia" w:ascii="Times New Roman" w:hAnsi="宋体" w:eastAsia="宋体" w:cs="Times New Roman"/>
          <w:b/>
          <w:bCs/>
          <w:kern w:val="0"/>
          <w:szCs w:val="20"/>
          <w:vertAlign w:val="baseline"/>
          <w:lang w:val="en-US" w:eastAsia="zh-CN"/>
        </w:rPr>
      </w:pPr>
      <w:r>
        <w:rPr>
          <w:rFonts w:hint="eastAsia" w:ascii="宋体" w:hAnsi="宋体"/>
          <w:b/>
          <w:sz w:val="28"/>
          <w:lang w:val="en-US" w:eastAsia="zh-CN"/>
        </w:rPr>
        <w:t xml:space="preserve">2  </w:t>
      </w:r>
      <w:r>
        <w:rPr>
          <w:rFonts w:hint="eastAsia" w:ascii="宋体" w:hAnsi="宋体" w:eastAsia="宋体" w:cs="Times New Roman"/>
          <w:b/>
          <w:sz w:val="28"/>
          <w:lang w:val="en-US" w:eastAsia="zh-CN"/>
        </w:rPr>
        <w:t>结果与分析</w:t>
      </w:r>
    </w:p>
    <w:p>
      <w:pPr>
        <w:numPr>
          <w:ilvl w:val="0"/>
          <w:numId w:val="0"/>
        </w:numPr>
        <w:jc w:val="both"/>
        <w:rPr>
          <w:rFonts w:hint="eastAsia" w:ascii="Times New Roman" w:hAnsi="宋体" w:eastAsia="宋体" w:cs="Times New Roman"/>
          <w:b w:val="0"/>
          <w:bCs w:val="0"/>
          <w:kern w:val="0"/>
          <w:szCs w:val="20"/>
          <w:vertAlign w:val="baseline"/>
          <w:lang w:val="en-US" w:eastAsia="zh-CN"/>
        </w:rPr>
      </w:pPr>
      <w:r>
        <w:rPr>
          <w:rFonts w:hint="eastAsia" w:ascii="Times New Roman" w:hAnsi="宋体" w:eastAsia="宋体" w:cs="Times New Roman"/>
          <w:b w:val="0"/>
          <w:bCs w:val="0"/>
          <w:kern w:val="0"/>
          <w:szCs w:val="20"/>
          <w:vertAlign w:val="baseline"/>
          <w:lang w:val="en-US" w:eastAsia="zh-CN"/>
        </w:rPr>
        <w:t xml:space="preserve">2.1  </w:t>
      </w:r>
      <w:r>
        <w:rPr>
          <w:rFonts w:hint="eastAsia" w:ascii="宋体" w:hAnsi="宋体" w:eastAsia="宋体" w:cs="Times New Roman"/>
          <w:b/>
          <w:lang w:val="en-US" w:eastAsia="zh-CN"/>
        </w:rPr>
        <w:t>2022年以及2023年酿酒行业k线走势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ascii="Times New Roman" w:hAnsi="宋体" w:eastAsia="宋体" w:cs="Times New Roman"/>
          <w:kern w:val="0"/>
          <w:szCs w:val="20"/>
          <w:lang w:val="en-US" w:eastAsia="zh-CN"/>
        </w:rPr>
      </w:pPr>
      <w:r>
        <w:rPr>
          <w:rFonts w:hint="eastAsia" w:ascii="Times New Roman" w:hAnsi="宋体" w:eastAsia="宋体" w:cs="Times New Roman"/>
          <w:kern w:val="0"/>
          <w:szCs w:val="20"/>
          <w:lang w:val="en-US" w:eastAsia="zh-CN"/>
        </w:rPr>
        <w:t>选取2022年以及2023年酿酒行业的数据作为分析对象，以时间为横坐标，每股单价（每股单价=总成交金额÷总成交股数×100%）作为作为纵坐标，模仿股票网站的k线，做出箱线图（图2与图3）。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default" w:ascii="Times New Roman" w:hAnsi="宋体" w:eastAsia="宋体" w:cs="Times New Roman"/>
          <w:kern w:val="0"/>
          <w:szCs w:val="20"/>
          <w:lang w:val="en-US" w:eastAsia="zh-CN"/>
        </w:rPr>
      </w:pPr>
      <w:r>
        <w:rPr>
          <w:rFonts w:hint="eastAsia" w:ascii="Times New Roman" w:hAnsi="宋体" w:eastAsia="宋体" w:cs="Times New Roman"/>
          <w:kern w:val="0"/>
          <w:szCs w:val="20"/>
          <w:lang w:val="en-US" w:eastAsia="zh-CN"/>
        </w:rPr>
        <w:t>从图2中我们可以看出，</w:t>
      </w:r>
      <w:r>
        <w:rPr>
          <w:rFonts w:hint="default" w:ascii="Times New Roman" w:hAnsi="宋体" w:eastAsia="宋体" w:cs="Times New Roman"/>
          <w:kern w:val="0"/>
          <w:szCs w:val="20"/>
          <w:lang w:val="en-US" w:eastAsia="zh-CN"/>
        </w:rPr>
        <w:t>酿酒行业股票在2022年呈现出明显的波动性和阶段性特征。年初至年中以下跌为主，而下半年则开始复苏并呈现上涨态势。年初至年中</w:t>
      </w:r>
      <w:r>
        <w:rPr>
          <w:rFonts w:hint="eastAsia" w:ascii="Times New Roman" w:hAnsi="宋体" w:eastAsia="宋体" w:cs="Times New Roman"/>
          <w:kern w:val="0"/>
          <w:szCs w:val="20"/>
          <w:lang w:val="en-US" w:eastAsia="zh-CN"/>
        </w:rPr>
        <w:t>，</w:t>
      </w:r>
      <w:r>
        <w:rPr>
          <w:rFonts w:hint="default" w:ascii="Times New Roman" w:hAnsi="宋体" w:eastAsia="宋体" w:cs="Times New Roman"/>
          <w:kern w:val="0"/>
          <w:szCs w:val="20"/>
          <w:lang w:val="en-US" w:eastAsia="zh-CN"/>
        </w:rPr>
        <w:t>市场整体的调整以及行业内部的竞争压力有关。特别是头部白酒企业如五粮液、泸州老窖、贵州茅台等，其股价在这段时间内也有所回落</w:t>
      </w:r>
      <w:r>
        <w:rPr>
          <w:rFonts w:hint="eastAsia" w:ascii="Times New Roman" w:hAnsi="宋体" w:eastAsia="宋体" w:cs="Times New Roman"/>
          <w:kern w:val="0"/>
          <w:szCs w:val="20"/>
          <w:lang w:val="en-US" w:eastAsia="zh-CN"/>
        </w:rPr>
        <w:t>。下半年中</w:t>
      </w:r>
      <w:r>
        <w:rPr>
          <w:rFonts w:hint="default" w:ascii="Times New Roman" w:hAnsi="宋体" w:eastAsia="宋体" w:cs="Times New Roman"/>
          <w:kern w:val="0"/>
          <w:szCs w:val="20"/>
          <w:lang w:val="en-US" w:eastAsia="zh-CN"/>
        </w:rPr>
        <w:t>尤其是11月以来，白酒板块涨幅位居A股全行业第3，绝大多数个股上涨超30%。这可能与年底消费旺季的来临以及市场对经济复苏的预期有关。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default" w:ascii="Times New Roman" w:hAnsi="宋体" w:eastAsia="宋体" w:cs="Times New Roman"/>
          <w:kern w:val="0"/>
          <w:szCs w:val="20"/>
          <w:lang w:val="en-US" w:eastAsia="zh-CN"/>
        </w:rPr>
      </w:pPr>
      <w:r>
        <w:rPr>
          <w:rFonts w:hint="eastAsia" w:ascii="Times New Roman" w:hAnsi="宋体" w:eastAsia="宋体" w:cs="Times New Roman"/>
          <w:kern w:val="0"/>
          <w:szCs w:val="20"/>
          <w:lang w:val="en-US" w:eastAsia="zh-CN"/>
        </w:rPr>
        <w:t>从图3中我们可以看出，酿酒行业的股价在这2023年中经历了较大的波动。从年初到年末，股价在52500至70000的范围内波动。最高点达到了70000，反映了市场对该行业的乐观预期或某些利好消息的影响。而最低点降至52500，这可能是由于行业整体压力、市场调整或负面消息导致的。其次，从K线的形状和趋势来看，股价在某些时段呈现出上涨趋势，而在其他时段则呈现下跌趋势。这显示了投资者对于酿酒行业的信心和热情有所起伏。</w:t>
      </w:r>
    </w:p>
    <w:p>
      <w:pPr>
        <w:numPr>
          <w:ilvl w:val="0"/>
          <w:numId w:val="0"/>
        </w:numPr>
        <w:jc w:val="center"/>
        <w:rPr>
          <w:rFonts w:hint="default" w:ascii="Times New Roman" w:hAnsi="宋体" w:eastAsia="宋体" w:cs="Times New Roman"/>
          <w:b w:val="0"/>
          <w:bCs w:val="0"/>
          <w:kern w:val="0"/>
          <w:szCs w:val="20"/>
          <w:vertAlign w:val="baseline"/>
          <w:lang w:val="en-US" w:eastAsia="zh-CN"/>
        </w:rPr>
      </w:pPr>
      <w:r>
        <w:rPr>
          <w:rFonts w:hint="default" w:ascii="Times New Roman" w:hAnsi="宋体" w:eastAsia="宋体" w:cs="Times New Roman"/>
          <w:b w:val="0"/>
          <w:bCs w:val="0"/>
          <w:kern w:val="0"/>
          <w:szCs w:val="20"/>
          <w:vertAlign w:val="baseline"/>
          <w:lang w:val="en-US" w:eastAsia="zh-CN"/>
        </w:rPr>
        <w:drawing>
          <wp:inline distT="0" distB="0" distL="114300" distR="114300">
            <wp:extent cx="4701540" cy="2194560"/>
            <wp:effectExtent l="0" t="0" r="7620" b="0"/>
            <wp:docPr id="3" name="图片 3" descr="2022年酿酒行业k线走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2年酿酒行业k线走势"/>
                    <pic:cNvPicPr>
                      <a:picLocks noChangeAspect="1"/>
                    </pic:cNvPicPr>
                  </pic:nvPicPr>
                  <pic:blipFill>
                    <a:blip r:embed="rId26"/>
                    <a:srcRect b="42240"/>
                    <a:stretch>
                      <a:fillRect/>
                    </a:stretch>
                  </pic:blipFill>
                  <pic:spPr>
                    <a:xfrm>
                      <a:off x="0" y="0"/>
                      <a:ext cx="4701540" cy="2194560"/>
                    </a:xfrm>
                    <a:prstGeom prst="rect">
                      <a:avLst/>
                    </a:prstGeom>
                  </pic:spPr>
                </pic:pic>
              </a:graphicData>
            </a:graphic>
          </wp:inline>
        </w:drawing>
      </w:r>
    </w:p>
    <w:p>
      <w:pPr>
        <w:widowControl/>
        <w:jc w:val="center"/>
        <w:textAlignment w:val="center"/>
        <w:rPr>
          <w:rFonts w:hint="eastAsia" w:ascii="宋体" w:hAnsi="宋体"/>
          <w:sz w:val="18"/>
          <w:szCs w:val="18"/>
          <w:lang w:val="en-US" w:eastAsia="zh-CN"/>
        </w:rPr>
      </w:pPr>
      <w:r>
        <w:rPr>
          <w:rFonts w:hint="eastAsia" w:ascii="宋体" w:hAnsi="宋体"/>
          <w:sz w:val="18"/>
          <w:szCs w:val="18"/>
          <w:lang w:val="en-US" w:eastAsia="zh-CN"/>
        </w:rPr>
        <w:t>图2  2022年酿酒行业k线走势</w:t>
      </w:r>
    </w:p>
    <w:p>
      <w:pPr>
        <w:numPr>
          <w:ilvl w:val="0"/>
          <w:numId w:val="0"/>
        </w:numPr>
        <w:jc w:val="center"/>
        <w:rPr>
          <w:rFonts w:hint="eastAsia" w:ascii="Times New Roman" w:hAnsi="宋体" w:eastAsia="宋体" w:cs="Times New Roman"/>
          <w:b w:val="0"/>
          <w:bCs w:val="0"/>
          <w:kern w:val="0"/>
          <w:szCs w:val="20"/>
          <w:vertAlign w:val="baseline"/>
          <w:lang w:val="en-US" w:eastAsia="zh-CN"/>
        </w:rPr>
      </w:pPr>
      <w:r>
        <w:rPr>
          <w:rFonts w:hint="eastAsia" w:ascii="Times New Roman" w:hAnsi="宋体" w:eastAsia="宋体" w:cs="Times New Roman"/>
          <w:b w:val="0"/>
          <w:bCs w:val="0"/>
          <w:kern w:val="0"/>
          <w:szCs w:val="20"/>
          <w:vertAlign w:val="baseline"/>
          <w:lang w:val="en-US" w:eastAsia="zh-CN"/>
        </w:rPr>
        <w:drawing>
          <wp:inline distT="0" distB="0" distL="114300" distR="114300">
            <wp:extent cx="4665980" cy="2195830"/>
            <wp:effectExtent l="0" t="0" r="12700" b="13970"/>
            <wp:docPr id="5" name="图片 5" descr="2023年酿酒行业k线走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3年酿酒行业k线走势"/>
                    <pic:cNvPicPr>
                      <a:picLocks noChangeAspect="1"/>
                    </pic:cNvPicPr>
                  </pic:nvPicPr>
                  <pic:blipFill>
                    <a:blip r:embed="rId27"/>
                    <a:srcRect b="41754"/>
                    <a:stretch>
                      <a:fillRect/>
                    </a:stretch>
                  </pic:blipFill>
                  <pic:spPr>
                    <a:xfrm>
                      <a:off x="0" y="0"/>
                      <a:ext cx="4665980" cy="2195830"/>
                    </a:xfrm>
                    <a:prstGeom prst="rect">
                      <a:avLst/>
                    </a:prstGeom>
                  </pic:spPr>
                </pic:pic>
              </a:graphicData>
            </a:graphic>
          </wp:inline>
        </w:drawing>
      </w:r>
    </w:p>
    <w:p>
      <w:pPr>
        <w:widowControl/>
        <w:jc w:val="center"/>
        <w:textAlignment w:val="center"/>
        <w:rPr>
          <w:rFonts w:hint="default" w:ascii="宋体" w:hAnsi="宋体"/>
          <w:sz w:val="18"/>
          <w:szCs w:val="18"/>
          <w:lang w:val="en-US" w:eastAsia="zh-CN"/>
        </w:rPr>
      </w:pPr>
      <w:r>
        <w:rPr>
          <w:rFonts w:hint="eastAsia" w:ascii="宋体" w:hAnsi="宋体"/>
          <w:sz w:val="18"/>
          <w:szCs w:val="18"/>
          <w:lang w:val="en-US" w:eastAsia="zh-CN"/>
        </w:rPr>
        <w:t>图3  2023年酿酒行业k线走势</w:t>
      </w:r>
    </w:p>
    <w:p>
      <w:pPr>
        <w:numPr>
          <w:ilvl w:val="0"/>
          <w:numId w:val="0"/>
        </w:numPr>
        <w:jc w:val="both"/>
        <w:rPr>
          <w:rFonts w:hint="default" w:ascii="宋体" w:hAnsi="宋体" w:eastAsia="宋体" w:cs="Times New Roman"/>
          <w:b/>
          <w:lang w:val="en-US" w:eastAsia="zh-CN"/>
        </w:rPr>
      </w:pPr>
      <w:r>
        <w:rPr>
          <w:rFonts w:hint="eastAsia" w:ascii="宋体" w:hAnsi="宋体" w:eastAsia="宋体" w:cs="Times New Roman"/>
          <w:b/>
          <w:lang w:val="en-US" w:eastAsia="zh-CN"/>
        </w:rPr>
        <w:t>2.2  2022年与2023年各行业折线走势</w:t>
      </w:r>
    </w:p>
    <w:p>
      <w:pPr>
        <w:numPr>
          <w:ilvl w:val="0"/>
          <w:numId w:val="0"/>
        </w:numPr>
        <w:ind w:leftChars="0" w:firstLine="420" w:firstLineChars="200"/>
        <w:rPr>
          <w:rFonts w:hint="eastAsia" w:ascii="Times New Roman" w:hAnsi="宋体" w:eastAsia="宋体" w:cs="Times New Roman"/>
          <w:kern w:val="0"/>
          <w:szCs w:val="20"/>
          <w:lang w:val="en-US" w:eastAsia="zh-CN"/>
        </w:rPr>
      </w:pPr>
      <w:r>
        <w:rPr>
          <w:rFonts w:hint="eastAsia" w:ascii="Times New Roman" w:hAnsi="宋体" w:eastAsia="宋体" w:cs="Times New Roman"/>
          <w:kern w:val="0"/>
          <w:szCs w:val="20"/>
          <w:lang w:val="en-US" w:eastAsia="zh-CN"/>
        </w:rPr>
        <w:t>选取2022年以及2023年五个行业的数据作为分析对象，以时间为横坐标，每股单价（每股单价=总成交金额÷总成交股数×100%）作为作为纵坐标，做出折线走势图。</w:t>
      </w:r>
    </w:p>
    <w:p>
      <w:pPr>
        <w:numPr>
          <w:ilvl w:val="0"/>
          <w:numId w:val="0"/>
        </w:numPr>
        <w:ind w:leftChars="0" w:firstLine="420" w:firstLineChars="200"/>
        <w:rPr>
          <w:rFonts w:hint="default" w:ascii="Times New Roman" w:hAnsi="宋体" w:eastAsia="宋体" w:cs="Times New Roman"/>
          <w:kern w:val="0"/>
          <w:sz w:val="21"/>
          <w:szCs w:val="20"/>
          <w:lang w:val="en-US" w:eastAsia="zh-CN" w:bidi="ar-SA"/>
        </w:rPr>
      </w:pPr>
      <w:r>
        <w:rPr>
          <w:rFonts w:hint="eastAsia" w:ascii="Times New Roman" w:hAnsi="宋体" w:eastAsia="宋体" w:cs="Times New Roman"/>
          <w:kern w:val="0"/>
          <w:sz w:val="21"/>
          <w:szCs w:val="20"/>
          <w:lang w:val="en-US" w:eastAsia="zh-CN" w:bidi="ar-SA"/>
        </w:rPr>
        <w:t>图4实线表示2022年各行业的数据，双划线为2023年。</w:t>
      </w:r>
      <w:r>
        <w:rPr>
          <w:rFonts w:hint="default" w:ascii="Times New Roman" w:hAnsi="宋体" w:eastAsia="宋体" w:cs="Times New Roman"/>
          <w:kern w:val="0"/>
          <w:sz w:val="21"/>
          <w:szCs w:val="20"/>
          <w:lang w:val="en-US" w:eastAsia="zh-CN" w:bidi="ar-SA"/>
        </w:rPr>
        <w:t>从折线图的走势来看，各行业的股价在两年间有不同的变化。</w:t>
      </w:r>
    </w:p>
    <w:p>
      <w:pPr>
        <w:numPr>
          <w:ilvl w:val="0"/>
          <w:numId w:val="0"/>
        </w:numPr>
        <w:ind w:leftChars="0" w:firstLine="420" w:firstLineChars="200"/>
        <w:rPr>
          <w:rFonts w:hint="default" w:ascii="Times New Roman" w:hAnsi="宋体" w:eastAsia="宋体" w:cs="Times New Roman"/>
          <w:kern w:val="0"/>
          <w:sz w:val="21"/>
          <w:szCs w:val="20"/>
          <w:lang w:val="en-US" w:eastAsia="zh-CN" w:bidi="ar-SA"/>
        </w:rPr>
      </w:pPr>
      <w:r>
        <w:rPr>
          <w:rFonts w:hint="default" w:ascii="Times New Roman" w:hAnsi="宋体" w:eastAsia="宋体" w:cs="Times New Roman"/>
          <w:kern w:val="0"/>
          <w:sz w:val="21"/>
          <w:szCs w:val="20"/>
          <w:lang w:val="en-US" w:eastAsia="zh-CN" w:bidi="ar-SA"/>
        </w:rPr>
        <w:t>酿酒行业</w:t>
      </w:r>
      <w:r>
        <w:rPr>
          <w:rFonts w:hint="eastAsia" w:ascii="Times New Roman" w:hAnsi="宋体" w:eastAsia="宋体" w:cs="Times New Roman"/>
          <w:kern w:val="0"/>
          <w:sz w:val="21"/>
          <w:szCs w:val="20"/>
          <w:lang w:val="en-US" w:eastAsia="zh-CN" w:bidi="ar-SA"/>
        </w:rPr>
        <w:t>的股价</w:t>
      </w:r>
      <w:r>
        <w:rPr>
          <w:rFonts w:hint="default" w:ascii="Times New Roman" w:hAnsi="宋体" w:eastAsia="宋体" w:cs="Times New Roman"/>
          <w:kern w:val="0"/>
          <w:sz w:val="21"/>
          <w:szCs w:val="20"/>
          <w:lang w:val="en-US" w:eastAsia="zh-CN" w:bidi="ar-SA"/>
        </w:rPr>
        <w:t>，</w:t>
      </w:r>
      <w:r>
        <w:rPr>
          <w:rFonts w:hint="eastAsia" w:ascii="Times New Roman" w:hAnsi="宋体" w:eastAsia="宋体" w:cs="Times New Roman"/>
          <w:kern w:val="0"/>
          <w:sz w:val="21"/>
          <w:szCs w:val="20"/>
          <w:lang w:val="en-US" w:eastAsia="zh-CN" w:bidi="ar-SA"/>
        </w:rPr>
        <w:t>在</w:t>
      </w:r>
      <w:r>
        <w:rPr>
          <w:rFonts w:hint="default" w:ascii="Times New Roman" w:hAnsi="宋体" w:eastAsia="宋体" w:cs="Times New Roman"/>
          <w:kern w:val="0"/>
          <w:sz w:val="21"/>
          <w:szCs w:val="20"/>
          <w:lang w:val="en-US" w:eastAsia="zh-CN" w:bidi="ar-SA"/>
        </w:rPr>
        <w:t>2022年的</w:t>
      </w:r>
      <w:r>
        <w:rPr>
          <w:rFonts w:hint="default" w:ascii="Times New Roman" w:hAnsi="宋体" w:eastAsia="宋体" w:cs="Times New Roman"/>
          <w:kern w:val="0"/>
          <w:szCs w:val="20"/>
          <w:lang w:val="en-US" w:eastAsia="zh-CN"/>
        </w:rPr>
        <w:t>股价波动范围较大</w:t>
      </w:r>
      <w:r>
        <w:rPr>
          <w:rFonts w:hint="default" w:ascii="Times New Roman" w:hAnsi="宋体" w:eastAsia="宋体" w:cs="Times New Roman"/>
          <w:kern w:val="0"/>
          <w:sz w:val="21"/>
          <w:szCs w:val="20"/>
          <w:lang w:val="en-US" w:eastAsia="zh-CN" w:bidi="ar-SA"/>
        </w:rPr>
        <w:t>，</w:t>
      </w:r>
      <w:r>
        <w:rPr>
          <w:rFonts w:hint="default" w:ascii="Times New Roman" w:hAnsi="宋体" w:eastAsia="宋体" w:cs="Times New Roman"/>
          <w:kern w:val="0"/>
          <w:szCs w:val="20"/>
          <w:lang w:val="en-US" w:eastAsia="zh-CN"/>
        </w:rPr>
        <w:t>显示出该行业在2022年内的股价有一定的不稳定性</w:t>
      </w:r>
      <w:r>
        <w:rPr>
          <w:rFonts w:hint="eastAsia" w:ascii="Times New Roman" w:hAnsi="宋体" w:eastAsia="宋体" w:cs="Times New Roman"/>
          <w:kern w:val="0"/>
          <w:szCs w:val="20"/>
          <w:lang w:val="en-US" w:eastAsia="zh-CN"/>
        </w:rPr>
        <w:t>，</w:t>
      </w:r>
      <w:r>
        <w:rPr>
          <w:rFonts w:hint="default" w:ascii="Times New Roman" w:hAnsi="宋体" w:eastAsia="宋体" w:cs="Times New Roman"/>
          <w:kern w:val="0"/>
          <w:sz w:val="21"/>
          <w:szCs w:val="20"/>
          <w:lang w:val="en-US" w:eastAsia="zh-CN" w:bidi="ar-SA"/>
        </w:rPr>
        <w:t>而到了2023年，股价</w:t>
      </w:r>
      <w:r>
        <w:rPr>
          <w:rFonts w:hint="eastAsia" w:ascii="Times New Roman" w:hAnsi="宋体" w:eastAsia="宋体" w:cs="Times New Roman"/>
          <w:kern w:val="0"/>
          <w:sz w:val="21"/>
          <w:szCs w:val="20"/>
          <w:lang w:val="en-US" w:eastAsia="zh-CN" w:bidi="ar-SA"/>
        </w:rPr>
        <w:t>整体相较于2022年是呈现上升趋势的，</w:t>
      </w:r>
      <w:r>
        <w:rPr>
          <w:rFonts w:hint="default" w:ascii="Times New Roman" w:hAnsi="宋体" w:eastAsia="宋体" w:cs="Times New Roman"/>
          <w:kern w:val="0"/>
          <w:sz w:val="21"/>
          <w:szCs w:val="20"/>
          <w:lang w:val="en-US" w:eastAsia="zh-CN" w:bidi="ar-SA"/>
        </w:rPr>
        <w:t>波动幅度</w:t>
      </w:r>
      <w:r>
        <w:rPr>
          <w:rFonts w:hint="eastAsia" w:ascii="Times New Roman" w:hAnsi="宋体" w:eastAsia="宋体" w:cs="Times New Roman"/>
          <w:kern w:val="0"/>
          <w:sz w:val="21"/>
          <w:szCs w:val="20"/>
          <w:lang w:val="en-US" w:eastAsia="zh-CN" w:bidi="ar-SA"/>
        </w:rPr>
        <w:t>相较2022年较小</w:t>
      </w:r>
      <w:r>
        <w:rPr>
          <w:rFonts w:hint="default" w:ascii="Times New Roman" w:hAnsi="宋体" w:eastAsia="宋体" w:cs="Times New Roman"/>
          <w:kern w:val="0"/>
          <w:sz w:val="21"/>
          <w:szCs w:val="20"/>
          <w:lang w:val="en-US" w:eastAsia="zh-CN" w:bidi="ar-SA"/>
        </w:rPr>
        <w:t>，</w:t>
      </w:r>
      <w:r>
        <w:rPr>
          <w:rFonts w:hint="eastAsia" w:ascii="Times New Roman" w:hAnsi="宋体" w:eastAsia="宋体" w:cs="Times New Roman"/>
          <w:kern w:val="0"/>
          <w:sz w:val="21"/>
          <w:szCs w:val="20"/>
          <w:lang w:val="en-US" w:eastAsia="zh-CN" w:bidi="ar-SA"/>
        </w:rPr>
        <w:t>但</w:t>
      </w:r>
      <w:r>
        <w:rPr>
          <w:rFonts w:hint="default" w:ascii="Times New Roman" w:hAnsi="宋体" w:eastAsia="宋体" w:cs="Times New Roman"/>
          <w:kern w:val="0"/>
          <w:sz w:val="21"/>
          <w:szCs w:val="20"/>
          <w:lang w:val="en-US" w:eastAsia="zh-CN" w:bidi="ar-SA"/>
        </w:rPr>
        <w:t>在某个时间段内出现了显著的上涨。</w:t>
      </w:r>
    </w:p>
    <w:p>
      <w:pPr>
        <w:numPr>
          <w:ilvl w:val="0"/>
          <w:numId w:val="0"/>
        </w:numPr>
        <w:ind w:leftChars="0" w:firstLine="420" w:firstLineChars="200"/>
        <w:rPr>
          <w:rFonts w:hint="default" w:ascii="Times New Roman" w:hAnsi="宋体" w:eastAsia="宋体" w:cs="Times New Roman"/>
          <w:kern w:val="0"/>
          <w:sz w:val="21"/>
          <w:szCs w:val="20"/>
          <w:lang w:val="en-US" w:eastAsia="zh-CN" w:bidi="ar-SA"/>
        </w:rPr>
      </w:pPr>
      <w:r>
        <w:rPr>
          <w:rFonts w:hint="default" w:ascii="Times New Roman" w:hAnsi="宋体" w:eastAsia="宋体" w:cs="Times New Roman"/>
          <w:kern w:val="0"/>
          <w:sz w:val="21"/>
          <w:szCs w:val="20"/>
          <w:lang w:val="en-US" w:eastAsia="zh-CN" w:bidi="ar-SA"/>
        </w:rPr>
        <w:t>半导体行业的股价</w:t>
      </w:r>
      <w:r>
        <w:rPr>
          <w:rFonts w:hint="eastAsia" w:ascii="Times New Roman" w:hAnsi="宋体" w:eastAsia="宋体" w:cs="Times New Roman"/>
          <w:kern w:val="0"/>
          <w:sz w:val="21"/>
          <w:szCs w:val="20"/>
          <w:lang w:val="en-US" w:eastAsia="zh-CN" w:bidi="ar-SA"/>
        </w:rPr>
        <w:t>在股市里每股单价较低，由于图中的纵轴的刻度较大，图中显示的变化趋势并不太明显。但是根据实际数据，</w:t>
      </w:r>
      <w:r>
        <w:rPr>
          <w:rFonts w:hint="default" w:ascii="Times New Roman" w:hAnsi="宋体" w:eastAsia="宋体" w:cs="Times New Roman"/>
          <w:kern w:val="0"/>
          <w:sz w:val="21"/>
          <w:szCs w:val="20"/>
          <w:lang w:val="en-US" w:eastAsia="zh-CN" w:bidi="ar-SA"/>
        </w:rPr>
        <w:t>在2022年呈现上升趋势，但在年中时期有所回调。而到了2023年，股价整体上扬，但波动相对较为平缓。</w:t>
      </w:r>
    </w:p>
    <w:p>
      <w:pPr>
        <w:numPr>
          <w:ilvl w:val="0"/>
          <w:numId w:val="0"/>
        </w:numPr>
        <w:ind w:leftChars="0" w:firstLine="420" w:firstLineChars="200"/>
        <w:rPr>
          <w:rFonts w:hint="default" w:ascii="Times New Roman" w:hAnsi="宋体" w:eastAsia="宋体" w:cs="Times New Roman"/>
          <w:kern w:val="0"/>
          <w:sz w:val="21"/>
          <w:szCs w:val="20"/>
          <w:lang w:val="en-US" w:eastAsia="zh-CN" w:bidi="ar-SA"/>
        </w:rPr>
      </w:pPr>
      <w:r>
        <w:rPr>
          <w:rFonts w:hint="default" w:ascii="Times New Roman" w:hAnsi="宋体" w:eastAsia="宋体" w:cs="Times New Roman"/>
          <w:kern w:val="0"/>
          <w:sz w:val="21"/>
          <w:szCs w:val="20"/>
          <w:lang w:val="en-US" w:eastAsia="zh-CN" w:bidi="ar-SA"/>
        </w:rPr>
        <w:t>电子元件行业的股价在两年间都呈现了</w:t>
      </w:r>
      <w:r>
        <w:rPr>
          <w:rFonts w:hint="eastAsia" w:ascii="Times New Roman" w:hAnsi="宋体" w:eastAsia="宋体" w:cs="Times New Roman"/>
          <w:kern w:val="0"/>
          <w:sz w:val="21"/>
          <w:szCs w:val="20"/>
          <w:lang w:val="en-US" w:eastAsia="zh-CN" w:bidi="ar-SA"/>
        </w:rPr>
        <w:t>一定</w:t>
      </w:r>
      <w:r>
        <w:rPr>
          <w:rFonts w:hint="default" w:ascii="Times New Roman" w:hAnsi="宋体" w:eastAsia="宋体" w:cs="Times New Roman"/>
          <w:kern w:val="0"/>
          <w:sz w:val="21"/>
          <w:szCs w:val="20"/>
          <w:lang w:val="en-US" w:eastAsia="zh-CN" w:bidi="ar-SA"/>
        </w:rPr>
        <w:t>的波动，</w:t>
      </w:r>
      <w:r>
        <w:rPr>
          <w:rFonts w:hint="default" w:ascii="Times New Roman" w:hAnsi="宋体" w:eastAsia="宋体" w:cs="Times New Roman"/>
          <w:kern w:val="0"/>
          <w:szCs w:val="20"/>
          <w:lang w:val="en-US" w:eastAsia="zh-CN"/>
        </w:rPr>
        <w:t>但整体来看其波动幅度相对较小，显示出该行业在全年内可能保持了一定的稳定性</w:t>
      </w:r>
      <w:r>
        <w:rPr>
          <w:rFonts w:hint="eastAsia" w:ascii="Times New Roman" w:hAnsi="宋体" w:eastAsia="宋体" w:cs="Times New Roman"/>
          <w:kern w:val="0"/>
          <w:szCs w:val="20"/>
          <w:lang w:val="en-US" w:eastAsia="zh-CN"/>
        </w:rPr>
        <w:t>。</w:t>
      </w:r>
      <w:r>
        <w:rPr>
          <w:rFonts w:hint="default" w:ascii="Times New Roman" w:hAnsi="宋体" w:eastAsia="宋体" w:cs="Times New Roman"/>
          <w:kern w:val="0"/>
          <w:sz w:val="21"/>
          <w:szCs w:val="20"/>
          <w:lang w:val="en-US" w:eastAsia="zh-CN" w:bidi="ar-SA"/>
        </w:rPr>
        <w:t>但整体来看，2023年的股价水平要高于2022年。</w:t>
      </w:r>
    </w:p>
    <w:p>
      <w:pPr>
        <w:numPr>
          <w:ilvl w:val="0"/>
          <w:numId w:val="0"/>
        </w:numPr>
        <w:ind w:leftChars="0" w:firstLine="420" w:firstLineChars="200"/>
        <w:rPr>
          <w:rFonts w:hint="default" w:ascii="Times New Roman" w:hAnsi="宋体" w:eastAsia="宋体" w:cs="Times New Roman"/>
          <w:kern w:val="0"/>
          <w:sz w:val="21"/>
          <w:szCs w:val="20"/>
          <w:lang w:val="en-US" w:eastAsia="zh-CN" w:bidi="ar-SA"/>
        </w:rPr>
      </w:pPr>
      <w:r>
        <w:rPr>
          <w:rFonts w:hint="default" w:ascii="Times New Roman" w:hAnsi="宋体" w:eastAsia="宋体" w:cs="Times New Roman"/>
          <w:kern w:val="0"/>
          <w:sz w:val="21"/>
          <w:szCs w:val="20"/>
          <w:lang w:val="en-US" w:eastAsia="zh-CN" w:bidi="ar-SA"/>
        </w:rPr>
        <w:t>玻璃纤维行业的股价在2022年</w:t>
      </w:r>
      <w:r>
        <w:rPr>
          <w:rFonts w:hint="default" w:ascii="Times New Roman" w:hAnsi="宋体" w:eastAsia="宋体" w:cs="Times New Roman"/>
          <w:kern w:val="0"/>
          <w:szCs w:val="20"/>
          <w:lang w:val="en-US" w:eastAsia="zh-CN"/>
        </w:rPr>
        <w:t>呈现出较大的波动</w:t>
      </w:r>
      <w:r>
        <w:rPr>
          <w:rFonts w:hint="default" w:ascii="Times New Roman" w:hAnsi="宋体" w:eastAsia="宋体" w:cs="Times New Roman"/>
          <w:kern w:val="0"/>
          <w:sz w:val="21"/>
          <w:szCs w:val="20"/>
          <w:lang w:val="en-US" w:eastAsia="zh-CN" w:bidi="ar-SA"/>
        </w:rPr>
        <w:t>，</w:t>
      </w:r>
      <w:r>
        <w:rPr>
          <w:rFonts w:hint="eastAsia" w:ascii="Times New Roman" w:hAnsi="宋体" w:eastAsia="宋体" w:cs="Times New Roman"/>
          <w:kern w:val="0"/>
          <w:sz w:val="21"/>
          <w:szCs w:val="20"/>
          <w:lang w:val="en-US" w:eastAsia="zh-CN" w:bidi="ar-SA"/>
        </w:rPr>
        <w:t>尤其在某个时间段内出现了明显的上涨。</w:t>
      </w:r>
      <w:r>
        <w:rPr>
          <w:rFonts w:hint="default" w:ascii="Times New Roman" w:hAnsi="宋体" w:eastAsia="宋体" w:cs="Times New Roman"/>
          <w:kern w:val="0"/>
          <w:sz w:val="21"/>
          <w:szCs w:val="20"/>
          <w:lang w:val="en-US" w:eastAsia="zh-CN" w:bidi="ar-SA"/>
        </w:rPr>
        <w:t>而到了2023年，股价</w:t>
      </w:r>
      <w:r>
        <w:rPr>
          <w:rFonts w:hint="eastAsia" w:ascii="Times New Roman" w:hAnsi="宋体" w:eastAsia="宋体" w:cs="Times New Roman"/>
          <w:kern w:val="0"/>
          <w:sz w:val="21"/>
          <w:szCs w:val="20"/>
          <w:lang w:val="en-US" w:eastAsia="zh-CN" w:bidi="ar-SA"/>
        </w:rPr>
        <w:t>波动情况较为稳定</w:t>
      </w:r>
      <w:r>
        <w:rPr>
          <w:rFonts w:hint="default" w:ascii="Times New Roman" w:hAnsi="宋体" w:eastAsia="宋体" w:cs="Times New Roman"/>
          <w:kern w:val="0"/>
          <w:sz w:val="21"/>
          <w:szCs w:val="20"/>
          <w:lang w:val="en-US" w:eastAsia="zh-CN" w:bidi="ar-SA"/>
        </w:rPr>
        <w:t>，</w:t>
      </w:r>
      <w:r>
        <w:rPr>
          <w:rFonts w:hint="eastAsia" w:ascii="Times New Roman" w:hAnsi="宋体" w:eastAsia="宋体" w:cs="Times New Roman"/>
          <w:kern w:val="0"/>
          <w:sz w:val="21"/>
          <w:szCs w:val="20"/>
          <w:lang w:val="en-US" w:eastAsia="zh-CN" w:bidi="ar-SA"/>
        </w:rPr>
        <w:t>但从整体上看，股票的价格呈现出下跌趋势</w:t>
      </w:r>
      <w:r>
        <w:rPr>
          <w:rFonts w:hint="default" w:ascii="Times New Roman" w:hAnsi="宋体" w:eastAsia="宋体" w:cs="Times New Roman"/>
          <w:kern w:val="0"/>
          <w:sz w:val="21"/>
          <w:szCs w:val="20"/>
          <w:lang w:val="en-US" w:eastAsia="zh-CN" w:bidi="ar-SA"/>
        </w:rPr>
        <w:t>。</w:t>
      </w:r>
    </w:p>
    <w:p>
      <w:pPr>
        <w:numPr>
          <w:ilvl w:val="0"/>
          <w:numId w:val="0"/>
        </w:numPr>
        <w:ind w:leftChars="0" w:firstLine="420" w:firstLineChars="200"/>
        <w:rPr>
          <w:rFonts w:hint="eastAsia" w:ascii="Times New Roman" w:hAnsi="宋体" w:eastAsia="宋体" w:cs="Times New Roman"/>
          <w:kern w:val="0"/>
          <w:szCs w:val="20"/>
          <w:lang w:val="en-US" w:eastAsia="zh-CN"/>
        </w:rPr>
      </w:pPr>
      <w:r>
        <w:rPr>
          <w:rFonts w:hint="default" w:ascii="Times New Roman" w:hAnsi="宋体" w:eastAsia="宋体" w:cs="Times New Roman"/>
          <w:kern w:val="0"/>
          <w:sz w:val="21"/>
          <w:szCs w:val="20"/>
          <w:lang w:val="en-US" w:eastAsia="zh-CN" w:bidi="ar-SA"/>
        </w:rPr>
        <w:t>最后，纺织服装行业的股价在两年间都呈现出较为稳定的态势，但2023年的股价整体略高于2022年。</w:t>
      </w:r>
    </w:p>
    <w:p>
      <w:pPr>
        <w:numPr>
          <w:ilvl w:val="0"/>
          <w:numId w:val="0"/>
        </w:numPr>
        <w:jc w:val="center"/>
        <w:rPr>
          <w:rFonts w:hint="default" w:ascii="Times New Roman" w:hAnsi="宋体" w:eastAsia="宋体" w:cs="Times New Roman"/>
          <w:kern w:val="0"/>
          <w:szCs w:val="20"/>
          <w:lang w:val="en-US" w:eastAsia="zh-CN"/>
        </w:rPr>
      </w:pPr>
      <w:r>
        <w:rPr>
          <w:rFonts w:hint="default" w:ascii="Times New Roman" w:hAnsi="宋体" w:eastAsia="宋体" w:cs="Times New Roman"/>
          <w:kern w:val="0"/>
          <w:szCs w:val="20"/>
          <w:lang w:val="en-US" w:eastAsia="zh-CN"/>
        </w:rPr>
        <w:drawing>
          <wp:inline distT="0" distB="0" distL="114300" distR="114300">
            <wp:extent cx="4665345" cy="2256790"/>
            <wp:effectExtent l="0" t="0" r="13335" b="13970"/>
            <wp:docPr id="7" name="图片 7" descr="2022年与2023年各行业股价走势折线图"/>
            <wp:cNvGraphicFramePr/>
            <a:graphic xmlns:a="http://schemas.openxmlformats.org/drawingml/2006/main">
              <a:graphicData uri="http://schemas.openxmlformats.org/drawingml/2006/picture">
                <pic:pic xmlns:pic="http://schemas.openxmlformats.org/drawingml/2006/picture">
                  <pic:nvPicPr>
                    <pic:cNvPr id="7" name="图片 7" descr="2022年与2023年各行业股价走势折线图"/>
                    <pic:cNvPicPr/>
                  </pic:nvPicPr>
                  <pic:blipFill>
                    <a:blip r:embed="rId28"/>
                    <a:srcRect l="5998" t="7828" r="8427" b="41682"/>
                    <a:stretch>
                      <a:fillRect/>
                    </a:stretch>
                  </pic:blipFill>
                  <pic:spPr>
                    <a:xfrm>
                      <a:off x="0" y="0"/>
                      <a:ext cx="4665345" cy="2256790"/>
                    </a:xfrm>
                    <a:prstGeom prst="rect">
                      <a:avLst/>
                    </a:prstGeom>
                  </pic:spPr>
                </pic:pic>
              </a:graphicData>
            </a:graphic>
          </wp:inline>
        </w:drawing>
      </w:r>
    </w:p>
    <w:p>
      <w:pPr>
        <w:widowControl/>
        <w:jc w:val="center"/>
        <w:textAlignment w:val="center"/>
        <w:rPr>
          <w:rFonts w:hint="default" w:ascii="宋体" w:hAnsi="宋体"/>
          <w:sz w:val="18"/>
          <w:szCs w:val="18"/>
          <w:lang w:val="en-US" w:eastAsia="zh-CN"/>
        </w:rPr>
      </w:pPr>
      <w:r>
        <w:rPr>
          <w:rFonts w:hint="eastAsia" w:ascii="宋体" w:hAnsi="宋体"/>
          <w:sz w:val="18"/>
          <w:szCs w:val="18"/>
          <w:lang w:val="en-US" w:eastAsia="zh-CN"/>
        </w:rPr>
        <w:t>图4  2022年与2023年各行业折线走势</w:t>
      </w:r>
    </w:p>
    <w:p>
      <w:pPr>
        <w:numPr>
          <w:ilvl w:val="0"/>
          <w:numId w:val="0"/>
        </w:numPr>
        <w:jc w:val="both"/>
        <w:rPr>
          <w:rFonts w:hint="default" w:ascii="宋体" w:hAnsi="宋体" w:eastAsia="宋体" w:cs="Times New Roman"/>
          <w:b/>
          <w:lang w:val="en-US" w:eastAsia="zh-CN"/>
        </w:rPr>
      </w:pPr>
      <w:r>
        <w:rPr>
          <w:rFonts w:hint="eastAsia" w:ascii="宋体" w:hAnsi="宋体" w:eastAsia="宋体" w:cs="Times New Roman"/>
          <w:b/>
          <w:lang w:val="en-US" w:eastAsia="zh-CN"/>
        </w:rPr>
        <w:t>2.3  2022年与2023年年初各行业股价直方图</w:t>
      </w:r>
    </w:p>
    <w:p>
      <w:pPr>
        <w:numPr>
          <w:ilvl w:val="0"/>
          <w:numId w:val="0"/>
        </w:numPr>
        <w:ind w:firstLine="420" w:firstLineChars="200"/>
        <w:jc w:val="left"/>
        <w:rPr>
          <w:rFonts w:hint="eastAsia" w:ascii="Times New Roman" w:hAnsi="宋体" w:eastAsia="宋体" w:cs="Times New Roman"/>
          <w:kern w:val="0"/>
          <w:szCs w:val="20"/>
          <w:lang w:val="en-US" w:eastAsia="zh-CN"/>
        </w:rPr>
      </w:pPr>
      <w:r>
        <w:rPr>
          <w:rFonts w:hint="eastAsia" w:ascii="Times New Roman" w:hAnsi="宋体" w:eastAsia="宋体" w:cs="Times New Roman"/>
          <w:kern w:val="0"/>
          <w:szCs w:val="20"/>
          <w:lang w:val="en-US" w:eastAsia="zh-CN"/>
        </w:rPr>
        <w:t>选取2022年以及2023年五个行业的数据作为分析对象，挑选出五个行业年初的数据（表1）进行可视化分析。</w:t>
      </w:r>
    </w:p>
    <w:p>
      <w:pPr>
        <w:numPr>
          <w:ilvl w:val="0"/>
          <w:numId w:val="0"/>
        </w:numPr>
        <w:ind w:firstLine="420" w:firstLineChars="200"/>
        <w:jc w:val="left"/>
        <w:rPr>
          <w:rFonts w:hint="default" w:ascii="Times New Roman" w:hAnsi="宋体" w:eastAsia="宋体" w:cs="Times New Roman"/>
          <w:kern w:val="0"/>
          <w:szCs w:val="20"/>
          <w:lang w:val="en-US" w:eastAsia="zh-CN"/>
        </w:rPr>
      </w:pPr>
      <w:r>
        <w:rPr>
          <w:rFonts w:hint="eastAsia" w:ascii="Times New Roman" w:hAnsi="宋体" w:eastAsia="宋体" w:cs="Times New Roman"/>
          <w:kern w:val="0"/>
          <w:szCs w:val="20"/>
          <w:lang w:val="en-US" w:eastAsia="zh-CN"/>
        </w:rPr>
        <w:t>从表1以及图5中，我们可以看到2022年和2023年大部分行业的单价是有所下降的，这个跌幅比较大的是电子元件行业和玻璃玻纤行业。而酿酒行业是有所小幅度增长的。</w:t>
      </w:r>
    </w:p>
    <w:p>
      <w:pPr>
        <w:numPr>
          <w:ilvl w:val="0"/>
          <w:numId w:val="0"/>
        </w:numPr>
        <w:ind w:firstLine="420" w:firstLineChars="200"/>
        <w:jc w:val="left"/>
        <w:rPr>
          <w:rFonts w:hint="eastAsia" w:ascii="Times New Roman" w:hAnsi="宋体" w:eastAsia="宋体" w:cs="Times New Roman"/>
          <w:kern w:val="0"/>
          <w:szCs w:val="20"/>
          <w:lang w:val="en-US" w:eastAsia="zh-CN"/>
        </w:rPr>
      </w:pPr>
      <w:r>
        <w:rPr>
          <w:rFonts w:hint="eastAsia" w:ascii="Times New Roman" w:hAnsi="宋体" w:eastAsia="宋体" w:cs="Times New Roman"/>
          <w:kern w:val="0"/>
          <w:szCs w:val="20"/>
          <w:lang w:val="en-US" w:eastAsia="zh-CN"/>
        </w:rPr>
        <w:t>横向对比不同行业，我们可以看到单价最高的是酿酒行业，这个行业的单价远远高于其他行业。其次是玻璃玻纤行业、电子元件和玻璃玻纤行业。而最低的则是纺织服装行业与半导体行业。</w:t>
      </w:r>
    </w:p>
    <w:p>
      <w:pPr>
        <w:numPr>
          <w:ilvl w:val="0"/>
          <w:numId w:val="0"/>
        </w:numPr>
        <w:ind w:firstLine="420" w:firstLineChars="200"/>
        <w:jc w:val="left"/>
        <w:rPr>
          <w:rFonts w:hint="eastAsia" w:ascii="Times New Roman" w:hAnsi="宋体" w:eastAsia="宋体" w:cs="Times New Roman"/>
          <w:kern w:val="0"/>
          <w:szCs w:val="20"/>
          <w:lang w:val="en-US" w:eastAsia="zh-CN"/>
        </w:rPr>
      </w:pPr>
      <w:r>
        <w:rPr>
          <w:rFonts w:hint="eastAsia" w:ascii="Times New Roman" w:hAnsi="宋体" w:eastAsia="宋体" w:cs="Times New Roman"/>
          <w:kern w:val="0"/>
          <w:szCs w:val="20"/>
          <w:lang w:val="en-US" w:eastAsia="zh-CN"/>
        </w:rPr>
        <w:t>对于同一行业的2018年和2022年数据的对比，我们可以看到，除了贸易行业和旅游酒店行业外，其他行业单价都有所增长。其中增幅最大的是酿酒行业、玻璃玻纤行业和化学制药行业。</w:t>
      </w:r>
    </w:p>
    <w:p>
      <w:pPr>
        <w:numPr>
          <w:ilvl w:val="0"/>
          <w:numId w:val="0"/>
        </w:numPr>
        <w:ind w:firstLine="361" w:firstLineChars="200"/>
        <w:jc w:val="center"/>
        <w:rPr>
          <w:rFonts w:hint="default" w:ascii="Times New Roman" w:hAnsi="宋体" w:eastAsia="宋体" w:cs="Times New Roman"/>
          <w:kern w:val="0"/>
          <w:szCs w:val="20"/>
          <w:lang w:val="en-US" w:eastAsia="zh-CN"/>
        </w:rPr>
      </w:pPr>
      <w:r>
        <w:rPr>
          <w:rFonts w:hint="eastAsia" w:ascii="Times New Roman" w:hAnsi="Times New Roman" w:eastAsia="宋体" w:cs="Times New Roman"/>
          <w:b/>
          <w:color w:val="000000"/>
          <w:sz w:val="18"/>
          <w:szCs w:val="18"/>
          <w:lang w:val="en-US" w:eastAsia="zh-CN"/>
        </w:rPr>
        <w:t>表1  2022年与2023年各行业年初数据</w:t>
      </w:r>
    </w:p>
    <w:tbl>
      <w:tblPr>
        <w:tblStyle w:val="15"/>
        <w:tblW w:w="0" w:type="auto"/>
        <w:jc w:val="center"/>
        <w:tblBorders>
          <w:top w:val="single" w:color="auto" w:sz="4" w:space="0"/>
          <w:left w:val="none" w:color="auto" w:sz="0" w:space="0"/>
          <w:bottom w:val="single" w:color="00000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6"/>
        <w:gridCol w:w="1096"/>
        <w:gridCol w:w="1096"/>
        <w:gridCol w:w="1096"/>
        <w:gridCol w:w="1097"/>
        <w:gridCol w:w="1097"/>
      </w:tblGrid>
      <w:tr>
        <w:tblPrEx>
          <w:tblBorders>
            <w:top w:val="single" w:color="auto"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5" w:hRule="atLeast"/>
          <w:jc w:val="center"/>
        </w:trPr>
        <w:tc>
          <w:tcPr>
            <w:tcW w:w="1096" w:type="dxa"/>
            <w:tcBorders>
              <w:bottom w:val="single" w:color="auto" w:sz="4" w:space="0"/>
              <w:right w:val="nil"/>
            </w:tcBorders>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年份</w:t>
            </w:r>
          </w:p>
        </w:tc>
        <w:tc>
          <w:tcPr>
            <w:tcW w:w="1096" w:type="dxa"/>
            <w:tcBorders>
              <w:left w:val="nil"/>
              <w:bottom w:val="single" w:color="auto" w:sz="4" w:space="0"/>
              <w:right w:val="nil"/>
            </w:tcBorders>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酿酒行业</w:t>
            </w:r>
          </w:p>
        </w:tc>
        <w:tc>
          <w:tcPr>
            <w:tcW w:w="1096" w:type="dxa"/>
            <w:tcBorders>
              <w:left w:val="nil"/>
              <w:bottom w:val="single" w:color="auto" w:sz="4" w:space="0"/>
              <w:right w:val="nil"/>
            </w:tcBorders>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半导体</w:t>
            </w:r>
          </w:p>
        </w:tc>
        <w:tc>
          <w:tcPr>
            <w:tcW w:w="1096" w:type="dxa"/>
            <w:tcBorders>
              <w:left w:val="nil"/>
              <w:bottom w:val="single" w:color="auto" w:sz="4" w:space="0"/>
              <w:right w:val="nil"/>
            </w:tcBorders>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电子元件</w:t>
            </w:r>
          </w:p>
        </w:tc>
        <w:tc>
          <w:tcPr>
            <w:tcW w:w="1097" w:type="dxa"/>
            <w:tcBorders>
              <w:left w:val="nil"/>
              <w:bottom w:val="single" w:color="auto" w:sz="4" w:space="0"/>
              <w:right w:val="nil"/>
            </w:tcBorders>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玻璃纤维</w:t>
            </w:r>
          </w:p>
        </w:tc>
        <w:tc>
          <w:tcPr>
            <w:tcW w:w="1097" w:type="dxa"/>
            <w:tcBorders>
              <w:left w:val="nil"/>
              <w:bottom w:val="single" w:color="auto" w:sz="4" w:space="0"/>
            </w:tcBorders>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纺织服装</w:t>
            </w:r>
          </w:p>
        </w:tc>
      </w:tr>
      <w:tr>
        <w:tblPrEx>
          <w:tblBorders>
            <w:top w:val="single" w:color="auto"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5" w:hRule="atLeast"/>
          <w:jc w:val="center"/>
        </w:trPr>
        <w:tc>
          <w:tcPr>
            <w:tcW w:w="1096" w:type="dxa"/>
            <w:tcBorders>
              <w:top w:val="single" w:color="auto" w:sz="4" w:space="0"/>
              <w:tl2br w:val="nil"/>
              <w:tr2bl w:val="nil"/>
            </w:tcBorders>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2022</w:t>
            </w:r>
          </w:p>
        </w:tc>
        <w:tc>
          <w:tcPr>
            <w:tcW w:w="1096" w:type="dxa"/>
            <w:tcBorders>
              <w:top w:val="single" w:color="auto" w:sz="4" w:space="0"/>
              <w:tl2br w:val="nil"/>
              <w:tr2bl w:val="nil"/>
            </w:tcBorders>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62324.69</w:t>
            </w:r>
          </w:p>
        </w:tc>
        <w:tc>
          <w:tcPr>
            <w:tcW w:w="1096" w:type="dxa"/>
            <w:tcBorders>
              <w:top w:val="single" w:color="auto" w:sz="4" w:space="0"/>
              <w:tl2br w:val="nil"/>
              <w:tr2bl w:val="nil"/>
            </w:tcBorders>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1430.09</w:t>
            </w:r>
          </w:p>
        </w:tc>
        <w:tc>
          <w:tcPr>
            <w:tcW w:w="1096" w:type="dxa"/>
            <w:tcBorders>
              <w:top w:val="single" w:color="auto" w:sz="4" w:space="0"/>
              <w:tl2br w:val="nil"/>
              <w:tr2bl w:val="nil"/>
            </w:tcBorders>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21596.40</w:t>
            </w:r>
          </w:p>
        </w:tc>
        <w:tc>
          <w:tcPr>
            <w:tcW w:w="1097" w:type="dxa"/>
            <w:tcBorders>
              <w:top w:val="single" w:color="auto" w:sz="4" w:space="0"/>
              <w:tl2br w:val="nil"/>
              <w:tr2bl w:val="nil"/>
            </w:tcBorders>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44040.11</w:t>
            </w:r>
          </w:p>
        </w:tc>
        <w:tc>
          <w:tcPr>
            <w:tcW w:w="1097" w:type="dxa"/>
            <w:tcBorders>
              <w:top w:val="single" w:color="auto" w:sz="4" w:space="0"/>
              <w:tl2br w:val="nil"/>
              <w:tr2bl w:val="nil"/>
            </w:tcBorders>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11134.53</w:t>
            </w:r>
          </w:p>
        </w:tc>
      </w:tr>
      <w:tr>
        <w:tblPrEx>
          <w:tblBorders>
            <w:top w:val="single" w:color="auto"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5" w:hRule="atLeast"/>
          <w:jc w:val="center"/>
        </w:trPr>
        <w:tc>
          <w:tcPr>
            <w:tcW w:w="1096" w:type="dxa"/>
            <w:tcBorders>
              <w:tl2br w:val="nil"/>
              <w:tr2bl w:val="nil"/>
            </w:tcBorders>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2023</w:t>
            </w:r>
          </w:p>
        </w:tc>
        <w:tc>
          <w:tcPr>
            <w:tcW w:w="1096" w:type="dxa"/>
            <w:tcBorders>
              <w:tl2br w:val="nil"/>
              <w:tr2bl w:val="nil"/>
            </w:tcBorders>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63939.67</w:t>
            </w:r>
          </w:p>
        </w:tc>
        <w:tc>
          <w:tcPr>
            <w:tcW w:w="1096" w:type="dxa"/>
            <w:tcBorders>
              <w:tl2br w:val="nil"/>
              <w:tr2bl w:val="nil"/>
            </w:tcBorders>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1150.32</w:t>
            </w:r>
          </w:p>
        </w:tc>
        <w:tc>
          <w:tcPr>
            <w:tcW w:w="1096" w:type="dxa"/>
            <w:tcBorders>
              <w:tl2br w:val="nil"/>
              <w:tr2bl w:val="nil"/>
            </w:tcBorders>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17747.67</w:t>
            </w:r>
          </w:p>
        </w:tc>
        <w:tc>
          <w:tcPr>
            <w:tcW w:w="1097" w:type="dxa"/>
            <w:tcBorders>
              <w:tl2br w:val="nil"/>
              <w:tr2bl w:val="nil"/>
            </w:tcBorders>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38488.96</w:t>
            </w:r>
          </w:p>
        </w:tc>
        <w:tc>
          <w:tcPr>
            <w:tcW w:w="1097" w:type="dxa"/>
            <w:tcBorders>
              <w:tl2br w:val="nil"/>
              <w:tr2bl w:val="nil"/>
            </w:tcBorders>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10156.48</w:t>
            </w:r>
          </w:p>
        </w:tc>
      </w:tr>
    </w:tbl>
    <w:p>
      <w:pPr>
        <w:numPr>
          <w:ilvl w:val="0"/>
          <w:numId w:val="0"/>
        </w:numPr>
        <w:jc w:val="center"/>
        <w:rPr>
          <w:rFonts w:hint="default" w:ascii="Times New Roman" w:hAnsi="宋体" w:eastAsia="宋体" w:cs="Times New Roman"/>
          <w:kern w:val="0"/>
          <w:szCs w:val="20"/>
          <w:lang w:val="en-US" w:eastAsia="zh-CN"/>
        </w:rPr>
      </w:pPr>
      <w:r>
        <w:rPr>
          <w:rFonts w:hint="default" w:ascii="Times New Roman" w:hAnsi="宋体" w:eastAsia="宋体" w:cs="Times New Roman"/>
          <w:kern w:val="0"/>
          <w:szCs w:val="20"/>
          <w:lang w:val="en-US" w:eastAsia="zh-CN"/>
        </w:rPr>
        <w:drawing>
          <wp:inline distT="0" distB="0" distL="114300" distR="114300">
            <wp:extent cx="4665345" cy="2257425"/>
            <wp:effectExtent l="0" t="0" r="13335" b="13335"/>
            <wp:docPr id="8" name="图片 8" descr="2022年与2023年年初各行业股价直方图"/>
            <wp:cNvGraphicFramePr/>
            <a:graphic xmlns:a="http://schemas.openxmlformats.org/drawingml/2006/main">
              <a:graphicData uri="http://schemas.openxmlformats.org/drawingml/2006/picture">
                <pic:pic xmlns:pic="http://schemas.openxmlformats.org/drawingml/2006/picture">
                  <pic:nvPicPr>
                    <pic:cNvPr id="8" name="图片 8" descr="2022年与2023年年初各行业股价直方图"/>
                    <pic:cNvPicPr/>
                  </pic:nvPicPr>
                  <pic:blipFill>
                    <a:blip r:embed="rId29"/>
                    <a:srcRect l="7318" t="7926" r="49291" b="58327"/>
                    <a:stretch>
                      <a:fillRect/>
                    </a:stretch>
                  </pic:blipFill>
                  <pic:spPr>
                    <a:xfrm>
                      <a:off x="0" y="0"/>
                      <a:ext cx="4665345" cy="2257425"/>
                    </a:xfrm>
                    <a:prstGeom prst="rect">
                      <a:avLst/>
                    </a:prstGeom>
                  </pic:spPr>
                </pic:pic>
              </a:graphicData>
            </a:graphic>
          </wp:inline>
        </w:drawing>
      </w:r>
    </w:p>
    <w:p>
      <w:pPr>
        <w:widowControl/>
        <w:jc w:val="center"/>
        <w:textAlignment w:val="center"/>
        <w:rPr>
          <w:rFonts w:hint="default" w:ascii="宋体" w:hAnsi="宋体"/>
          <w:sz w:val="18"/>
          <w:szCs w:val="18"/>
          <w:lang w:val="en-US" w:eastAsia="zh-CN"/>
        </w:rPr>
      </w:pPr>
      <w:r>
        <w:rPr>
          <w:rFonts w:hint="eastAsia" w:ascii="宋体" w:hAnsi="宋体"/>
          <w:sz w:val="18"/>
          <w:szCs w:val="18"/>
          <w:lang w:val="en-US" w:eastAsia="zh-CN"/>
        </w:rPr>
        <w:t>图5  2022年与2023年年初各行业股价直方图</w:t>
      </w:r>
    </w:p>
    <w:p>
      <w:pPr>
        <w:numPr>
          <w:ilvl w:val="0"/>
          <w:numId w:val="0"/>
        </w:numPr>
        <w:jc w:val="both"/>
        <w:rPr>
          <w:rFonts w:hint="default" w:ascii="宋体" w:hAnsi="宋体" w:eastAsia="宋体" w:cs="Times New Roman"/>
          <w:b/>
          <w:lang w:val="en-US" w:eastAsia="zh-CN"/>
        </w:rPr>
      </w:pPr>
      <w:r>
        <w:rPr>
          <w:rFonts w:hint="eastAsia" w:ascii="宋体" w:hAnsi="宋体" w:eastAsia="宋体" w:cs="Times New Roman"/>
          <w:b/>
          <w:lang w:val="en-US" w:eastAsia="zh-CN"/>
        </w:rPr>
        <w:t>2.4  电子元件涨跌幅饼状图</w:t>
      </w:r>
    </w:p>
    <w:p>
      <w:pPr>
        <w:numPr>
          <w:ilvl w:val="0"/>
          <w:numId w:val="0"/>
        </w:numPr>
        <w:ind w:firstLine="420" w:firstLineChars="200"/>
        <w:jc w:val="both"/>
        <w:rPr>
          <w:rFonts w:hint="eastAsia" w:ascii="Times New Roman" w:hAnsi="宋体" w:eastAsia="宋体" w:cs="Times New Roman"/>
          <w:kern w:val="0"/>
          <w:szCs w:val="20"/>
          <w:lang w:val="en-US" w:eastAsia="zh-CN"/>
        </w:rPr>
      </w:pPr>
      <w:r>
        <w:rPr>
          <w:rFonts w:hint="eastAsia" w:ascii="Times New Roman" w:hAnsi="宋体" w:eastAsia="宋体" w:cs="Times New Roman"/>
          <w:kern w:val="0"/>
          <w:szCs w:val="20"/>
          <w:lang w:val="en-US" w:eastAsia="zh-CN"/>
        </w:rPr>
        <w:t>选取2022年以及2023年电子元件行业涨跌幅作为特征指标进行数据分析。首先对电子行业2022年和2023年的涨跌幅数据进行处理，分别统计出涨跌幅为正值和负值，然后与总量作商计算出占比。从图6中可以看出，2022年电子元件行业的涨跌幅相差比较大，下跌幅度略高于上涨幅度，整个行业整体呈现出下跌的趋势。而2023年，电子元件行业整体上涨，且上涨幅度高于下跌幅度，表明电子元件行业发展较好，正在逐渐获得市场的认可和支持。</w:t>
      </w:r>
    </w:p>
    <w:p>
      <w:pPr>
        <w:numPr>
          <w:ilvl w:val="0"/>
          <w:numId w:val="0"/>
        </w:numPr>
        <w:ind w:firstLine="420" w:firstLineChars="200"/>
        <w:jc w:val="both"/>
        <w:rPr>
          <w:rFonts w:hint="eastAsia" w:ascii="Times New Roman" w:hAnsi="宋体" w:eastAsia="宋体" w:cs="Times New Roman"/>
          <w:kern w:val="0"/>
          <w:szCs w:val="20"/>
          <w:lang w:val="en-US" w:eastAsia="zh-CN"/>
        </w:rPr>
      </w:pPr>
    </w:p>
    <w:p>
      <w:pPr>
        <w:numPr>
          <w:ilvl w:val="0"/>
          <w:numId w:val="0"/>
        </w:numPr>
        <w:jc w:val="both"/>
        <w:rPr>
          <w:rFonts w:hint="eastAsia" w:ascii="Times New Roman" w:hAnsi="宋体" w:eastAsia="宋体" w:cs="Times New Roman"/>
          <w:kern w:val="0"/>
          <w:szCs w:val="20"/>
          <w:lang w:val="en-US" w:eastAsia="zh-CN"/>
        </w:rPr>
      </w:pPr>
    </w:p>
    <w:p>
      <w:pPr>
        <w:numPr>
          <w:ilvl w:val="0"/>
          <w:numId w:val="0"/>
        </w:numPr>
        <w:ind w:firstLine="420" w:firstLineChars="200"/>
        <w:jc w:val="center"/>
        <w:rPr>
          <w:rFonts w:hint="default" w:ascii="Times New Roman" w:hAnsi="宋体" w:eastAsia="宋体" w:cs="Times New Roman"/>
          <w:kern w:val="0"/>
          <w:szCs w:val="20"/>
          <w:lang w:val="en-US" w:eastAsia="zh-CN"/>
        </w:rPr>
      </w:pPr>
      <w:r>
        <w:rPr>
          <w:rFonts w:hint="default" w:ascii="Times New Roman" w:hAnsi="宋体" w:eastAsia="宋体" w:cs="Times New Roman"/>
          <w:kern w:val="0"/>
          <w:szCs w:val="20"/>
          <w:lang w:val="en-US" w:eastAsia="zh-CN"/>
        </w:rPr>
        <w:drawing>
          <wp:inline distT="0" distB="0" distL="114300" distR="114300">
            <wp:extent cx="2192655" cy="1950085"/>
            <wp:effectExtent l="0" t="0" r="1905" b="635"/>
            <wp:docPr id="11" name="图片 11" descr="2022年电子元件涨跌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22年电子元件涨跌对比"/>
                    <pic:cNvPicPr>
                      <a:picLocks noChangeAspect="1"/>
                    </pic:cNvPicPr>
                  </pic:nvPicPr>
                  <pic:blipFill>
                    <a:blip r:embed="rId30"/>
                    <a:srcRect l="21408" t="3935" r="18197" b="16233"/>
                    <a:stretch>
                      <a:fillRect/>
                    </a:stretch>
                  </pic:blipFill>
                  <pic:spPr>
                    <a:xfrm>
                      <a:off x="0" y="0"/>
                      <a:ext cx="2192655" cy="1950085"/>
                    </a:xfrm>
                    <a:prstGeom prst="rect">
                      <a:avLst/>
                    </a:prstGeom>
                  </pic:spPr>
                </pic:pic>
              </a:graphicData>
            </a:graphic>
          </wp:inline>
        </w:drawing>
      </w:r>
      <w:r>
        <w:rPr>
          <w:rFonts w:hint="eastAsia" w:ascii="Times New Roman" w:hAnsi="宋体" w:eastAsia="宋体" w:cs="Times New Roman"/>
          <w:kern w:val="0"/>
          <w:szCs w:val="20"/>
          <w:lang w:val="en-US" w:eastAsia="zh-CN"/>
        </w:rPr>
        <w:t xml:space="preserve">     </w:t>
      </w:r>
      <w:r>
        <w:rPr>
          <w:rFonts w:hint="default" w:ascii="Times New Roman" w:hAnsi="宋体" w:eastAsia="宋体" w:cs="Times New Roman"/>
          <w:kern w:val="0"/>
          <w:szCs w:val="20"/>
          <w:lang w:val="en-US" w:eastAsia="zh-CN"/>
        </w:rPr>
        <w:drawing>
          <wp:inline distT="0" distB="0" distL="114300" distR="114300">
            <wp:extent cx="2192020" cy="1917700"/>
            <wp:effectExtent l="0" t="0" r="2540" b="2540"/>
            <wp:docPr id="9" name="图片 9" descr="2023年电子元件涨跌对比"/>
            <wp:cNvGraphicFramePr/>
            <a:graphic xmlns:a="http://schemas.openxmlformats.org/drawingml/2006/main">
              <a:graphicData uri="http://schemas.openxmlformats.org/drawingml/2006/picture">
                <pic:pic xmlns:pic="http://schemas.openxmlformats.org/drawingml/2006/picture">
                  <pic:nvPicPr>
                    <pic:cNvPr id="9" name="图片 9" descr="2023年电子元件涨跌对比"/>
                    <pic:cNvPicPr/>
                  </pic:nvPicPr>
                  <pic:blipFill>
                    <a:blip r:embed="rId31"/>
                    <a:srcRect l="20269" t="5845" r="16168" b="16450"/>
                    <a:stretch>
                      <a:fillRect/>
                    </a:stretch>
                  </pic:blipFill>
                  <pic:spPr>
                    <a:xfrm>
                      <a:off x="0" y="0"/>
                      <a:ext cx="2192020" cy="1917700"/>
                    </a:xfrm>
                    <a:prstGeom prst="rect">
                      <a:avLst/>
                    </a:prstGeom>
                  </pic:spPr>
                </pic:pic>
              </a:graphicData>
            </a:graphic>
          </wp:inline>
        </w:drawing>
      </w:r>
    </w:p>
    <w:p>
      <w:pPr>
        <w:widowControl/>
        <w:jc w:val="center"/>
        <w:textAlignment w:val="center"/>
        <w:rPr>
          <w:rFonts w:hint="default" w:eastAsia="宋体"/>
          <w:szCs w:val="21"/>
          <w:lang w:val="en-US" w:eastAsia="zh-CN"/>
        </w:rPr>
      </w:pPr>
      <w:r>
        <w:rPr>
          <w:sz w:val="15"/>
          <w:szCs w:val="15"/>
        </w:rPr>
        <w:t>(a)</w:t>
      </w:r>
      <w:r>
        <w:rPr>
          <w:rFonts w:hint="eastAsia"/>
          <w:sz w:val="15"/>
          <w:szCs w:val="15"/>
          <w:lang w:val="en-US" w:eastAsia="zh-CN"/>
        </w:rPr>
        <w:t>2022年电子元件涨跌对比图</w:t>
      </w:r>
      <w:r>
        <w:rPr>
          <w:sz w:val="18"/>
          <w:szCs w:val="18"/>
        </w:rPr>
        <w:t xml:space="preserve">                      </w:t>
      </w:r>
      <w:r>
        <w:rPr>
          <w:sz w:val="15"/>
          <w:szCs w:val="15"/>
        </w:rPr>
        <w:t>(b)</w:t>
      </w:r>
      <w:r>
        <w:rPr>
          <w:rFonts w:hint="eastAsia"/>
          <w:sz w:val="15"/>
          <w:szCs w:val="15"/>
          <w:lang w:val="en-US" w:eastAsia="zh-CN"/>
        </w:rPr>
        <w:t>2023年电子元件涨跌对比图</w:t>
      </w:r>
    </w:p>
    <w:p>
      <w:pPr>
        <w:widowControl/>
        <w:jc w:val="center"/>
        <w:textAlignment w:val="center"/>
        <w:rPr>
          <w:rFonts w:hint="default" w:ascii="宋体" w:hAnsi="宋体"/>
          <w:sz w:val="18"/>
          <w:szCs w:val="18"/>
          <w:lang w:val="en-US" w:eastAsia="zh-CN"/>
        </w:rPr>
      </w:pPr>
      <w:r>
        <w:rPr>
          <w:rFonts w:hint="eastAsia" w:ascii="宋体" w:hAnsi="宋体"/>
          <w:sz w:val="18"/>
          <w:szCs w:val="18"/>
          <w:lang w:val="en-US" w:eastAsia="zh-CN"/>
        </w:rPr>
        <w:t>图6 电子元件涨跌饼状图</w:t>
      </w:r>
    </w:p>
    <w:p>
      <w:pPr>
        <w:numPr>
          <w:ilvl w:val="0"/>
          <w:numId w:val="0"/>
        </w:numPr>
        <w:jc w:val="both"/>
        <w:rPr>
          <w:rFonts w:hint="eastAsia" w:ascii="宋体" w:hAnsi="宋体" w:eastAsia="宋体" w:cs="Times New Roman"/>
          <w:b/>
          <w:lang w:val="en-US" w:eastAsia="zh-CN"/>
        </w:rPr>
      </w:pPr>
      <w:r>
        <w:rPr>
          <w:rFonts w:hint="eastAsia" w:ascii="宋体" w:hAnsi="宋体" w:eastAsia="宋体" w:cs="Times New Roman"/>
          <w:b/>
          <w:lang w:val="en-US" w:eastAsia="zh-CN"/>
        </w:rPr>
        <w:t>2.5  k-means聚类分析</w:t>
      </w:r>
    </w:p>
    <w:p>
      <w:pPr>
        <w:numPr>
          <w:ilvl w:val="0"/>
          <w:numId w:val="0"/>
        </w:numPr>
        <w:jc w:val="both"/>
        <w:rPr>
          <w:rFonts w:hint="default" w:ascii="Times New Roman" w:hAnsi="宋体" w:eastAsia="宋体" w:cs="Times New Roman"/>
          <w:kern w:val="0"/>
          <w:szCs w:val="20"/>
          <w:lang w:val="en-US" w:eastAsia="zh-CN"/>
        </w:rPr>
      </w:pPr>
      <w:r>
        <w:rPr>
          <w:rFonts w:hint="eastAsia" w:ascii="Times New Roman" w:hAnsi="宋体" w:eastAsia="宋体" w:cs="Times New Roman"/>
          <w:kern w:val="0"/>
          <w:szCs w:val="20"/>
          <w:lang w:val="en-US" w:eastAsia="zh-CN"/>
        </w:rPr>
        <w:t>2.5.1 手肘图</w:t>
      </w:r>
    </w:p>
    <w:p>
      <w:pPr>
        <w:numPr>
          <w:ilvl w:val="0"/>
          <w:numId w:val="0"/>
        </w:numPr>
        <w:jc w:val="both"/>
        <w:rPr>
          <w:rFonts w:hint="eastAsia" w:ascii="Times New Roman" w:hAnsi="宋体" w:eastAsia="宋体" w:cs="Times New Roman"/>
          <w:kern w:val="0"/>
          <w:szCs w:val="20"/>
          <w:lang w:val="en-US" w:eastAsia="zh-CN"/>
        </w:rPr>
      </w:pPr>
      <w:r>
        <w:rPr>
          <w:rFonts w:hint="eastAsia" w:ascii="Times New Roman" w:hAnsi="宋体" w:eastAsia="宋体" w:cs="Times New Roman"/>
          <w:kern w:val="0"/>
          <w:szCs w:val="20"/>
          <w:lang w:val="en-US" w:eastAsia="zh-CN"/>
        </w:rPr>
        <w:t xml:space="preserve">   首先对选取的五个股票行业共计89只股票进行整理，然后选择“涨跌幅”与“振幅”作为进行聚类分析的特征，对整合的数据进行预处理得到表2（部分数据）。</w:t>
      </w:r>
    </w:p>
    <w:p>
      <w:pPr>
        <w:numPr>
          <w:ilvl w:val="0"/>
          <w:numId w:val="0"/>
        </w:numPr>
        <w:ind w:firstLine="361" w:firstLineChars="200"/>
        <w:jc w:val="center"/>
        <w:rPr>
          <w:rFonts w:hint="default" w:ascii="Times New Roman" w:hAnsi="宋体" w:eastAsia="宋体" w:cs="Times New Roman"/>
          <w:kern w:val="0"/>
          <w:szCs w:val="20"/>
          <w:lang w:val="en-US" w:eastAsia="zh-CN"/>
        </w:rPr>
      </w:pPr>
      <w:r>
        <w:rPr>
          <w:rFonts w:hint="eastAsia" w:ascii="Times New Roman" w:hAnsi="Times New Roman" w:eastAsia="宋体" w:cs="Times New Roman"/>
          <w:b/>
          <w:color w:val="000000"/>
          <w:sz w:val="18"/>
          <w:szCs w:val="18"/>
          <w:lang w:val="en-US" w:eastAsia="zh-CN"/>
        </w:rPr>
        <w:t>表2  2020-2023年各股票预处理数据（部分）</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3"/>
        <w:gridCol w:w="833"/>
        <w:gridCol w:w="833"/>
        <w:gridCol w:w="834"/>
        <w:gridCol w:w="834"/>
        <w:gridCol w:w="834"/>
        <w:gridCol w:w="834"/>
        <w:gridCol w:w="834"/>
        <w:gridCol w:w="834"/>
        <w:gridCol w:w="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833" w:type="dxa"/>
            <w:tcBorders>
              <w:left w:val="nil"/>
              <w:bottom w:val="single" w:color="auto" w:sz="4" w:space="0"/>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行业名称</w:t>
            </w:r>
          </w:p>
        </w:tc>
        <w:tc>
          <w:tcPr>
            <w:tcW w:w="833" w:type="dxa"/>
            <w:tcBorders>
              <w:left w:val="nil"/>
              <w:bottom w:val="single" w:color="auto" w:sz="4" w:space="0"/>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股票名称</w:t>
            </w:r>
          </w:p>
        </w:tc>
        <w:tc>
          <w:tcPr>
            <w:tcW w:w="1667" w:type="dxa"/>
            <w:gridSpan w:val="2"/>
            <w:tcBorders>
              <w:left w:val="nil"/>
              <w:bottom w:val="single" w:color="auto" w:sz="4" w:space="0"/>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2020</w:t>
            </w:r>
          </w:p>
        </w:tc>
        <w:tc>
          <w:tcPr>
            <w:tcW w:w="1668" w:type="dxa"/>
            <w:gridSpan w:val="2"/>
            <w:tcBorders>
              <w:left w:val="nil"/>
              <w:bottom w:val="single" w:color="auto" w:sz="4" w:space="0"/>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2021</w:t>
            </w:r>
          </w:p>
        </w:tc>
        <w:tc>
          <w:tcPr>
            <w:tcW w:w="1668" w:type="dxa"/>
            <w:gridSpan w:val="2"/>
            <w:tcBorders>
              <w:left w:val="nil"/>
              <w:bottom w:val="single" w:color="auto" w:sz="4" w:space="0"/>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2022</w:t>
            </w:r>
          </w:p>
        </w:tc>
        <w:tc>
          <w:tcPr>
            <w:tcW w:w="1668" w:type="dxa"/>
            <w:gridSpan w:val="2"/>
            <w:tcBorders>
              <w:left w:val="nil"/>
              <w:bottom w:val="single" w:color="auto" w:sz="4" w:space="0"/>
              <w:right w:val="nil"/>
            </w:tcBorders>
            <w:vAlign w:val="center"/>
          </w:tcPr>
          <w:p>
            <w:pPr>
              <w:spacing w:line="220" w:lineRule="atLeast"/>
              <w:jc w:val="center"/>
              <w:rPr>
                <w:rFonts w:hint="eastAsia"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833" w:type="dxa"/>
            <w:tcBorders>
              <w:top w:val="single" w:color="auto" w:sz="4" w:space="0"/>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酿酒行业</w:t>
            </w:r>
          </w:p>
        </w:tc>
        <w:tc>
          <w:tcPr>
            <w:tcW w:w="833" w:type="dxa"/>
            <w:tcBorders>
              <w:top w:val="single" w:color="auto" w:sz="4" w:space="0"/>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泸州老窖</w:t>
            </w:r>
          </w:p>
        </w:tc>
        <w:tc>
          <w:tcPr>
            <w:tcW w:w="833" w:type="dxa"/>
            <w:tcBorders>
              <w:top w:val="single" w:color="auto" w:sz="4" w:space="0"/>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117.29</w:t>
            </w:r>
          </w:p>
        </w:tc>
        <w:tc>
          <w:tcPr>
            <w:tcW w:w="834" w:type="dxa"/>
            <w:tcBorders>
              <w:top w:val="single" w:color="auto" w:sz="4" w:space="0"/>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1027.35</w:t>
            </w:r>
          </w:p>
        </w:tc>
        <w:tc>
          <w:tcPr>
            <w:tcW w:w="834" w:type="dxa"/>
            <w:tcBorders>
              <w:top w:val="single" w:color="auto" w:sz="4" w:space="0"/>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28.91</w:t>
            </w:r>
          </w:p>
        </w:tc>
        <w:tc>
          <w:tcPr>
            <w:tcW w:w="834" w:type="dxa"/>
            <w:tcBorders>
              <w:top w:val="single" w:color="auto" w:sz="4" w:space="0"/>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1261.84</w:t>
            </w:r>
          </w:p>
        </w:tc>
        <w:tc>
          <w:tcPr>
            <w:tcW w:w="834" w:type="dxa"/>
            <w:tcBorders>
              <w:top w:val="single" w:color="auto" w:sz="4" w:space="0"/>
              <w:left w:val="nil"/>
              <w:bottom w:val="nil"/>
              <w:right w:val="nil"/>
            </w:tcBorders>
            <w:vAlign w:val="center"/>
          </w:tcPr>
          <w:p>
            <w:pPr>
              <w:spacing w:line="220" w:lineRule="atLeast"/>
              <w:jc w:val="center"/>
              <w:rPr>
                <w:rFonts w:hint="eastAsia"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-2.06</w:t>
            </w:r>
          </w:p>
        </w:tc>
        <w:tc>
          <w:tcPr>
            <w:tcW w:w="834" w:type="dxa"/>
            <w:tcBorders>
              <w:top w:val="single" w:color="auto" w:sz="4" w:space="0"/>
              <w:left w:val="nil"/>
              <w:bottom w:val="nil"/>
              <w:right w:val="nil"/>
            </w:tcBorders>
            <w:vAlign w:val="center"/>
          </w:tcPr>
          <w:p>
            <w:pPr>
              <w:spacing w:line="220" w:lineRule="atLeast"/>
              <w:jc w:val="center"/>
              <w:rPr>
                <w:rFonts w:hint="eastAsia"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946.81</w:t>
            </w:r>
          </w:p>
        </w:tc>
        <w:tc>
          <w:tcPr>
            <w:tcW w:w="834" w:type="dxa"/>
            <w:tcBorders>
              <w:top w:val="single" w:color="auto" w:sz="4" w:space="0"/>
              <w:left w:val="nil"/>
              <w:bottom w:val="nil"/>
              <w:right w:val="nil"/>
            </w:tcBorders>
            <w:vAlign w:val="center"/>
          </w:tcPr>
          <w:p>
            <w:pPr>
              <w:spacing w:line="220" w:lineRule="atLeast"/>
              <w:jc w:val="center"/>
              <w:rPr>
                <w:rFonts w:hint="eastAsia"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-15.88</w:t>
            </w:r>
          </w:p>
        </w:tc>
        <w:tc>
          <w:tcPr>
            <w:tcW w:w="834" w:type="dxa"/>
            <w:tcBorders>
              <w:top w:val="single" w:color="auto" w:sz="4" w:space="0"/>
              <w:left w:val="nil"/>
              <w:bottom w:val="nil"/>
              <w:right w:val="nil"/>
            </w:tcBorders>
            <w:vAlign w:val="center"/>
          </w:tcPr>
          <w:p>
            <w:pPr>
              <w:spacing w:line="220" w:lineRule="atLeast"/>
              <w:jc w:val="center"/>
              <w:rPr>
                <w:rFonts w:hint="eastAsia"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722.26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jc w:val="center"/>
        </w:trPr>
        <w:tc>
          <w:tcPr>
            <w:tcW w:w="833"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半导体</w:t>
            </w:r>
          </w:p>
        </w:tc>
        <w:tc>
          <w:tcPr>
            <w:tcW w:w="833"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通富微电</w:t>
            </w:r>
          </w:p>
        </w:tc>
        <w:tc>
          <w:tcPr>
            <w:tcW w:w="833"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62.37</w:t>
            </w:r>
          </w:p>
        </w:tc>
        <w:tc>
          <w:tcPr>
            <w:tcW w:w="834"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1342.04</w:t>
            </w:r>
          </w:p>
        </w:tc>
        <w:tc>
          <w:tcPr>
            <w:tcW w:w="834"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-16.98</w:t>
            </w:r>
          </w:p>
        </w:tc>
        <w:tc>
          <w:tcPr>
            <w:tcW w:w="834"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901.36</w:t>
            </w:r>
          </w:p>
        </w:tc>
        <w:tc>
          <w:tcPr>
            <w:tcW w:w="834"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-6.09</w:t>
            </w:r>
          </w:p>
        </w:tc>
        <w:tc>
          <w:tcPr>
            <w:tcW w:w="834"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954.51</w:t>
            </w:r>
          </w:p>
        </w:tc>
        <w:tc>
          <w:tcPr>
            <w:tcW w:w="834"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44.98</w:t>
            </w:r>
          </w:p>
        </w:tc>
        <w:tc>
          <w:tcPr>
            <w:tcW w:w="834"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1024.69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jc w:val="center"/>
        </w:trPr>
        <w:tc>
          <w:tcPr>
            <w:tcW w:w="833"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电子元件</w:t>
            </w:r>
          </w:p>
        </w:tc>
        <w:tc>
          <w:tcPr>
            <w:tcW w:w="833"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顺络电子</w:t>
            </w:r>
          </w:p>
        </w:tc>
        <w:tc>
          <w:tcPr>
            <w:tcW w:w="833"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18.73</w:t>
            </w:r>
          </w:p>
        </w:tc>
        <w:tc>
          <w:tcPr>
            <w:tcW w:w="834"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975.77</w:t>
            </w:r>
          </w:p>
        </w:tc>
        <w:tc>
          <w:tcPr>
            <w:tcW w:w="834"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54.96</w:t>
            </w:r>
          </w:p>
        </w:tc>
        <w:tc>
          <w:tcPr>
            <w:tcW w:w="834"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1012.28</w:t>
            </w:r>
          </w:p>
        </w:tc>
        <w:tc>
          <w:tcPr>
            <w:tcW w:w="834"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-28.8</w:t>
            </w:r>
          </w:p>
        </w:tc>
        <w:tc>
          <w:tcPr>
            <w:tcW w:w="834"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987.26</w:t>
            </w:r>
          </w:p>
        </w:tc>
        <w:tc>
          <w:tcPr>
            <w:tcW w:w="834"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7.97</w:t>
            </w:r>
          </w:p>
        </w:tc>
        <w:tc>
          <w:tcPr>
            <w:tcW w:w="834"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739.78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jc w:val="center"/>
        </w:trPr>
        <w:tc>
          <w:tcPr>
            <w:tcW w:w="833"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玻璃纤维</w:t>
            </w:r>
          </w:p>
        </w:tc>
        <w:tc>
          <w:tcPr>
            <w:tcW w:w="833"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南玻A</w:t>
            </w:r>
          </w:p>
        </w:tc>
        <w:tc>
          <w:tcPr>
            <w:tcW w:w="833"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57.39</w:t>
            </w:r>
          </w:p>
        </w:tc>
        <w:tc>
          <w:tcPr>
            <w:tcW w:w="834"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1090.46</w:t>
            </w:r>
          </w:p>
        </w:tc>
        <w:tc>
          <w:tcPr>
            <w:tcW w:w="834"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47.34</w:t>
            </w:r>
          </w:p>
        </w:tc>
        <w:tc>
          <w:tcPr>
            <w:tcW w:w="834"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1177.36</w:t>
            </w:r>
          </w:p>
        </w:tc>
        <w:tc>
          <w:tcPr>
            <w:tcW w:w="834"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-29.35</w:t>
            </w:r>
          </w:p>
        </w:tc>
        <w:tc>
          <w:tcPr>
            <w:tcW w:w="834"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926.39</w:t>
            </w:r>
          </w:p>
        </w:tc>
        <w:tc>
          <w:tcPr>
            <w:tcW w:w="834"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-14.93</w:t>
            </w:r>
          </w:p>
        </w:tc>
        <w:tc>
          <w:tcPr>
            <w:tcW w:w="834" w:type="dxa"/>
            <w:tcBorders>
              <w:top w:val="nil"/>
              <w:left w:val="nil"/>
              <w:bottom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833" w:type="dxa"/>
            <w:tcBorders>
              <w:top w:val="nil"/>
              <w:left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纺织服装</w:t>
            </w:r>
          </w:p>
        </w:tc>
        <w:tc>
          <w:tcPr>
            <w:tcW w:w="833" w:type="dxa"/>
            <w:tcBorders>
              <w:top w:val="nil"/>
              <w:left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森马服饰</w:t>
            </w:r>
          </w:p>
        </w:tc>
        <w:tc>
          <w:tcPr>
            <w:tcW w:w="833" w:type="dxa"/>
            <w:tcBorders>
              <w:top w:val="nil"/>
              <w:left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21.44</w:t>
            </w:r>
          </w:p>
        </w:tc>
        <w:tc>
          <w:tcPr>
            <w:tcW w:w="834" w:type="dxa"/>
            <w:tcBorders>
              <w:top w:val="nil"/>
              <w:left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1106.29</w:t>
            </w:r>
          </w:p>
        </w:tc>
        <w:tc>
          <w:tcPr>
            <w:tcW w:w="834" w:type="dxa"/>
            <w:tcBorders>
              <w:top w:val="nil"/>
              <w:left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-16.27</w:t>
            </w:r>
          </w:p>
        </w:tc>
        <w:tc>
          <w:tcPr>
            <w:tcW w:w="834" w:type="dxa"/>
            <w:tcBorders>
              <w:top w:val="nil"/>
              <w:left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988.65</w:t>
            </w:r>
          </w:p>
        </w:tc>
        <w:tc>
          <w:tcPr>
            <w:tcW w:w="834" w:type="dxa"/>
            <w:tcBorders>
              <w:top w:val="nil"/>
              <w:left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-30.18</w:t>
            </w:r>
          </w:p>
        </w:tc>
        <w:tc>
          <w:tcPr>
            <w:tcW w:w="834" w:type="dxa"/>
            <w:tcBorders>
              <w:top w:val="nil"/>
              <w:left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655.27</w:t>
            </w:r>
          </w:p>
        </w:tc>
        <w:tc>
          <w:tcPr>
            <w:tcW w:w="834" w:type="dxa"/>
            <w:tcBorders>
              <w:top w:val="nil"/>
              <w:left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17.43</w:t>
            </w:r>
          </w:p>
        </w:tc>
        <w:tc>
          <w:tcPr>
            <w:tcW w:w="834" w:type="dxa"/>
            <w:tcBorders>
              <w:top w:val="nil"/>
              <w:left w:val="nil"/>
              <w:right w:val="nil"/>
            </w:tcBorders>
            <w:vAlign w:val="center"/>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575.48</w:t>
            </w:r>
          </w:p>
        </w:tc>
      </w:tr>
    </w:tbl>
    <w:p>
      <w:pPr>
        <w:numPr>
          <w:ilvl w:val="0"/>
          <w:numId w:val="0"/>
        </w:numPr>
        <w:ind w:firstLine="420" w:firstLineChars="200"/>
        <w:jc w:val="both"/>
        <w:rPr>
          <w:rFonts w:hint="eastAsia" w:ascii="Times New Roman" w:hAnsi="宋体" w:eastAsia="宋体" w:cs="Times New Roman"/>
          <w:kern w:val="0"/>
          <w:szCs w:val="20"/>
          <w:lang w:val="en-US" w:eastAsia="zh-CN"/>
        </w:rPr>
      </w:pPr>
      <w:r>
        <w:rPr>
          <w:rFonts w:hint="eastAsia" w:ascii="Times New Roman" w:hAnsi="宋体" w:eastAsia="宋体" w:cs="Times New Roman"/>
          <w:kern w:val="0"/>
          <w:szCs w:val="20"/>
          <w:lang w:val="en-US" w:eastAsia="zh-CN"/>
        </w:rPr>
        <w:t>由于数据之间数值相差较大，所以需要进行标准化处理。对处理后的数据应用手肘法，做出手肘可视图。肘部法则的基本思想是：随着k值的增加，簇内平方和</w:t>
      </w:r>
      <w:r>
        <w:rPr>
          <w:rFonts w:hint="eastAsia" w:hAnsi="宋体" w:cs="Times New Roman"/>
          <w:kern w:val="0"/>
          <w:szCs w:val="20"/>
          <w:lang w:val="en-US" w:eastAsia="zh-CN"/>
        </w:rPr>
        <w:t>（</w:t>
      </w:r>
      <w:r>
        <w:rPr>
          <w:rFonts w:hint="eastAsia" w:ascii="Times New Roman" w:hAnsi="宋体" w:eastAsia="宋体" w:cs="Times New Roman"/>
          <w:kern w:val="0"/>
          <w:szCs w:val="20"/>
          <w:lang w:val="en-US" w:eastAsia="zh-CN"/>
        </w:rPr>
        <w:t>WCSS</w:t>
      </w:r>
      <w:r>
        <w:rPr>
          <w:rFonts w:hint="eastAsia" w:hAnsi="宋体" w:cs="Times New Roman"/>
          <w:kern w:val="0"/>
          <w:szCs w:val="20"/>
          <w:lang w:val="en-US" w:eastAsia="zh-CN"/>
        </w:rPr>
        <w:t>）</w:t>
      </w:r>
      <w:r>
        <w:rPr>
          <w:rFonts w:hint="eastAsia" w:ascii="Times New Roman" w:hAnsi="宋体" w:eastAsia="宋体" w:cs="Times New Roman"/>
          <w:kern w:val="0"/>
          <w:szCs w:val="20"/>
          <w:lang w:val="en-US" w:eastAsia="zh-CN"/>
        </w:rPr>
        <w:t>会逐渐减小，因为更多的簇可以更好地拟合数据。然而，当k值增加到某个点时，WCSS的减小速度会突然放缓，形成一个类似“肘部”的形状。这个点通常被认为是最佳的k值，因为它代表了增加簇的边际效益开始降低的位置。从图7中，我们能够看到，随着簇数量的增加，y轴上的度量值先迅速下降，然后下降速度逐渐放缓，形成一个类似“肘部”的曲线形状。根据图中的信息，当k值为4时，下降的速度开始减缓，所以我们可以推断“肘部”大致在簇数量为4，因此，可以初步判断，对于该数据集，选择4个簇可能是一个合适的聚类方案。</w:t>
      </w:r>
    </w:p>
    <w:p>
      <w:pPr>
        <w:numPr>
          <w:ilvl w:val="0"/>
          <w:numId w:val="0"/>
        </w:numPr>
        <w:ind w:firstLine="420" w:firstLineChars="200"/>
        <w:jc w:val="center"/>
        <w:rPr>
          <w:rFonts w:hint="default" w:ascii="Times New Roman" w:hAnsi="宋体" w:eastAsia="宋体" w:cs="Times New Roman"/>
          <w:kern w:val="0"/>
          <w:szCs w:val="20"/>
          <w:lang w:val="en-US" w:eastAsia="zh-CN"/>
        </w:rPr>
      </w:pPr>
      <w:r>
        <w:rPr>
          <w:rFonts w:hint="default" w:ascii="Times New Roman" w:hAnsi="宋体" w:eastAsia="宋体" w:cs="Times New Roman"/>
          <w:kern w:val="0"/>
          <w:szCs w:val="20"/>
          <w:lang w:val="en-US" w:eastAsia="zh-CN"/>
        </w:rPr>
        <w:drawing>
          <wp:inline distT="0" distB="0" distL="114300" distR="114300">
            <wp:extent cx="4665345" cy="2261235"/>
            <wp:effectExtent l="0" t="0" r="13335" b="9525"/>
            <wp:docPr id="12" name="图片 12" descr="手肘图"/>
            <wp:cNvGraphicFramePr/>
            <a:graphic xmlns:a="http://schemas.openxmlformats.org/drawingml/2006/main">
              <a:graphicData uri="http://schemas.openxmlformats.org/drawingml/2006/picture">
                <pic:pic xmlns:pic="http://schemas.openxmlformats.org/drawingml/2006/picture">
                  <pic:nvPicPr>
                    <pic:cNvPr id="12" name="图片 12" descr="手肘图"/>
                    <pic:cNvPicPr/>
                  </pic:nvPicPr>
                  <pic:blipFill>
                    <a:blip r:embed="rId32"/>
                    <a:srcRect l="8337" t="7338" r="7055" b="5317"/>
                    <a:stretch>
                      <a:fillRect/>
                    </a:stretch>
                  </pic:blipFill>
                  <pic:spPr>
                    <a:xfrm>
                      <a:off x="0" y="0"/>
                      <a:ext cx="4665345" cy="2261235"/>
                    </a:xfrm>
                    <a:prstGeom prst="rect">
                      <a:avLst/>
                    </a:prstGeom>
                  </pic:spPr>
                </pic:pic>
              </a:graphicData>
            </a:graphic>
          </wp:inline>
        </w:drawing>
      </w:r>
    </w:p>
    <w:p>
      <w:pPr>
        <w:widowControl/>
        <w:jc w:val="center"/>
        <w:textAlignment w:val="center"/>
        <w:rPr>
          <w:rFonts w:hint="default" w:ascii="宋体" w:hAnsi="宋体"/>
          <w:sz w:val="18"/>
          <w:szCs w:val="18"/>
          <w:lang w:val="en-US" w:eastAsia="zh-CN"/>
        </w:rPr>
      </w:pPr>
      <w:r>
        <w:rPr>
          <w:rFonts w:hint="eastAsia" w:ascii="宋体" w:hAnsi="宋体"/>
          <w:sz w:val="18"/>
          <w:szCs w:val="18"/>
          <w:lang w:val="en-US" w:eastAsia="zh-CN"/>
        </w:rPr>
        <w:t>图7  肘部图</w:t>
      </w:r>
    </w:p>
    <w:p>
      <w:pPr>
        <w:numPr>
          <w:ilvl w:val="0"/>
          <w:numId w:val="0"/>
        </w:numPr>
        <w:ind w:leftChars="0"/>
        <w:rPr>
          <w:rFonts w:hint="eastAsia" w:hAnsi="宋体"/>
          <w:color w:val="auto"/>
          <w:kern w:val="0"/>
          <w:szCs w:val="20"/>
          <w:lang w:val="en-US" w:eastAsia="zh-CN"/>
        </w:rPr>
      </w:pPr>
      <w:r>
        <w:rPr>
          <w:rFonts w:hint="eastAsia" w:hAnsi="宋体"/>
          <w:color w:val="auto"/>
          <w:kern w:val="0"/>
          <w:szCs w:val="20"/>
          <w:lang w:val="en-US" w:eastAsia="zh-CN"/>
        </w:rPr>
        <w:t>2.5.2聚类分析</w:t>
      </w:r>
    </w:p>
    <w:p>
      <w:pPr>
        <w:numPr>
          <w:ilvl w:val="0"/>
          <w:numId w:val="0"/>
        </w:numPr>
        <w:ind w:leftChars="0" w:firstLine="420" w:firstLineChars="200"/>
        <w:rPr>
          <w:rFonts w:hint="eastAsia" w:hAnsi="宋体"/>
          <w:color w:val="auto"/>
          <w:kern w:val="0"/>
          <w:szCs w:val="20"/>
          <w:lang w:val="en-US" w:eastAsia="zh-CN"/>
        </w:rPr>
      </w:pPr>
      <w:r>
        <w:rPr>
          <w:rFonts w:hint="eastAsia" w:hAnsi="宋体"/>
          <w:color w:val="auto"/>
          <w:kern w:val="0"/>
          <w:szCs w:val="20"/>
          <w:lang w:val="en-US" w:eastAsia="zh-CN"/>
        </w:rPr>
        <w:t>根据肘部图确定的k值，使用k-means方法对预处理的数据进行聚类分析，得到了聚类后的股票信息表3。并且可视化了聚类分布图。根据聚类数据的统计表4-表7和结果图8，我们可以看出，</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1" w:lineRule="atLeast"/>
        <w:ind w:right="0" w:firstLine="420" w:firstLineChars="200"/>
        <w:textAlignment w:val="auto"/>
        <w:rPr>
          <w:rFonts w:hint="default" w:ascii="Times New Roman" w:hAnsi="宋体" w:eastAsia="宋体" w:cs="Times New Roman"/>
          <w:color w:val="auto"/>
          <w:kern w:val="0"/>
          <w:sz w:val="21"/>
          <w:szCs w:val="20"/>
          <w:lang w:val="en-US" w:eastAsia="zh-CN" w:bidi="ar-SA"/>
        </w:rPr>
      </w:pPr>
      <w:r>
        <w:rPr>
          <w:rFonts w:hint="eastAsia" w:ascii="Times New Roman" w:eastAsia="宋体" w:cs="Times New Roman"/>
          <w:color w:val="auto"/>
          <w:kern w:val="0"/>
          <w:sz w:val="21"/>
          <w:szCs w:val="20"/>
          <w:lang w:val="en-US" w:eastAsia="zh-CN" w:bidi="ar-SA"/>
        </w:rPr>
        <w:t>簇</w:t>
      </w:r>
      <w:r>
        <w:rPr>
          <w:rFonts w:hint="default" w:ascii="Times New Roman" w:hAnsi="宋体" w:eastAsia="宋体" w:cs="Times New Roman"/>
          <w:color w:val="auto"/>
          <w:kern w:val="0"/>
          <w:sz w:val="21"/>
          <w:szCs w:val="20"/>
          <w:lang w:val="en-US" w:eastAsia="zh-CN" w:bidi="ar-SA"/>
        </w:rPr>
        <w:t>0:这个聚类包含104个股票，涨跌幅的均值达到了71.99%，说明这个聚类的股票在观察期间平均涨幅较大。振幅的均值非常高，达到了1246.62%，表明这些股票在交易日内价格波动非常剧烈。涨跌幅的标准差为32.95%，意味着这些股票之间的涨跌幅差异较大，可能包含了多种表现不同的股票。最大涨跌幅达到了162.47%，说明这个聚类中有些股票在观察期间表现非常强劲。</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default" w:ascii="Times New Roman" w:hAnsi="宋体" w:eastAsia="宋体" w:cs="Times New Roman"/>
          <w:color w:val="auto"/>
          <w:kern w:val="0"/>
          <w:sz w:val="21"/>
          <w:szCs w:val="20"/>
          <w:lang w:val="en-US" w:eastAsia="zh-CN" w:bidi="ar-SA"/>
        </w:rPr>
      </w:pPr>
      <w:r>
        <w:rPr>
          <w:rFonts w:hint="eastAsia" w:ascii="Times New Roman" w:eastAsia="宋体" w:cs="Times New Roman"/>
          <w:color w:val="auto"/>
          <w:kern w:val="0"/>
          <w:sz w:val="21"/>
          <w:szCs w:val="20"/>
          <w:lang w:val="en-US" w:eastAsia="zh-CN" w:bidi="ar-SA"/>
        </w:rPr>
        <w:t>簇</w:t>
      </w:r>
      <w:r>
        <w:rPr>
          <w:rFonts w:hint="default" w:ascii="Times New Roman" w:hAnsi="宋体" w:eastAsia="宋体" w:cs="Times New Roman"/>
          <w:color w:val="auto"/>
          <w:kern w:val="0"/>
          <w:sz w:val="21"/>
          <w:szCs w:val="20"/>
          <w:lang w:val="en-US" w:eastAsia="zh-CN" w:bidi="ar-SA"/>
        </w:rPr>
        <w:t>1:这个聚类包含156个股票，涨跌幅的均值只有4.10%，远低于</w:t>
      </w:r>
      <w:r>
        <w:rPr>
          <w:rFonts w:hint="eastAsia" w:ascii="Times New Roman" w:eastAsia="宋体" w:cs="Times New Roman"/>
          <w:color w:val="auto"/>
          <w:kern w:val="0"/>
          <w:sz w:val="21"/>
          <w:szCs w:val="20"/>
          <w:lang w:val="en-US" w:eastAsia="zh-CN" w:bidi="ar-SA"/>
        </w:rPr>
        <w:t>簇</w:t>
      </w:r>
      <w:r>
        <w:rPr>
          <w:rFonts w:hint="default" w:ascii="Times New Roman" w:hAnsi="宋体" w:eastAsia="宋体" w:cs="Times New Roman"/>
          <w:color w:val="auto"/>
          <w:kern w:val="0"/>
          <w:sz w:val="21"/>
          <w:szCs w:val="20"/>
          <w:lang w:val="en-US" w:eastAsia="zh-CN" w:bidi="ar-SA"/>
        </w:rPr>
        <w:t xml:space="preserve"> 0，表明这些股票在观察期间的平均涨幅较小。振幅的均值相对较低，为645.74%，但仍然属于较高的水平。这个聚类包含了从大幅下跌（-57.27%）到较大上涨（109.71%）的股票，但大部分股票的涨跌幅都在较低的水平。振幅的标准差较大，说明这些股票在交易日内价格波动较大，但涨跌幅的波动相对较小。</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default" w:ascii="Times New Roman" w:hAnsi="宋体" w:eastAsia="宋体" w:cs="Times New Roman"/>
          <w:color w:val="auto"/>
          <w:kern w:val="0"/>
          <w:sz w:val="21"/>
          <w:szCs w:val="20"/>
          <w:lang w:val="en-US" w:eastAsia="zh-CN" w:bidi="ar-SA"/>
        </w:rPr>
      </w:pPr>
      <w:r>
        <w:rPr>
          <w:rFonts w:hint="eastAsia" w:ascii="Times New Roman" w:eastAsia="宋体" w:cs="Times New Roman"/>
          <w:color w:val="auto"/>
          <w:kern w:val="0"/>
          <w:sz w:val="21"/>
          <w:szCs w:val="20"/>
          <w:lang w:val="en-US" w:eastAsia="zh-CN" w:bidi="ar-SA"/>
        </w:rPr>
        <w:t>簇</w:t>
      </w:r>
      <w:r>
        <w:rPr>
          <w:rFonts w:hint="default" w:ascii="Times New Roman" w:hAnsi="宋体" w:eastAsia="宋体" w:cs="Times New Roman"/>
          <w:color w:val="auto"/>
          <w:kern w:val="0"/>
          <w:sz w:val="21"/>
          <w:szCs w:val="20"/>
          <w:lang w:val="en-US" w:eastAsia="zh-CN" w:bidi="ar-SA"/>
        </w:rPr>
        <w:t>2:这个聚类只包含11个股票，但涨跌幅的均值高达235.81%，是所有聚类中最高的，表明这些股票在观察期间表现非常强劲。振幅的均值虽然不高，但考虑到样本量很小，这可能不是一个可靠的指标。这个聚类中股票的涨跌幅标准差很大，表明这些股票的表现差异极大。最小涨跌幅也达到了127.06%，说明这个聚类中的股票在观察期间都取得了显著的上涨。</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default" w:ascii="Times New Roman" w:hAnsi="宋体" w:eastAsia="宋体" w:cs="Times New Roman"/>
          <w:color w:val="auto"/>
          <w:kern w:val="0"/>
          <w:sz w:val="21"/>
          <w:szCs w:val="20"/>
          <w:lang w:val="en-US" w:eastAsia="zh-CN" w:bidi="ar-SA"/>
        </w:rPr>
      </w:pPr>
      <w:r>
        <w:rPr>
          <w:rFonts w:hint="eastAsia" w:ascii="Times New Roman" w:eastAsia="宋体" w:cs="Times New Roman"/>
          <w:color w:val="auto"/>
          <w:kern w:val="0"/>
          <w:sz w:val="21"/>
          <w:szCs w:val="20"/>
          <w:lang w:val="en-US" w:eastAsia="zh-CN" w:bidi="ar-SA"/>
        </w:rPr>
        <w:t>簇</w:t>
      </w:r>
      <w:r>
        <w:rPr>
          <w:rFonts w:hint="default" w:ascii="Times New Roman" w:hAnsi="宋体" w:eastAsia="宋体" w:cs="Times New Roman"/>
          <w:color w:val="auto"/>
          <w:kern w:val="0"/>
          <w:sz w:val="21"/>
          <w:szCs w:val="20"/>
          <w:lang w:val="en-US" w:eastAsia="zh-CN" w:bidi="ar-SA"/>
        </w:rPr>
        <w:t>3:这个聚类包含164个股票，涨跌幅的均值为-1.65%，是所有聚类中最低的，表明这些股票在观察期间平均表现较差。然而，这些股票的振幅均值高达995.84%，是所有聚类中最高的，表明这些股票在交易日内价格波动非常剧烈。涨跌幅的标准差为25.62%，相对较小，说明这个聚类中大部分股票的涨跌幅都集中在均值附近。尽管有少数股票表现强劲（如最大涨跌幅达到了54.36%），但整体来说，这个聚类中的股票表现较差。</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hAnsi="宋体"/>
          <w:color w:val="auto"/>
          <w:kern w:val="0"/>
          <w:szCs w:val="20"/>
          <w:lang w:val="en-US" w:eastAsia="zh-CN"/>
        </w:rPr>
      </w:pPr>
      <w:r>
        <w:rPr>
          <w:rFonts w:hint="default" w:ascii="Times New Roman" w:hAnsi="宋体" w:eastAsia="宋体" w:cs="Times New Roman"/>
          <w:color w:val="auto"/>
          <w:kern w:val="0"/>
          <w:sz w:val="21"/>
          <w:szCs w:val="20"/>
          <w:lang w:val="en-US" w:eastAsia="zh-CN" w:bidi="ar-SA"/>
        </w:rPr>
        <w:t>总结：</w:t>
      </w:r>
      <w:r>
        <w:rPr>
          <w:rFonts w:hint="eastAsia" w:ascii="Times New Roman" w:eastAsia="宋体" w:cs="Times New Roman"/>
          <w:color w:val="auto"/>
          <w:kern w:val="0"/>
          <w:sz w:val="21"/>
          <w:szCs w:val="20"/>
          <w:lang w:val="en-US" w:eastAsia="zh-CN" w:bidi="ar-SA"/>
        </w:rPr>
        <w:t>簇</w:t>
      </w:r>
      <w:r>
        <w:rPr>
          <w:rFonts w:hint="default" w:ascii="Times New Roman" w:hAnsi="宋体" w:eastAsia="宋体" w:cs="Times New Roman"/>
          <w:color w:val="auto"/>
          <w:kern w:val="0"/>
          <w:sz w:val="21"/>
          <w:szCs w:val="20"/>
          <w:lang w:val="en-US" w:eastAsia="zh-CN" w:bidi="ar-SA"/>
        </w:rPr>
        <w:t>0中的股票在观察期间平均涨幅较大，但价格波动也非常剧烈。</w:t>
      </w:r>
      <w:r>
        <w:rPr>
          <w:rFonts w:hint="eastAsia" w:ascii="Times New Roman" w:eastAsia="宋体" w:cs="Times New Roman"/>
          <w:color w:val="auto"/>
          <w:kern w:val="0"/>
          <w:sz w:val="21"/>
          <w:szCs w:val="20"/>
          <w:lang w:val="en-US" w:eastAsia="zh-CN" w:bidi="ar-SA"/>
        </w:rPr>
        <w:t>说明这些股票可能是质量较高的热门股；簇</w:t>
      </w:r>
      <w:r>
        <w:rPr>
          <w:rFonts w:hint="default" w:ascii="Times New Roman" w:hAnsi="宋体" w:eastAsia="宋体" w:cs="Times New Roman"/>
          <w:color w:val="auto"/>
          <w:kern w:val="0"/>
          <w:sz w:val="21"/>
          <w:szCs w:val="20"/>
          <w:lang w:val="en-US" w:eastAsia="zh-CN" w:bidi="ar-SA"/>
        </w:rPr>
        <w:t>1中的股票平均涨幅较小，但价格波动仍然较大。</w:t>
      </w:r>
      <w:r>
        <w:rPr>
          <w:rFonts w:hint="eastAsia" w:ascii="Times New Roman" w:eastAsia="宋体" w:cs="Times New Roman"/>
          <w:color w:val="auto"/>
          <w:kern w:val="0"/>
          <w:sz w:val="21"/>
          <w:szCs w:val="20"/>
          <w:lang w:val="en-US" w:eastAsia="zh-CN" w:bidi="ar-SA"/>
        </w:rPr>
        <w:t>说明这些股票可能是行情较好的热门股，但由于市场波动性较大，风险也较高；簇</w:t>
      </w:r>
      <w:r>
        <w:rPr>
          <w:rFonts w:hint="default" w:ascii="Times New Roman" w:hAnsi="宋体" w:eastAsia="宋体" w:cs="Times New Roman"/>
          <w:color w:val="auto"/>
          <w:kern w:val="0"/>
          <w:sz w:val="21"/>
          <w:szCs w:val="20"/>
          <w:lang w:val="en-US" w:eastAsia="zh-CN" w:bidi="ar-SA"/>
        </w:rPr>
        <w:t>2中的股票表现非常强劲，但样本量较小，需要谨慎解读。这可能反映了一些极端行情的股票，投资者需要谨慎参考</w:t>
      </w:r>
      <w:r>
        <w:rPr>
          <w:rFonts w:hint="eastAsia" w:ascii="Times New Roman" w:eastAsia="宋体" w:cs="Times New Roman"/>
          <w:color w:val="auto"/>
          <w:kern w:val="0"/>
          <w:sz w:val="21"/>
          <w:szCs w:val="20"/>
          <w:lang w:val="en-US" w:eastAsia="zh-CN" w:bidi="ar-SA"/>
        </w:rPr>
        <w:t>；簇</w:t>
      </w:r>
      <w:r>
        <w:rPr>
          <w:rFonts w:hint="default" w:ascii="Times New Roman" w:hAnsi="宋体" w:eastAsia="宋体" w:cs="Times New Roman"/>
          <w:color w:val="auto"/>
          <w:kern w:val="0"/>
          <w:sz w:val="21"/>
          <w:szCs w:val="20"/>
          <w:lang w:val="en-US" w:eastAsia="zh-CN" w:bidi="ar-SA"/>
        </w:rPr>
        <w:t>3中的股票平均表现较差，但价格波动是所有聚类中最剧烈的</w:t>
      </w:r>
      <w:r>
        <w:rPr>
          <w:rFonts w:hint="eastAsia" w:ascii="Times New Roman" w:eastAsia="宋体" w:cs="Times New Roman"/>
          <w:color w:val="auto"/>
          <w:kern w:val="0"/>
          <w:sz w:val="21"/>
          <w:szCs w:val="20"/>
          <w:lang w:val="en-US" w:eastAsia="zh-CN" w:bidi="ar-SA"/>
        </w:rPr>
        <w:t>；</w:t>
      </w:r>
      <w:r>
        <w:rPr>
          <w:rFonts w:hint="default" w:ascii="Times New Roman" w:hAnsi="宋体" w:eastAsia="宋体" w:cs="Times New Roman"/>
          <w:color w:val="auto"/>
          <w:kern w:val="0"/>
          <w:sz w:val="21"/>
          <w:szCs w:val="20"/>
          <w:lang w:val="en-US" w:eastAsia="zh-CN" w:bidi="ar-SA"/>
        </w:rPr>
        <w:t>这些股票可能是相对保守的股票。</w:t>
      </w:r>
    </w:p>
    <w:p>
      <w:pPr>
        <w:numPr>
          <w:ilvl w:val="0"/>
          <w:numId w:val="0"/>
        </w:numPr>
        <w:ind w:firstLine="361" w:firstLineChars="200"/>
        <w:jc w:val="center"/>
        <w:rPr>
          <w:rFonts w:hint="eastAsia" w:hAnsi="宋体"/>
          <w:color w:val="auto"/>
          <w:kern w:val="0"/>
          <w:szCs w:val="20"/>
          <w:lang w:val="en-US" w:eastAsia="zh-CN"/>
        </w:rPr>
      </w:pPr>
      <w:r>
        <w:rPr>
          <w:rFonts w:hint="eastAsia" w:ascii="Times New Roman" w:hAnsi="Times New Roman" w:eastAsia="宋体" w:cs="Times New Roman"/>
          <w:b/>
          <w:color w:val="000000"/>
          <w:sz w:val="18"/>
          <w:szCs w:val="18"/>
          <w:lang w:val="en-US" w:eastAsia="zh-CN"/>
        </w:rPr>
        <w:t>表3  簇类样本量</w:t>
      </w:r>
    </w:p>
    <w:tbl>
      <w:tblPr>
        <w:tblStyle w:val="15"/>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70"/>
        <w:gridCol w:w="327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atLeast"/>
          <w:jc w:val="center"/>
        </w:trPr>
        <w:tc>
          <w:tcPr>
            <w:tcW w:w="3270" w:type="dxa"/>
            <w:tcBorders>
              <w:bottom w:val="single" w:color="auto" w:sz="4" w:space="0"/>
            </w:tcBorders>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簇</w:t>
            </w:r>
          </w:p>
        </w:tc>
        <w:tc>
          <w:tcPr>
            <w:tcW w:w="3270" w:type="dxa"/>
            <w:tcBorders>
              <w:bottom w:val="single" w:color="auto" w:sz="4" w:space="0"/>
            </w:tcBorders>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数量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atLeast"/>
          <w:jc w:val="center"/>
        </w:trPr>
        <w:tc>
          <w:tcPr>
            <w:tcW w:w="3270" w:type="dxa"/>
            <w:tcBorders>
              <w:top w:val="single" w:color="auto" w:sz="4" w:space="0"/>
              <w:tl2br w:val="nil"/>
              <w:tr2bl w:val="nil"/>
            </w:tcBorders>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0</w:t>
            </w:r>
          </w:p>
        </w:tc>
        <w:tc>
          <w:tcPr>
            <w:tcW w:w="3270" w:type="dxa"/>
            <w:tcBorders>
              <w:top w:val="single" w:color="auto" w:sz="4" w:space="0"/>
              <w:tl2br w:val="nil"/>
              <w:tr2bl w:val="nil"/>
            </w:tcBorders>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104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atLeast"/>
          <w:jc w:val="center"/>
        </w:trPr>
        <w:tc>
          <w:tcPr>
            <w:tcW w:w="3270" w:type="dxa"/>
            <w:tcBorders>
              <w:tl2br w:val="nil"/>
              <w:tr2bl w:val="nil"/>
            </w:tcBorders>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w:t>
            </w:r>
          </w:p>
        </w:tc>
        <w:tc>
          <w:tcPr>
            <w:tcW w:w="3270" w:type="dxa"/>
            <w:tcBorders>
              <w:tl2br w:val="nil"/>
              <w:tr2bl w:val="nil"/>
            </w:tcBorders>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156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atLeast"/>
          <w:jc w:val="center"/>
        </w:trPr>
        <w:tc>
          <w:tcPr>
            <w:tcW w:w="3270" w:type="dxa"/>
            <w:tcBorders>
              <w:tl2br w:val="nil"/>
              <w:tr2bl w:val="nil"/>
            </w:tcBorders>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w:t>
            </w:r>
          </w:p>
        </w:tc>
        <w:tc>
          <w:tcPr>
            <w:tcW w:w="3270" w:type="dxa"/>
            <w:tcBorders>
              <w:tl2br w:val="nil"/>
              <w:tr2bl w:val="nil"/>
            </w:tcBorders>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3270" w:type="dxa"/>
            <w:tcBorders>
              <w:tl2br w:val="nil"/>
              <w:tr2bl w:val="nil"/>
            </w:tcBorders>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3</w:t>
            </w:r>
          </w:p>
        </w:tc>
        <w:tc>
          <w:tcPr>
            <w:tcW w:w="3270" w:type="dxa"/>
            <w:tcBorders>
              <w:tl2br w:val="nil"/>
              <w:tr2bl w:val="nil"/>
            </w:tcBorders>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164</w:t>
            </w:r>
          </w:p>
        </w:tc>
      </w:tr>
    </w:tbl>
    <w:p>
      <w:pPr>
        <w:numPr>
          <w:ilvl w:val="0"/>
          <w:numId w:val="0"/>
        </w:numPr>
        <w:jc w:val="both"/>
        <w:rPr>
          <w:rFonts w:hint="eastAsia" w:ascii="Times New Roman" w:hAnsi="Times New Roman" w:eastAsia="宋体" w:cs="Times New Roman"/>
          <w:b/>
          <w:color w:val="000000"/>
          <w:sz w:val="18"/>
          <w:szCs w:val="18"/>
          <w:lang w:val="en-US" w:eastAsia="zh-CN"/>
        </w:rPr>
      </w:pPr>
    </w:p>
    <w:p>
      <w:pPr>
        <w:numPr>
          <w:ilvl w:val="0"/>
          <w:numId w:val="0"/>
        </w:numPr>
        <w:ind w:firstLine="361" w:firstLineChars="200"/>
        <w:jc w:val="center"/>
      </w:pPr>
      <w:r>
        <w:rPr>
          <w:rFonts w:hint="eastAsia" w:ascii="Times New Roman" w:hAnsi="Times New Roman" w:eastAsia="宋体" w:cs="Times New Roman"/>
          <w:b/>
          <w:color w:val="000000"/>
          <w:sz w:val="18"/>
          <w:szCs w:val="18"/>
          <w:lang w:val="en-US" w:eastAsia="zh-CN"/>
        </w:rPr>
        <w:t>表4  簇0数据信息</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6"/>
        <w:gridCol w:w="2046"/>
        <w:gridCol w:w="2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046" w:type="dxa"/>
          </w:tcPr>
          <w:p>
            <w:pPr>
              <w:spacing w:line="220" w:lineRule="atLeast"/>
              <w:jc w:val="center"/>
              <w:rPr>
                <w:rFonts w:hint="default" w:ascii="Times New Roman" w:hAnsi="Times New Roman" w:eastAsia="宋体" w:cs="Times New Roman"/>
                <w:sz w:val="15"/>
                <w:szCs w:val="15"/>
                <w:lang w:val="en-US" w:eastAsia="zh-CN"/>
              </w:rPr>
            </w:pP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涨跌幅(%)</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 xml:space="preserve"> 振幅(%)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count</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104</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mean</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71.98</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1246.61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std</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32.95</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181.150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min</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10.45</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825.89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 xml:space="preserve">max </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162.47</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1798.92</w:t>
            </w:r>
          </w:p>
        </w:tc>
      </w:tr>
    </w:tbl>
    <w:p>
      <w:pPr>
        <w:numPr>
          <w:ilvl w:val="0"/>
          <w:numId w:val="0"/>
        </w:numPr>
        <w:ind w:firstLine="361" w:firstLineChars="200"/>
        <w:jc w:val="center"/>
        <w:rPr>
          <w:rFonts w:hint="eastAsia" w:ascii="Times New Roman" w:hAnsi="Times New Roman" w:eastAsia="宋体" w:cs="Times New Roman"/>
          <w:b/>
          <w:color w:val="000000"/>
          <w:sz w:val="18"/>
          <w:szCs w:val="18"/>
          <w:lang w:val="en-US" w:eastAsia="zh-CN"/>
        </w:rPr>
      </w:pPr>
    </w:p>
    <w:p>
      <w:pPr>
        <w:numPr>
          <w:ilvl w:val="0"/>
          <w:numId w:val="0"/>
        </w:numPr>
        <w:ind w:firstLine="361" w:firstLineChars="200"/>
        <w:jc w:val="center"/>
      </w:pPr>
      <w:r>
        <w:rPr>
          <w:rFonts w:hint="eastAsia" w:ascii="Times New Roman" w:hAnsi="Times New Roman" w:eastAsia="宋体" w:cs="Times New Roman"/>
          <w:b/>
          <w:color w:val="000000"/>
          <w:sz w:val="18"/>
          <w:szCs w:val="18"/>
          <w:lang w:val="en-US" w:eastAsia="zh-CN"/>
        </w:rPr>
        <w:t>表5  簇1数据信息</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6"/>
        <w:gridCol w:w="2046"/>
        <w:gridCol w:w="2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046" w:type="dxa"/>
          </w:tcPr>
          <w:p>
            <w:pPr>
              <w:spacing w:line="220" w:lineRule="atLeast"/>
              <w:jc w:val="center"/>
              <w:rPr>
                <w:rFonts w:hint="default" w:ascii="Times New Roman" w:hAnsi="Times New Roman" w:eastAsia="宋体" w:cs="Times New Roman"/>
                <w:sz w:val="15"/>
                <w:szCs w:val="15"/>
                <w:lang w:val="en-US" w:eastAsia="zh-CN"/>
              </w:rPr>
            </w:pP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涨跌幅(%)</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 xml:space="preserve"> 振幅(%)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count</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156</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mean</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4.10</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645.74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std</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 xml:space="preserve">27.65 </w:t>
            </w:r>
          </w:p>
        </w:tc>
        <w:tc>
          <w:tcPr>
            <w:tcW w:w="2046" w:type="dxa"/>
          </w:tcPr>
          <w:p>
            <w:pPr>
              <w:spacing w:line="220" w:lineRule="atLeast"/>
              <w:jc w:val="center"/>
              <w:rPr>
                <w:rFonts w:hint="eastAsia"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143.81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min</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-57.27</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26.43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 xml:space="preserve">max </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109.71</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830.22</w:t>
            </w:r>
          </w:p>
        </w:tc>
      </w:tr>
    </w:tbl>
    <w:p>
      <w:pPr>
        <w:numPr>
          <w:ilvl w:val="0"/>
          <w:numId w:val="0"/>
        </w:numPr>
        <w:jc w:val="both"/>
        <w:rPr>
          <w:rFonts w:hint="eastAsia" w:ascii="Times New Roman" w:hAnsi="Times New Roman" w:eastAsia="宋体" w:cs="Times New Roman"/>
          <w:b/>
          <w:color w:val="000000"/>
          <w:sz w:val="18"/>
          <w:szCs w:val="18"/>
          <w:lang w:val="en-US" w:eastAsia="zh-CN"/>
        </w:rPr>
      </w:pPr>
    </w:p>
    <w:p>
      <w:pPr>
        <w:numPr>
          <w:ilvl w:val="0"/>
          <w:numId w:val="0"/>
        </w:numPr>
        <w:ind w:firstLine="361" w:firstLineChars="200"/>
        <w:jc w:val="center"/>
      </w:pPr>
      <w:r>
        <w:rPr>
          <w:rFonts w:hint="eastAsia" w:ascii="Times New Roman" w:hAnsi="Times New Roman" w:eastAsia="宋体" w:cs="Times New Roman"/>
          <w:b/>
          <w:color w:val="000000"/>
          <w:sz w:val="18"/>
          <w:szCs w:val="18"/>
          <w:lang w:val="en-US" w:eastAsia="zh-CN"/>
        </w:rPr>
        <w:t>表6  簇2数据信息</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6"/>
        <w:gridCol w:w="2046"/>
        <w:gridCol w:w="2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046" w:type="dxa"/>
          </w:tcPr>
          <w:p>
            <w:pPr>
              <w:spacing w:line="220" w:lineRule="atLeast"/>
              <w:jc w:val="center"/>
              <w:rPr>
                <w:rFonts w:hint="default" w:ascii="Times New Roman" w:hAnsi="Times New Roman" w:eastAsia="宋体" w:cs="Times New Roman"/>
                <w:sz w:val="15"/>
                <w:szCs w:val="15"/>
                <w:lang w:val="en-US" w:eastAsia="zh-CN"/>
              </w:rPr>
            </w:pP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涨跌幅(%)</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 xml:space="preserve"> 振幅(%)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count</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11</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mean</w:t>
            </w:r>
          </w:p>
        </w:tc>
        <w:tc>
          <w:tcPr>
            <w:tcW w:w="2046" w:type="dxa"/>
          </w:tcPr>
          <w:p>
            <w:pPr>
              <w:spacing w:line="220" w:lineRule="atLeast"/>
              <w:jc w:val="center"/>
              <w:rPr>
                <w:rFonts w:hint="eastAsia"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235.81</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530.96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std</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98.89</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349.95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min</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127.06</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 xml:space="preserve">max </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417.04</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959.75</w:t>
            </w:r>
          </w:p>
        </w:tc>
      </w:tr>
    </w:tbl>
    <w:p>
      <w:pPr>
        <w:jc w:val="center"/>
        <w:rPr>
          <w:rFonts w:hint="eastAsia" w:ascii="Times New Roman" w:hAnsi="Times New Roman" w:eastAsia="宋体" w:cs="Times New Roman"/>
          <w:b/>
          <w:color w:val="000000"/>
          <w:sz w:val="18"/>
          <w:szCs w:val="18"/>
          <w:lang w:val="en-US" w:eastAsia="zh-CN"/>
        </w:rPr>
      </w:pPr>
    </w:p>
    <w:p>
      <w:pPr>
        <w:jc w:val="center"/>
      </w:pPr>
      <w:r>
        <w:rPr>
          <w:rFonts w:hint="eastAsia" w:ascii="Times New Roman" w:hAnsi="Times New Roman" w:eastAsia="宋体" w:cs="Times New Roman"/>
          <w:b/>
          <w:color w:val="000000"/>
          <w:sz w:val="18"/>
          <w:szCs w:val="18"/>
          <w:lang w:val="en-US" w:eastAsia="zh-CN"/>
        </w:rPr>
        <w:t>表7  簇3数据信息</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6"/>
        <w:gridCol w:w="2046"/>
        <w:gridCol w:w="2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046" w:type="dxa"/>
          </w:tcPr>
          <w:p>
            <w:pPr>
              <w:spacing w:line="220" w:lineRule="atLeast"/>
              <w:jc w:val="center"/>
              <w:rPr>
                <w:rFonts w:hint="default" w:ascii="Times New Roman" w:hAnsi="Times New Roman" w:eastAsia="宋体" w:cs="Times New Roman"/>
                <w:sz w:val="15"/>
                <w:szCs w:val="15"/>
                <w:lang w:val="en-US" w:eastAsia="zh-CN"/>
              </w:rPr>
            </w:pP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涨跌幅(%)</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 xml:space="preserve"> 振幅(%)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count</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164</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mean</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-1.64</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995.83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std</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25.62</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118.67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min</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-80.55</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830.65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 xml:space="preserve">max </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54.36</w:t>
            </w:r>
          </w:p>
        </w:tc>
        <w:tc>
          <w:tcPr>
            <w:tcW w:w="2046" w:type="dxa"/>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1373.50</w:t>
            </w:r>
          </w:p>
        </w:tc>
      </w:tr>
    </w:tbl>
    <w:p>
      <w:pPr>
        <w:numPr>
          <w:ilvl w:val="0"/>
          <w:numId w:val="0"/>
        </w:numPr>
        <w:ind w:leftChars="0" w:firstLine="420" w:firstLineChars="200"/>
        <w:jc w:val="center"/>
        <w:rPr>
          <w:rFonts w:hint="default" w:hAnsi="宋体"/>
          <w:color w:val="auto"/>
          <w:kern w:val="0"/>
          <w:szCs w:val="20"/>
          <w:lang w:val="en-US" w:eastAsia="zh-CN"/>
        </w:rPr>
      </w:pPr>
    </w:p>
    <w:p>
      <w:pPr>
        <w:numPr>
          <w:ilvl w:val="0"/>
          <w:numId w:val="0"/>
        </w:numPr>
        <w:ind w:leftChars="0" w:firstLine="420" w:firstLineChars="200"/>
        <w:jc w:val="center"/>
        <w:rPr>
          <w:rFonts w:hint="default" w:hAnsi="宋体"/>
          <w:color w:val="auto"/>
          <w:kern w:val="0"/>
          <w:szCs w:val="20"/>
          <w:lang w:val="en-US" w:eastAsia="zh-CN"/>
        </w:rPr>
      </w:pPr>
      <w:r>
        <w:rPr>
          <w:rFonts w:hint="default" w:hAnsi="宋体"/>
          <w:color w:val="auto"/>
          <w:kern w:val="0"/>
          <w:szCs w:val="20"/>
          <w:lang w:val="en-US" w:eastAsia="zh-CN"/>
        </w:rPr>
        <w:drawing>
          <wp:inline distT="0" distB="0" distL="114300" distR="114300">
            <wp:extent cx="4874260" cy="2319655"/>
            <wp:effectExtent l="0" t="0" r="2540" b="12065"/>
            <wp:docPr id="13" name="图片 13" descr="聚类分析"/>
            <wp:cNvGraphicFramePr/>
            <a:graphic xmlns:a="http://schemas.openxmlformats.org/drawingml/2006/main">
              <a:graphicData uri="http://schemas.openxmlformats.org/drawingml/2006/picture">
                <pic:pic xmlns:pic="http://schemas.openxmlformats.org/drawingml/2006/picture">
                  <pic:nvPicPr>
                    <pic:cNvPr id="13" name="图片 13" descr="聚类分析"/>
                    <pic:cNvPicPr/>
                  </pic:nvPicPr>
                  <pic:blipFill>
                    <a:blip r:embed="rId33"/>
                    <a:srcRect l="8480" t="7447" r="16644" b="4425"/>
                    <a:stretch>
                      <a:fillRect/>
                    </a:stretch>
                  </pic:blipFill>
                  <pic:spPr>
                    <a:xfrm>
                      <a:off x="0" y="0"/>
                      <a:ext cx="4874260" cy="2319655"/>
                    </a:xfrm>
                    <a:prstGeom prst="rect">
                      <a:avLst/>
                    </a:prstGeom>
                  </pic:spPr>
                </pic:pic>
              </a:graphicData>
            </a:graphic>
          </wp:inline>
        </w:drawing>
      </w:r>
    </w:p>
    <w:p>
      <w:pPr>
        <w:widowControl/>
        <w:jc w:val="center"/>
        <w:textAlignment w:val="center"/>
        <w:rPr>
          <w:rFonts w:hint="default" w:ascii="宋体" w:hAnsi="宋体"/>
          <w:sz w:val="18"/>
          <w:szCs w:val="18"/>
          <w:lang w:val="en-US" w:eastAsia="zh-CN"/>
        </w:rPr>
      </w:pPr>
      <w:r>
        <w:rPr>
          <w:rFonts w:hint="eastAsia" w:ascii="宋体" w:hAnsi="宋体"/>
          <w:sz w:val="18"/>
          <w:szCs w:val="18"/>
          <w:lang w:val="en-US" w:eastAsia="zh-CN"/>
        </w:rPr>
        <w:t>图8  聚类分析结果图</w:t>
      </w:r>
    </w:p>
    <w:p>
      <w:pPr>
        <w:numPr>
          <w:ilvl w:val="0"/>
          <w:numId w:val="0"/>
        </w:numPr>
        <w:jc w:val="both"/>
        <w:rPr>
          <w:rFonts w:hint="default" w:ascii="宋体" w:hAnsi="宋体" w:eastAsia="宋体" w:cs="Times New Roman"/>
          <w:b/>
          <w:lang w:val="en-US" w:eastAsia="zh-CN"/>
        </w:rPr>
      </w:pPr>
      <w:r>
        <w:rPr>
          <w:rFonts w:hint="eastAsia" w:ascii="宋体" w:hAnsi="宋体" w:eastAsia="宋体" w:cs="Times New Roman"/>
          <w:b/>
          <w:lang w:val="en-US" w:eastAsia="zh-CN"/>
        </w:rPr>
        <w:t>2.6  长短期记忆网络分类预测</w:t>
      </w:r>
    </w:p>
    <w:p>
      <w:pPr>
        <w:numPr>
          <w:ilvl w:val="0"/>
          <w:numId w:val="0"/>
        </w:numPr>
        <w:jc w:val="both"/>
        <w:rPr>
          <w:rFonts w:hint="eastAsia" w:hAnsi="宋体"/>
          <w:color w:val="auto"/>
          <w:kern w:val="0"/>
          <w:szCs w:val="20"/>
          <w:lang w:val="en-US" w:eastAsia="zh-CN"/>
        </w:rPr>
      </w:pPr>
      <w:r>
        <w:rPr>
          <w:rFonts w:hint="eastAsia" w:hAnsi="宋体"/>
          <w:color w:val="auto"/>
          <w:kern w:val="0"/>
          <w:szCs w:val="20"/>
          <w:lang w:val="en-US" w:eastAsia="zh-CN"/>
        </w:rPr>
        <w:t>2.6.1  数据收集与整理</w:t>
      </w:r>
    </w:p>
    <w:p>
      <w:pPr>
        <w:numPr>
          <w:ilvl w:val="0"/>
          <w:numId w:val="0"/>
        </w:numPr>
        <w:jc w:val="both"/>
        <w:rPr>
          <w:rFonts w:hint="eastAsia" w:hAnsi="宋体"/>
          <w:color w:val="auto"/>
          <w:kern w:val="0"/>
          <w:szCs w:val="20"/>
          <w:lang w:val="en-US" w:eastAsia="zh-CN"/>
        </w:rPr>
      </w:pPr>
      <w:r>
        <w:rPr>
          <w:rFonts w:hint="eastAsia" w:hAnsi="宋体"/>
          <w:color w:val="auto"/>
          <w:kern w:val="0"/>
          <w:szCs w:val="20"/>
          <w:lang w:val="en-US" w:eastAsia="zh-CN"/>
        </w:rPr>
        <w:t xml:space="preserve">    在进行k-means聚类分析时，我们将89只股票共计435条股票信息进行了聚类处理。将处理的数据收集并整理出来，作为长短期记忆网络模型的训练集与测试集，部分数据展示如表8。由于各指标间的水平相差很大，如果直接用原始指标值进行分析，就会突出数值较高的指标在综合分析中的作用，相对削弱数值水平较低指标的作用。因此，为了保证结果的可靠性，需要对原始指标数据进行归一化处理。</w:t>
      </w:r>
    </w:p>
    <w:p>
      <w:pPr>
        <w:numPr>
          <w:ilvl w:val="0"/>
          <w:numId w:val="0"/>
        </w:numPr>
        <w:jc w:val="center"/>
        <w:rPr>
          <w:rFonts w:hint="eastAsia" w:ascii="Times New Roman" w:hAnsi="Times New Roman" w:eastAsia="宋体" w:cs="Times New Roman"/>
          <w:b/>
          <w:color w:val="000000"/>
          <w:sz w:val="18"/>
          <w:szCs w:val="18"/>
          <w:lang w:val="en-US" w:eastAsia="zh-CN"/>
        </w:rPr>
      </w:pPr>
      <w:r>
        <w:rPr>
          <w:rFonts w:hint="eastAsia" w:ascii="Times New Roman" w:hAnsi="Times New Roman" w:eastAsia="宋体" w:cs="Times New Roman"/>
          <w:b/>
          <w:color w:val="000000"/>
          <w:sz w:val="18"/>
          <w:szCs w:val="18"/>
          <w:lang w:val="en-US" w:eastAsia="zh-CN"/>
        </w:rPr>
        <w:t xml:space="preserve">表8 </w:t>
      </w:r>
      <w:r>
        <w:rPr>
          <w:rFonts w:hint="eastAsia" w:cs="Times New Roman"/>
          <w:b/>
          <w:color w:val="000000"/>
          <w:sz w:val="18"/>
          <w:szCs w:val="18"/>
          <w:lang w:val="en-US" w:eastAsia="zh-CN"/>
        </w:rPr>
        <w:t>股票聚类信息表</w:t>
      </w:r>
      <w:r>
        <w:rPr>
          <w:rFonts w:hint="eastAsia" w:ascii="Times New Roman" w:hAnsi="Times New Roman" w:eastAsia="宋体" w:cs="Times New Roman"/>
          <w:b/>
          <w:color w:val="000000"/>
          <w:sz w:val="18"/>
          <w:szCs w:val="18"/>
          <w:lang w:val="en-US" w:eastAsia="zh-CN"/>
        </w:rPr>
        <w:t>（部分展示）</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1"/>
        <w:gridCol w:w="1411"/>
        <w:gridCol w:w="1411"/>
        <w:gridCol w:w="1412"/>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1411"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股票简称</w:t>
            </w:r>
          </w:p>
        </w:tc>
        <w:tc>
          <w:tcPr>
            <w:tcW w:w="1411"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日期</w:t>
            </w:r>
          </w:p>
        </w:tc>
        <w:tc>
          <w:tcPr>
            <w:tcW w:w="1411"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聚类结果</w:t>
            </w:r>
          </w:p>
        </w:tc>
        <w:tc>
          <w:tcPr>
            <w:tcW w:w="1412"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涨跌幅(%)</w:t>
            </w:r>
          </w:p>
        </w:tc>
        <w:tc>
          <w:tcPr>
            <w:tcW w:w="1412"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振幅(%)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1411"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通富微电</w:t>
            </w:r>
          </w:p>
        </w:tc>
        <w:tc>
          <w:tcPr>
            <w:tcW w:w="1411"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2020</w:t>
            </w:r>
          </w:p>
        </w:tc>
        <w:tc>
          <w:tcPr>
            <w:tcW w:w="1411"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0</w:t>
            </w:r>
          </w:p>
        </w:tc>
        <w:tc>
          <w:tcPr>
            <w:tcW w:w="1412"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62.37</w:t>
            </w:r>
          </w:p>
        </w:tc>
        <w:tc>
          <w:tcPr>
            <w:tcW w:w="1412"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1342.04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1411"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通富微电</w:t>
            </w:r>
          </w:p>
        </w:tc>
        <w:tc>
          <w:tcPr>
            <w:tcW w:w="1411"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2021</w:t>
            </w:r>
          </w:p>
        </w:tc>
        <w:tc>
          <w:tcPr>
            <w:tcW w:w="1411"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3</w:t>
            </w:r>
          </w:p>
        </w:tc>
        <w:tc>
          <w:tcPr>
            <w:tcW w:w="1412"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-16.98</w:t>
            </w:r>
          </w:p>
        </w:tc>
        <w:tc>
          <w:tcPr>
            <w:tcW w:w="1412"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901.36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1411"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通富微电</w:t>
            </w:r>
          </w:p>
        </w:tc>
        <w:tc>
          <w:tcPr>
            <w:tcW w:w="1411"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2022</w:t>
            </w:r>
          </w:p>
        </w:tc>
        <w:tc>
          <w:tcPr>
            <w:tcW w:w="1411"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3</w:t>
            </w:r>
          </w:p>
        </w:tc>
        <w:tc>
          <w:tcPr>
            <w:tcW w:w="1412"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-6.09</w:t>
            </w:r>
          </w:p>
        </w:tc>
        <w:tc>
          <w:tcPr>
            <w:tcW w:w="1412"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954.51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1411"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中晶科技</w:t>
            </w:r>
          </w:p>
        </w:tc>
        <w:tc>
          <w:tcPr>
            <w:tcW w:w="1411"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2020</w:t>
            </w:r>
          </w:p>
        </w:tc>
        <w:tc>
          <w:tcPr>
            <w:tcW w:w="1411"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w:t>
            </w:r>
          </w:p>
        </w:tc>
        <w:tc>
          <w:tcPr>
            <w:tcW w:w="1412"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146.66</w:t>
            </w:r>
          </w:p>
        </w:tc>
        <w:tc>
          <w:tcPr>
            <w:tcW w:w="1412"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jc w:val="center"/>
        </w:trPr>
        <w:tc>
          <w:tcPr>
            <w:tcW w:w="1411"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北方华创</w:t>
            </w:r>
          </w:p>
        </w:tc>
        <w:tc>
          <w:tcPr>
            <w:tcW w:w="1411"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2020</w:t>
            </w:r>
          </w:p>
        </w:tc>
        <w:tc>
          <w:tcPr>
            <w:tcW w:w="1411"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0</w:t>
            </w:r>
          </w:p>
        </w:tc>
        <w:tc>
          <w:tcPr>
            <w:tcW w:w="1412"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94.66</w:t>
            </w:r>
          </w:p>
        </w:tc>
        <w:tc>
          <w:tcPr>
            <w:tcW w:w="1412"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1368.43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411"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中晶科技</w:t>
            </w:r>
          </w:p>
        </w:tc>
        <w:tc>
          <w:tcPr>
            <w:tcW w:w="1411"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2023</w:t>
            </w:r>
          </w:p>
        </w:tc>
        <w:tc>
          <w:tcPr>
            <w:tcW w:w="1411"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w:t>
            </w:r>
          </w:p>
        </w:tc>
        <w:tc>
          <w:tcPr>
            <w:tcW w:w="1412"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-23.84</w:t>
            </w:r>
          </w:p>
        </w:tc>
        <w:tc>
          <w:tcPr>
            <w:tcW w:w="1412" w:type="dxa"/>
            <w:vAlign w:val="bottom"/>
          </w:tcPr>
          <w:p>
            <w:pPr>
              <w:spacing w:line="220" w:lineRule="atLeast"/>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780.77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411" w:type="dxa"/>
            <w:vAlign w:val="bottom"/>
          </w:tcPr>
          <w:p>
            <w:pPr>
              <w:spacing w:line="220" w:lineRule="atLeast"/>
              <w:jc w:val="center"/>
              <w:rPr>
                <w:rFonts w:hint="eastAsia"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易天股份</w:t>
            </w:r>
          </w:p>
        </w:tc>
        <w:tc>
          <w:tcPr>
            <w:tcW w:w="1411" w:type="dxa"/>
            <w:vAlign w:val="bottom"/>
          </w:tcPr>
          <w:p>
            <w:pPr>
              <w:spacing w:line="220" w:lineRule="atLeast"/>
              <w:jc w:val="center"/>
              <w:rPr>
                <w:rFonts w:hint="eastAsia"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2023</w:t>
            </w:r>
          </w:p>
        </w:tc>
        <w:tc>
          <w:tcPr>
            <w:tcW w:w="1411" w:type="dxa"/>
            <w:vAlign w:val="bottom"/>
          </w:tcPr>
          <w:p>
            <w:pPr>
              <w:spacing w:line="220" w:lineRule="atLeast"/>
              <w:jc w:val="center"/>
              <w:rPr>
                <w:rFonts w:hint="eastAsia"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0</w:t>
            </w:r>
          </w:p>
        </w:tc>
        <w:tc>
          <w:tcPr>
            <w:tcW w:w="1412" w:type="dxa"/>
            <w:vAlign w:val="bottom"/>
          </w:tcPr>
          <w:p>
            <w:pPr>
              <w:spacing w:line="220" w:lineRule="atLeast"/>
              <w:jc w:val="center"/>
              <w:rPr>
                <w:rFonts w:hint="eastAsia"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102.02</w:t>
            </w:r>
          </w:p>
        </w:tc>
        <w:tc>
          <w:tcPr>
            <w:tcW w:w="1412" w:type="dxa"/>
            <w:vAlign w:val="bottom"/>
          </w:tcPr>
          <w:p>
            <w:pPr>
              <w:spacing w:line="220" w:lineRule="atLeast"/>
              <w:jc w:val="center"/>
              <w:rPr>
                <w:rFonts w:hint="eastAsia"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1408.48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411" w:type="dxa"/>
            <w:vAlign w:val="bottom"/>
          </w:tcPr>
          <w:p>
            <w:pPr>
              <w:spacing w:line="220" w:lineRule="atLeast"/>
              <w:jc w:val="center"/>
              <w:rPr>
                <w:rFonts w:hint="eastAsia"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派瑞股份</w:t>
            </w:r>
          </w:p>
        </w:tc>
        <w:tc>
          <w:tcPr>
            <w:tcW w:w="1411" w:type="dxa"/>
            <w:vAlign w:val="bottom"/>
          </w:tcPr>
          <w:p>
            <w:pPr>
              <w:spacing w:line="220" w:lineRule="atLeast"/>
              <w:jc w:val="center"/>
              <w:rPr>
                <w:rFonts w:hint="eastAsia"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2020</w:t>
            </w:r>
          </w:p>
        </w:tc>
        <w:tc>
          <w:tcPr>
            <w:tcW w:w="1411" w:type="dxa"/>
            <w:vAlign w:val="bottom"/>
          </w:tcPr>
          <w:p>
            <w:pPr>
              <w:spacing w:line="220" w:lineRule="atLeast"/>
              <w:jc w:val="center"/>
              <w:rPr>
                <w:rFonts w:hint="eastAsia"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2</w:t>
            </w:r>
          </w:p>
        </w:tc>
        <w:tc>
          <w:tcPr>
            <w:tcW w:w="1412" w:type="dxa"/>
            <w:vAlign w:val="bottom"/>
          </w:tcPr>
          <w:p>
            <w:pPr>
              <w:spacing w:line="220" w:lineRule="atLeast"/>
              <w:jc w:val="center"/>
              <w:rPr>
                <w:rFonts w:hint="eastAsia"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191.95</w:t>
            </w:r>
          </w:p>
        </w:tc>
        <w:tc>
          <w:tcPr>
            <w:tcW w:w="1412" w:type="dxa"/>
            <w:vAlign w:val="bottom"/>
          </w:tcPr>
          <w:p>
            <w:pPr>
              <w:spacing w:line="220" w:lineRule="atLeast"/>
              <w:jc w:val="center"/>
              <w:rPr>
                <w:rFonts w:hint="eastAsia"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898.02</w:t>
            </w:r>
          </w:p>
        </w:tc>
      </w:tr>
    </w:tbl>
    <w:p>
      <w:pPr>
        <w:spacing w:line="220" w:lineRule="atLeast"/>
        <w:jc w:val="both"/>
        <w:rPr>
          <w:rFonts w:hint="eastAsia"/>
          <w:lang w:val="en-US" w:eastAsia="zh-CN"/>
        </w:rPr>
      </w:pPr>
    </w:p>
    <w:p>
      <w:pPr>
        <w:spacing w:line="220" w:lineRule="atLeast"/>
        <w:jc w:val="both"/>
        <w:rPr>
          <w:rFonts w:hint="eastAsia" w:hAnsi="宋体"/>
          <w:color w:val="auto"/>
          <w:kern w:val="0"/>
          <w:szCs w:val="20"/>
          <w:lang w:val="en-US" w:eastAsia="zh-CN"/>
        </w:rPr>
      </w:pPr>
      <w:r>
        <w:rPr>
          <w:rFonts w:hint="eastAsia"/>
          <w:lang w:val="en-US" w:eastAsia="zh-CN"/>
        </w:rPr>
        <w:t xml:space="preserve">2.6.2  </w:t>
      </w:r>
      <w:r>
        <w:rPr>
          <w:rFonts w:hint="eastAsia" w:hAnsi="宋体"/>
          <w:color w:val="auto"/>
          <w:kern w:val="0"/>
          <w:szCs w:val="20"/>
          <w:lang w:val="en-US" w:eastAsia="zh-CN"/>
        </w:rPr>
        <w:t>分类预测</w:t>
      </w:r>
    </w:p>
    <w:p>
      <w:pPr>
        <w:spacing w:line="220" w:lineRule="atLeast"/>
        <w:ind w:firstLine="420"/>
        <w:jc w:val="both"/>
        <w:rPr>
          <w:rFonts w:hint="eastAsia" w:hAnsi="宋体"/>
          <w:color w:val="auto"/>
          <w:kern w:val="0"/>
          <w:szCs w:val="20"/>
          <w:lang w:val="en-US" w:eastAsia="zh-CN"/>
        </w:rPr>
      </w:pPr>
      <w:r>
        <w:rPr>
          <w:rFonts w:hint="eastAsia" w:hAnsi="宋体"/>
          <w:color w:val="auto"/>
          <w:kern w:val="0"/>
          <w:szCs w:val="20"/>
          <w:lang w:val="en-US" w:eastAsia="zh-CN"/>
        </w:rPr>
        <w:t>在长短期记忆网络模型训练中，选取70%的数据作为训练集、剩下的30%为测试集。在经过1000轮迭代，每轮迭代2次，共计2000次迭代后，训练完成。从长短期记忆网络训练进度图10中，我们发现，在经过100次训练后，准确率陡然上升，在经过大约200次迭代后，模型的准确率近乎达到峰值，同时损失也减小到了一个很低的程度，训练1000次后，损失几乎降到了最低。后续的训练中准确度以及损失并没有什么太大的变化，迭代过程有些过多了，可以适当进行减少。</w:t>
      </w:r>
    </w:p>
    <w:p>
      <w:pPr>
        <w:spacing w:line="220" w:lineRule="atLeast"/>
        <w:ind w:firstLine="420"/>
        <w:jc w:val="both"/>
        <w:rPr>
          <w:rFonts w:hint="default" w:hAnsi="宋体"/>
          <w:color w:val="auto"/>
          <w:kern w:val="0"/>
          <w:szCs w:val="20"/>
          <w:lang w:val="en-US" w:eastAsia="zh-CN"/>
        </w:rPr>
      </w:pPr>
      <w:r>
        <w:rPr>
          <w:rFonts w:hint="eastAsia" w:hAnsi="宋体"/>
          <w:color w:val="auto"/>
          <w:kern w:val="0"/>
          <w:szCs w:val="20"/>
          <w:lang w:val="en-US" w:eastAsia="zh-CN"/>
        </w:rPr>
        <w:t>从训练集与测试集的真实值与预测值对比图中，我们发现预测值与真实值在图像上近乎全部重合，除了极少数点有差距。在训练集中，有301个样本被正确预测，3个样本被错误预测，准确率达到99.0132%;在测试集中，有130个样本被成功预测，1个样本被错误预测，准确率达到了99.2366%。</w:t>
      </w:r>
    </w:p>
    <w:p>
      <w:pPr>
        <w:spacing w:line="220" w:lineRule="atLeast"/>
        <w:jc w:val="both"/>
        <w:rPr>
          <w:rFonts w:hint="default" w:hAnsi="宋体"/>
          <w:color w:val="auto"/>
          <w:kern w:val="0"/>
          <w:szCs w:val="20"/>
          <w:lang w:val="en-US" w:eastAsia="zh-CN"/>
        </w:rPr>
      </w:pPr>
      <w:r>
        <w:rPr>
          <w:rFonts w:hint="eastAsia" w:hAnsi="宋体"/>
          <w:color w:val="auto"/>
          <w:kern w:val="0"/>
          <w:szCs w:val="20"/>
          <w:lang w:val="en-US" w:eastAsia="zh-CN"/>
        </w:rPr>
        <w:t xml:space="preserve">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360" w:firstLineChars="200"/>
        <w:jc w:val="center"/>
        <w:textAlignment w:val="auto"/>
        <w:rPr>
          <w:rFonts w:ascii="PingFang-SC-Regular" w:hAnsi="PingFang-SC-Regular" w:eastAsia="PingFang-SC-Regular" w:cs="PingFang-SC-Regular"/>
          <w:sz w:val="18"/>
          <w:szCs w:val="18"/>
        </w:rPr>
      </w:pPr>
      <w:r>
        <w:rPr>
          <w:rFonts w:ascii="PingFang-SC-Regular" w:hAnsi="PingFang-SC-Regular" w:eastAsia="PingFang-SC-Regular" w:cs="PingFang-SC-Regular"/>
          <w:sz w:val="18"/>
          <w:szCs w:val="18"/>
        </w:rPr>
        <w:drawing>
          <wp:inline distT="0" distB="0" distL="114300" distR="114300">
            <wp:extent cx="4874260" cy="2318385"/>
            <wp:effectExtent l="0" t="0" r="2540" b="13335"/>
            <wp:docPr id="14" name="图片 14" descr="untitled"/>
            <wp:cNvGraphicFramePr/>
            <a:graphic xmlns:a="http://schemas.openxmlformats.org/drawingml/2006/main">
              <a:graphicData uri="http://schemas.openxmlformats.org/drawingml/2006/picture">
                <pic:pic xmlns:pic="http://schemas.openxmlformats.org/drawingml/2006/picture">
                  <pic:nvPicPr>
                    <pic:cNvPr id="14" name="图片 14" descr="untitled"/>
                    <pic:cNvPicPr/>
                  </pic:nvPicPr>
                  <pic:blipFill>
                    <a:blip r:embed="rId34"/>
                    <a:stretch>
                      <a:fillRect/>
                    </a:stretch>
                  </pic:blipFill>
                  <pic:spPr>
                    <a:xfrm>
                      <a:off x="0" y="0"/>
                      <a:ext cx="4874260" cy="2318385"/>
                    </a:xfrm>
                    <a:prstGeom prst="rect">
                      <a:avLst/>
                    </a:prstGeom>
                  </pic:spPr>
                </pic:pic>
              </a:graphicData>
            </a:graphic>
          </wp:inline>
        </w:drawing>
      </w:r>
    </w:p>
    <w:p>
      <w:pPr>
        <w:widowControl/>
        <w:jc w:val="center"/>
        <w:textAlignment w:val="center"/>
        <w:rPr>
          <w:rFonts w:hint="eastAsia" w:ascii="宋体" w:hAnsi="宋体"/>
          <w:sz w:val="18"/>
          <w:szCs w:val="18"/>
          <w:lang w:val="en-US" w:eastAsia="zh-CN"/>
        </w:rPr>
      </w:pPr>
      <w:r>
        <w:rPr>
          <w:rFonts w:hint="eastAsia" w:ascii="宋体" w:hAnsi="宋体"/>
          <w:sz w:val="18"/>
          <w:szCs w:val="18"/>
          <w:lang w:val="en-US" w:eastAsia="zh-CN"/>
        </w:rPr>
        <w:t>图9  LSTM训练进度图</w:t>
      </w:r>
    </w:p>
    <w:p>
      <w:pPr>
        <w:spacing w:line="220" w:lineRule="atLeast"/>
        <w:jc w:val="center"/>
        <w:rPr>
          <w:rFonts w:hint="default" w:hAnsi="宋体"/>
          <w:color w:val="auto"/>
          <w:kern w:val="0"/>
          <w:szCs w:val="20"/>
          <w:lang w:val="en-US" w:eastAsia="zh-CN"/>
        </w:rPr>
      </w:pPr>
      <w:r>
        <w:rPr>
          <w:rFonts w:hint="default" w:hAnsi="宋体"/>
          <w:color w:val="auto"/>
          <w:kern w:val="0"/>
          <w:szCs w:val="20"/>
          <w:lang w:val="en-US" w:eastAsia="zh-CN"/>
        </w:rPr>
        <w:drawing>
          <wp:inline distT="0" distB="0" distL="114300" distR="114300">
            <wp:extent cx="2908935" cy="2181860"/>
            <wp:effectExtent l="0" t="0" r="1905" b="12700"/>
            <wp:docPr id="15" name="图片 15" descr="新训练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新训练集"/>
                    <pic:cNvPicPr>
                      <a:picLocks noChangeAspect="1"/>
                    </pic:cNvPicPr>
                  </pic:nvPicPr>
                  <pic:blipFill>
                    <a:blip r:embed="rId35"/>
                    <a:stretch>
                      <a:fillRect/>
                    </a:stretch>
                  </pic:blipFill>
                  <pic:spPr>
                    <a:xfrm>
                      <a:off x="0" y="0"/>
                      <a:ext cx="2908935" cy="2181860"/>
                    </a:xfrm>
                    <a:prstGeom prst="rect">
                      <a:avLst/>
                    </a:prstGeom>
                  </pic:spPr>
                </pic:pic>
              </a:graphicData>
            </a:graphic>
          </wp:inline>
        </w:drawing>
      </w:r>
      <w:r>
        <w:rPr>
          <w:rFonts w:hint="default" w:hAnsi="宋体"/>
          <w:color w:val="auto"/>
          <w:kern w:val="0"/>
          <w:szCs w:val="20"/>
          <w:lang w:val="en-US" w:eastAsia="zh-CN"/>
        </w:rPr>
        <w:drawing>
          <wp:inline distT="0" distB="0" distL="114300" distR="114300">
            <wp:extent cx="2908935" cy="2181860"/>
            <wp:effectExtent l="0" t="0" r="1905" b="12700"/>
            <wp:docPr id="19" name="图片 19" descr="新测试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新测试集"/>
                    <pic:cNvPicPr>
                      <a:picLocks noChangeAspect="1"/>
                    </pic:cNvPicPr>
                  </pic:nvPicPr>
                  <pic:blipFill>
                    <a:blip r:embed="rId36"/>
                    <a:stretch>
                      <a:fillRect/>
                    </a:stretch>
                  </pic:blipFill>
                  <pic:spPr>
                    <a:xfrm>
                      <a:off x="0" y="0"/>
                      <a:ext cx="2908935" cy="2181860"/>
                    </a:xfrm>
                    <a:prstGeom prst="rect">
                      <a:avLst/>
                    </a:prstGeom>
                  </pic:spPr>
                </pic:pic>
              </a:graphicData>
            </a:graphic>
          </wp:inline>
        </w:drawing>
      </w:r>
    </w:p>
    <w:p>
      <w:pPr>
        <w:widowControl/>
        <w:jc w:val="center"/>
        <w:textAlignment w:val="center"/>
        <w:rPr>
          <w:rFonts w:hint="eastAsia"/>
          <w:sz w:val="15"/>
          <w:szCs w:val="15"/>
          <w:lang w:val="en-US" w:eastAsia="zh-CN"/>
        </w:rPr>
      </w:pPr>
      <w:r>
        <w:rPr>
          <w:rFonts w:hint="eastAsia"/>
          <w:sz w:val="15"/>
          <w:szCs w:val="15"/>
          <w:lang w:val="en-US" w:eastAsia="zh-CN"/>
        </w:rPr>
        <w:t xml:space="preserve">  </w:t>
      </w:r>
      <w:r>
        <w:rPr>
          <w:sz w:val="15"/>
          <w:szCs w:val="15"/>
        </w:rPr>
        <w:t>(a)</w:t>
      </w:r>
      <w:r>
        <w:rPr>
          <w:rFonts w:hint="eastAsia"/>
          <w:sz w:val="15"/>
          <w:szCs w:val="15"/>
          <w:lang w:val="en-US" w:eastAsia="zh-CN"/>
        </w:rPr>
        <w:t>训练集可视化图</w:t>
      </w:r>
      <w:r>
        <w:rPr>
          <w:sz w:val="18"/>
          <w:szCs w:val="18"/>
        </w:rPr>
        <w:t xml:space="preserve">                    </w:t>
      </w:r>
      <w:r>
        <w:rPr>
          <w:rFonts w:hint="eastAsia"/>
          <w:sz w:val="18"/>
          <w:szCs w:val="18"/>
          <w:lang w:val="en-US" w:eastAsia="zh-CN"/>
        </w:rPr>
        <w:t xml:space="preserve">                      </w:t>
      </w:r>
      <w:r>
        <w:rPr>
          <w:sz w:val="15"/>
          <w:szCs w:val="15"/>
        </w:rPr>
        <w:t>(b)</w:t>
      </w:r>
      <w:r>
        <w:rPr>
          <w:rFonts w:hint="eastAsia"/>
          <w:sz w:val="15"/>
          <w:szCs w:val="15"/>
          <w:lang w:val="en-US" w:eastAsia="zh-CN"/>
        </w:rPr>
        <w:t>测试集可视化图</w:t>
      </w:r>
    </w:p>
    <w:p>
      <w:pPr>
        <w:widowControl/>
        <w:jc w:val="center"/>
        <w:textAlignment w:val="center"/>
        <w:rPr>
          <w:rFonts w:hint="eastAsia" w:ascii="宋体" w:hAnsi="宋体"/>
          <w:sz w:val="18"/>
          <w:szCs w:val="18"/>
          <w:lang w:val="en-US" w:eastAsia="zh-CN"/>
        </w:rPr>
      </w:pPr>
      <w:r>
        <w:rPr>
          <w:rFonts w:hint="eastAsia" w:ascii="宋体" w:hAnsi="宋体"/>
          <w:sz w:val="18"/>
          <w:szCs w:val="18"/>
          <w:lang w:val="en-US" w:eastAsia="zh-CN"/>
        </w:rPr>
        <w:t>图10  模型预测整体结果图</w:t>
      </w:r>
    </w:p>
    <w:p>
      <w:pPr>
        <w:spacing w:line="220" w:lineRule="atLeast"/>
        <w:jc w:val="both"/>
        <w:rPr>
          <w:rFonts w:hint="default"/>
          <w:lang w:val="en-US" w:eastAsia="zh-CN"/>
        </w:rPr>
      </w:pPr>
      <w:r>
        <w:rPr>
          <w:rFonts w:hint="eastAsia"/>
          <w:lang w:val="en-US" w:eastAsia="zh-CN"/>
        </w:rPr>
        <w:t>2.6.2  模型评估</w:t>
      </w:r>
    </w:p>
    <w:p>
      <w:pPr>
        <w:widowControl/>
        <w:jc w:val="left"/>
        <w:textAlignment w:val="center"/>
        <w:rPr>
          <w:rFonts w:hint="default" w:ascii="Times New Roman" w:hAnsi="Times New Roman" w:eastAsia="宋体" w:cs="Times New Roman"/>
          <w:lang w:val="en-US" w:eastAsia="zh-CN"/>
        </w:rPr>
      </w:pPr>
      <w:r>
        <w:rPr>
          <w:rFonts w:hint="eastAsia"/>
          <w:sz w:val="15"/>
          <w:szCs w:val="15"/>
          <w:lang w:val="en-US" w:eastAsia="zh-CN"/>
        </w:rPr>
        <w:t xml:space="preserve">      </w:t>
      </w:r>
      <w:r>
        <w:rPr>
          <w:rFonts w:hint="eastAsia" w:ascii="Times New Roman" w:hAnsi="Times New Roman" w:eastAsia="宋体" w:cs="Times New Roman"/>
          <w:lang w:val="en-US" w:eastAsia="zh-CN"/>
        </w:rPr>
        <w:t>对于一个模型的好坏，除了通过图像</w:t>
      </w:r>
      <w:r>
        <w:rPr>
          <w:rFonts w:hint="eastAsia" w:cs="Times New Roman"/>
          <w:lang w:val="en-US" w:eastAsia="zh-CN"/>
        </w:rPr>
        <w:t>可视化</w:t>
      </w:r>
      <w:r>
        <w:rPr>
          <w:rFonts w:hint="eastAsia" w:ascii="Times New Roman" w:hAnsi="Times New Roman" w:eastAsia="宋体" w:cs="Times New Roman"/>
          <w:lang w:val="en-US" w:eastAsia="zh-CN"/>
        </w:rPr>
        <w:t>的</w:t>
      </w:r>
      <w:r>
        <w:rPr>
          <w:rFonts w:hint="eastAsia" w:cs="Times New Roman"/>
          <w:lang w:val="en-US" w:eastAsia="zh-CN"/>
        </w:rPr>
        <w:t>对比</w:t>
      </w:r>
      <w:r>
        <w:rPr>
          <w:rFonts w:hint="eastAsia" w:ascii="Times New Roman" w:hAnsi="Times New Roman" w:eastAsia="宋体" w:cs="Times New Roman"/>
          <w:lang w:val="en-US" w:eastAsia="zh-CN"/>
        </w:rPr>
        <w:t>分析，更重要的是进行数据量化评价。我们所研究的是对股票</w:t>
      </w:r>
      <w:r>
        <w:rPr>
          <w:rFonts w:hint="eastAsia" w:cs="Times New Roman"/>
          <w:lang w:val="en-US" w:eastAsia="zh-CN"/>
        </w:rPr>
        <w:t>分类</w:t>
      </w:r>
      <w:r>
        <w:rPr>
          <w:rFonts w:hint="eastAsia" w:ascii="Times New Roman" w:hAnsi="Times New Roman" w:eastAsia="宋体" w:cs="Times New Roman"/>
          <w:lang w:val="en-US" w:eastAsia="zh-CN"/>
        </w:rPr>
        <w:t>的预测，在得到模型训练的结果后，通常我们要对其模型训练的结果进行评估。针对监督学习中的</w:t>
      </w:r>
      <w:r>
        <w:rPr>
          <w:rFonts w:hint="eastAsia" w:cs="Times New Roman"/>
          <w:lang w:val="en-US" w:eastAsia="zh-CN"/>
        </w:rPr>
        <w:t>分类</w:t>
      </w:r>
      <w:r>
        <w:rPr>
          <w:rFonts w:hint="eastAsia" w:ascii="Times New Roman" w:hAnsi="Times New Roman" w:eastAsia="宋体" w:cs="Times New Roman"/>
          <w:lang w:val="en-US" w:eastAsia="zh-CN"/>
        </w:rPr>
        <w:t>问题，我们采取</w:t>
      </w:r>
      <w:r>
        <w:rPr>
          <w:rFonts w:hint="eastAsia" w:cs="Times New Roman"/>
          <w:lang w:val="en-US" w:eastAsia="zh-CN"/>
        </w:rPr>
        <w:t>通过混淆矩阵来判断模型的好坏</w:t>
      </w:r>
      <w:r>
        <w:rPr>
          <w:rFonts w:hint="eastAsia" w:ascii="Times New Roman" w:hAnsi="Times New Roman" w:eastAsia="宋体" w:cs="Times New Roman"/>
          <w:lang w:val="en-US" w:eastAsia="zh-CN"/>
        </w:rPr>
        <w:t>。</w:t>
      </w:r>
      <w:r>
        <w:rPr>
          <w:rFonts w:hint="eastAsia" w:cs="Times New Roman"/>
          <w:lang w:val="en-US" w:eastAsia="zh-CN"/>
        </w:rPr>
        <w:t>图11中的</w:t>
      </w:r>
      <w:r>
        <w:rPr>
          <w:rFonts w:hint="eastAsia" w:ascii="Times New Roman" w:hAnsi="Times New Roman" w:eastAsia="宋体" w:cs="Times New Roman"/>
          <w:lang w:val="en-US" w:eastAsia="zh-CN"/>
        </w:rPr>
        <w:t>数据，</w:t>
      </w:r>
      <w:r>
        <w:rPr>
          <w:rFonts w:hint="eastAsia" w:cs="Times New Roman"/>
          <w:lang w:val="en-US" w:eastAsia="zh-CN"/>
        </w:rPr>
        <w:t>右侧行向量表示对每个类别的召回率，底部列向量表示对该类的预测的正确率。从图中我们能看出</w:t>
      </w:r>
      <w:r>
        <w:rPr>
          <w:rFonts w:hint="eastAsia" w:ascii="Times New Roman" w:hAnsi="Times New Roman" w:eastAsia="宋体" w:cs="Times New Roman"/>
          <w:lang w:val="en-US" w:eastAsia="zh-CN"/>
        </w:rPr>
        <w:t>预测值与真实值之间的偏离程度较小，</w:t>
      </w:r>
      <w:r>
        <w:rPr>
          <w:rFonts w:hint="eastAsia" w:cs="Times New Roman"/>
          <w:lang w:val="en-US" w:eastAsia="zh-CN"/>
        </w:rPr>
        <w:t>说明</w:t>
      </w:r>
      <w:r>
        <w:rPr>
          <w:rFonts w:hint="eastAsia" w:ascii="Times New Roman" w:hAnsi="Times New Roman" w:eastAsia="宋体" w:cs="Times New Roman"/>
          <w:lang w:val="en-US" w:eastAsia="zh-CN"/>
        </w:rPr>
        <w:t>模型的预测能力和预测精度较高。</w:t>
      </w:r>
    </w:p>
    <w:p>
      <w:pPr>
        <w:widowControl/>
        <w:jc w:val="center"/>
        <w:textAlignment w:val="center"/>
        <w:rPr>
          <w:rFonts w:hint="default" w:ascii="宋体" w:hAnsi="宋体"/>
          <w:sz w:val="18"/>
          <w:szCs w:val="18"/>
          <w:lang w:val="en-US" w:eastAsia="zh-CN"/>
        </w:rPr>
      </w:pPr>
      <w:r>
        <w:rPr>
          <w:rFonts w:hint="default" w:ascii="宋体" w:hAnsi="宋体"/>
          <w:sz w:val="18"/>
          <w:szCs w:val="18"/>
          <w:lang w:val="en-US" w:eastAsia="zh-CN"/>
        </w:rPr>
        <w:drawing>
          <wp:inline distT="0" distB="0" distL="114300" distR="114300">
            <wp:extent cx="2908935" cy="2181860"/>
            <wp:effectExtent l="0" t="0" r="1905" b="12700"/>
            <wp:docPr id="20" name="图片 20" descr="训练数据混淆矩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训练数据混淆矩阵"/>
                    <pic:cNvPicPr>
                      <a:picLocks noChangeAspect="1"/>
                    </pic:cNvPicPr>
                  </pic:nvPicPr>
                  <pic:blipFill>
                    <a:blip r:embed="rId37"/>
                    <a:stretch>
                      <a:fillRect/>
                    </a:stretch>
                  </pic:blipFill>
                  <pic:spPr>
                    <a:xfrm>
                      <a:off x="0" y="0"/>
                      <a:ext cx="2908935" cy="2181860"/>
                    </a:xfrm>
                    <a:prstGeom prst="rect">
                      <a:avLst/>
                    </a:prstGeom>
                  </pic:spPr>
                </pic:pic>
              </a:graphicData>
            </a:graphic>
          </wp:inline>
        </w:drawing>
      </w:r>
      <w:r>
        <w:rPr>
          <w:rFonts w:hint="default" w:ascii="宋体" w:hAnsi="宋体"/>
          <w:sz w:val="18"/>
          <w:szCs w:val="18"/>
          <w:lang w:val="en-US" w:eastAsia="zh-CN"/>
        </w:rPr>
        <w:drawing>
          <wp:inline distT="0" distB="0" distL="114300" distR="114300">
            <wp:extent cx="2908935" cy="2181860"/>
            <wp:effectExtent l="0" t="0" r="1905" b="12700"/>
            <wp:docPr id="21" name="图片 21" descr="测试数据混淆矩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测试数据混淆矩阵"/>
                    <pic:cNvPicPr>
                      <a:picLocks noChangeAspect="1"/>
                    </pic:cNvPicPr>
                  </pic:nvPicPr>
                  <pic:blipFill>
                    <a:blip r:embed="rId38"/>
                    <a:stretch>
                      <a:fillRect/>
                    </a:stretch>
                  </pic:blipFill>
                  <pic:spPr>
                    <a:xfrm>
                      <a:off x="0" y="0"/>
                      <a:ext cx="2908935" cy="2181860"/>
                    </a:xfrm>
                    <a:prstGeom prst="rect">
                      <a:avLst/>
                    </a:prstGeom>
                  </pic:spPr>
                </pic:pic>
              </a:graphicData>
            </a:graphic>
          </wp:inline>
        </w:drawing>
      </w:r>
    </w:p>
    <w:p>
      <w:pPr>
        <w:widowControl/>
        <w:jc w:val="center"/>
        <w:textAlignment w:val="center"/>
        <w:rPr>
          <w:rFonts w:hint="eastAsia"/>
          <w:sz w:val="15"/>
          <w:szCs w:val="15"/>
          <w:lang w:val="en-US" w:eastAsia="zh-CN"/>
        </w:rPr>
      </w:pPr>
      <w:r>
        <w:rPr>
          <w:sz w:val="15"/>
          <w:szCs w:val="15"/>
        </w:rPr>
        <w:t>(a)</w:t>
      </w:r>
      <w:r>
        <w:rPr>
          <w:rFonts w:hint="eastAsia"/>
          <w:sz w:val="15"/>
          <w:szCs w:val="15"/>
          <w:lang w:val="en-US" w:eastAsia="zh-CN"/>
        </w:rPr>
        <w:t>训练集</w:t>
      </w:r>
      <w:r>
        <w:rPr>
          <w:sz w:val="18"/>
          <w:szCs w:val="18"/>
        </w:rPr>
        <w:t xml:space="preserve">                    </w:t>
      </w:r>
      <w:r>
        <w:rPr>
          <w:rFonts w:hint="eastAsia"/>
          <w:sz w:val="18"/>
          <w:szCs w:val="18"/>
          <w:lang w:val="en-US" w:eastAsia="zh-CN"/>
        </w:rPr>
        <w:t xml:space="preserve">                      </w:t>
      </w:r>
      <w:r>
        <w:rPr>
          <w:sz w:val="15"/>
          <w:szCs w:val="15"/>
        </w:rPr>
        <w:t>(b)</w:t>
      </w:r>
      <w:r>
        <w:rPr>
          <w:rFonts w:hint="eastAsia"/>
          <w:sz w:val="15"/>
          <w:szCs w:val="15"/>
          <w:lang w:val="en-US" w:eastAsia="zh-CN"/>
        </w:rPr>
        <w:t>测试集</w:t>
      </w:r>
    </w:p>
    <w:p>
      <w:pPr>
        <w:widowControl/>
        <w:jc w:val="center"/>
        <w:textAlignment w:val="center"/>
        <w:rPr>
          <w:rFonts w:hint="default" w:ascii="Times New Roman" w:hAnsi="Times New Roman" w:eastAsia="宋体" w:cs="Times New Roman"/>
          <w:lang w:val="en-US" w:eastAsia="zh-CN"/>
        </w:rPr>
      </w:pPr>
      <w:r>
        <w:rPr>
          <w:rFonts w:hint="eastAsia" w:ascii="宋体" w:hAnsi="宋体"/>
          <w:sz w:val="18"/>
          <w:szCs w:val="18"/>
          <w:lang w:val="en-US" w:eastAsia="zh-CN"/>
        </w:rPr>
        <w:t>图11  混淆矩阵图</w:t>
      </w:r>
    </w:p>
    <w:p>
      <w:pPr>
        <w:pStyle w:val="5"/>
        <w:spacing w:before="260" w:after="220"/>
        <w:rPr>
          <w:rFonts w:hAnsi="宋体" w:eastAsia="宋体"/>
        </w:rPr>
      </w:pPr>
      <w:r>
        <w:rPr>
          <w:rFonts w:hint="eastAsia"/>
          <w:lang w:val="en-US" w:eastAsia="zh-CN"/>
        </w:rPr>
        <w:t>3</w:t>
      </w:r>
      <w:r>
        <w:t xml:space="preserve">  </w:t>
      </w:r>
      <w:r>
        <w:rPr>
          <w:rFonts w:hAnsi="宋体" w:eastAsia="宋体"/>
        </w:rPr>
        <w:t>结</w:t>
      </w:r>
      <w:r>
        <w:rPr>
          <w:rFonts w:eastAsia="宋体"/>
        </w:rPr>
        <w:t xml:space="preserve">  </w:t>
      </w:r>
      <w:r>
        <w:rPr>
          <w:rFonts w:hAnsi="宋体" w:eastAsia="宋体"/>
        </w:rPr>
        <w:t>论</w:t>
      </w:r>
    </w:p>
    <w:p>
      <w:pPr>
        <w:numPr>
          <w:ilvl w:val="0"/>
          <w:numId w:val="0"/>
        </w:numPr>
        <w:jc w:val="both"/>
        <w:rPr>
          <w:rFonts w:hint="default" w:ascii="宋体" w:hAnsi="宋体" w:eastAsia="宋体" w:cs="Times New Roman"/>
          <w:b/>
          <w:lang w:val="en-US" w:eastAsia="zh-CN"/>
        </w:rPr>
      </w:pPr>
      <w:r>
        <w:rPr>
          <w:rFonts w:hint="eastAsia" w:ascii="宋体" w:hAnsi="宋体" w:eastAsia="宋体" w:cs="Times New Roman"/>
          <w:b/>
          <w:lang w:val="en-US" w:eastAsia="zh-CN"/>
        </w:rPr>
        <w:t>3.1  小结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eastAsia="宋体"/>
          <w:lang w:val="en-US" w:eastAsia="zh-CN"/>
        </w:rPr>
        <w:t>本次课程设计主要是针对股票进行数据分析和预测。实现了对网站数据的爬取，从东方财富网站获取了我们想要的数据，并且通过编程对数据进行了预处理。对股票数据做出了不同的可视化分析。并且提出了一种利用k-means聚类针对涨跌幅和振幅</w:t>
      </w:r>
      <w:r>
        <w:rPr>
          <w:rFonts w:hint="eastAsia"/>
          <w:lang w:val="en-US" w:eastAsia="zh-CN"/>
        </w:rPr>
        <w:t>这两个指标</w:t>
      </w:r>
      <w:r>
        <w:rPr>
          <w:rFonts w:hint="eastAsia" w:eastAsia="宋体"/>
          <w:lang w:val="en-US" w:eastAsia="zh-CN"/>
        </w:rPr>
        <w:t>对股票进行分类的方法。</w:t>
      </w:r>
      <w:r>
        <w:rPr>
          <w:rFonts w:hint="eastAsia"/>
          <w:lang w:val="en-US" w:eastAsia="zh-CN"/>
        </w:rPr>
        <w:t>根据</w:t>
      </w:r>
      <w:r>
        <w:rPr>
          <w:rFonts w:hint="eastAsia" w:eastAsia="宋体"/>
          <w:lang w:val="en-US" w:eastAsia="zh-CN"/>
        </w:rPr>
        <w:t>k-means聚类</w:t>
      </w:r>
      <w:r>
        <w:rPr>
          <w:rFonts w:hint="eastAsia"/>
          <w:lang w:val="en-US" w:eastAsia="zh-CN"/>
        </w:rPr>
        <w:t>的聚类记过，</w:t>
      </w:r>
      <w:r>
        <w:rPr>
          <w:rFonts w:hint="eastAsia" w:eastAsia="宋体"/>
          <w:lang w:val="en-US" w:eastAsia="zh-CN"/>
        </w:rPr>
        <w:t>利用</w:t>
      </w:r>
      <w:r>
        <w:rPr>
          <w:rFonts w:hint="eastAsia"/>
          <w:lang w:val="en-US" w:eastAsia="zh-CN"/>
        </w:rPr>
        <w:t>长短期记忆网络</w:t>
      </w:r>
      <w:r>
        <w:rPr>
          <w:rFonts w:hint="eastAsia" w:eastAsia="宋体"/>
          <w:lang w:val="en-US" w:eastAsia="zh-CN"/>
        </w:rPr>
        <w:t>对股票的</w:t>
      </w:r>
      <w:r>
        <w:rPr>
          <w:rFonts w:hint="eastAsia"/>
          <w:lang w:val="en-US" w:eastAsia="zh-CN"/>
        </w:rPr>
        <w:t>类别</w:t>
      </w:r>
      <w:r>
        <w:rPr>
          <w:rFonts w:hint="eastAsia" w:eastAsia="宋体"/>
          <w:lang w:val="en-US" w:eastAsia="zh-CN"/>
        </w:rPr>
        <w:t>进行预测，根据评价指标，显示该模型对股票的</w:t>
      </w:r>
      <w:r>
        <w:rPr>
          <w:rFonts w:hint="eastAsia"/>
          <w:lang w:val="en-US" w:eastAsia="zh-CN"/>
        </w:rPr>
        <w:t>分类情况</w:t>
      </w:r>
      <w:r>
        <w:rPr>
          <w:rFonts w:hint="eastAsia" w:eastAsia="宋体"/>
          <w:lang w:val="en-US" w:eastAsia="zh-CN"/>
        </w:rPr>
        <w:t>有着较好的预测精度。</w:t>
      </w:r>
    </w:p>
    <w:p>
      <w:pPr>
        <w:numPr>
          <w:ilvl w:val="0"/>
          <w:numId w:val="0"/>
        </w:numPr>
        <w:jc w:val="both"/>
        <w:rPr>
          <w:rFonts w:hint="eastAsia" w:ascii="宋体" w:hAnsi="宋体" w:eastAsia="宋体" w:cs="Times New Roman"/>
          <w:b/>
          <w:lang w:val="en-US" w:eastAsia="zh-CN"/>
        </w:rPr>
      </w:pPr>
      <w:r>
        <w:rPr>
          <w:rFonts w:hint="eastAsia" w:ascii="宋体" w:hAnsi="宋体" w:eastAsia="宋体" w:cs="Times New Roman"/>
          <w:b/>
          <w:lang w:val="en-US" w:eastAsia="zh-CN"/>
        </w:rPr>
        <w:t>3.2  收获</w:t>
      </w:r>
    </w:p>
    <w:p>
      <w:pPr>
        <w:ind w:firstLine="420" w:firstLineChars="2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通过本次对沪深京板块部分行业股票的分析，我深刻体会到了数据科学在金融市场分析中的强大应用。懂得了数据的获取和预处理的重要性，数据的准确性和完整性是后续分析的基础；学会了聚类分析在股票分析中的应用，对股票进行聚类分析不仅有助于投资者更好地理解不同股票之间的相似性和差异性，还能为投资决策提供有价值的参考；还学会了</w:t>
      </w:r>
      <w:r>
        <w:rPr>
          <w:rFonts w:hint="eastAsia" w:cs="Times New Roman"/>
          <w:lang w:val="en-US" w:eastAsia="zh-CN"/>
        </w:rPr>
        <w:t>长短期记忆网络</w:t>
      </w:r>
      <w:r>
        <w:rPr>
          <w:rFonts w:hint="eastAsia" w:ascii="Times New Roman" w:hAnsi="Times New Roman" w:eastAsia="宋体" w:cs="Times New Roman"/>
          <w:lang w:val="en-US" w:eastAsia="zh-CN"/>
        </w:rPr>
        <w:t>在</w:t>
      </w:r>
      <w:r>
        <w:rPr>
          <w:rFonts w:hint="eastAsia" w:cs="Times New Roman"/>
          <w:lang w:val="en-US" w:eastAsia="zh-CN"/>
        </w:rPr>
        <w:t>分类</w:t>
      </w:r>
      <w:r>
        <w:rPr>
          <w:rFonts w:hint="eastAsia" w:ascii="Times New Roman" w:hAnsi="Times New Roman" w:eastAsia="宋体" w:cs="Times New Roman"/>
          <w:lang w:val="en-US" w:eastAsia="zh-CN"/>
        </w:rPr>
        <w:t>预测中的应用，对股票进行</w:t>
      </w:r>
      <w:r>
        <w:rPr>
          <w:rFonts w:hint="eastAsia" w:cs="Times New Roman"/>
          <w:lang w:val="en-US" w:eastAsia="zh-CN"/>
        </w:rPr>
        <w:t>分类</w:t>
      </w:r>
      <w:r>
        <w:rPr>
          <w:rFonts w:hint="eastAsia" w:ascii="Times New Roman" w:hAnsi="Times New Roman" w:eastAsia="宋体" w:cs="Times New Roman"/>
          <w:lang w:val="en-US" w:eastAsia="zh-CN"/>
        </w:rPr>
        <w:t>预测能够帮助投资者</w:t>
      </w:r>
      <w:r>
        <w:rPr>
          <w:rFonts w:hint="eastAsia" w:cs="Times New Roman"/>
          <w:lang w:val="en-US" w:eastAsia="zh-CN"/>
        </w:rPr>
        <w:t>规避风险，</w:t>
      </w:r>
      <w:r>
        <w:rPr>
          <w:rFonts w:hint="eastAsia" w:ascii="Times New Roman" w:hAnsi="Times New Roman" w:eastAsia="宋体" w:cs="Times New Roman"/>
          <w:lang w:val="en-US" w:eastAsia="zh-CN"/>
        </w:rPr>
        <w:t>做出获取最大收益的决策；明白了模型评估与优化的必要性，对于已经建立的模型，必须有评估指标，来评估模型的性能，通过评估指标的反馈，能够帮助我们清楚地了解构建模型的预测能力，能够帮助我们对模型进行优化和改进；认识到跨学科知识融合的必要性，金融市场的复杂性要求我们不仅具备数据科学的知识和技能，还需要对金融市场有深入的了解和认识。只有将两者结合起来，我们才能更好地利用数据科学来解决金融市场的实际问题。</w:t>
      </w:r>
    </w:p>
    <w:p>
      <w:pPr>
        <w:numPr>
          <w:ilvl w:val="0"/>
          <w:numId w:val="0"/>
        </w:numPr>
        <w:jc w:val="both"/>
        <w:rPr>
          <w:rFonts w:hint="default" w:ascii="宋体" w:hAnsi="宋体" w:eastAsia="宋体" w:cs="Times New Roman"/>
          <w:b/>
          <w:lang w:val="en-US" w:eastAsia="zh-CN"/>
        </w:rPr>
      </w:pPr>
      <w:r>
        <w:rPr>
          <w:rFonts w:hint="eastAsia" w:ascii="宋体" w:hAnsi="宋体" w:eastAsia="宋体" w:cs="Times New Roman"/>
          <w:b/>
          <w:lang w:val="en-US" w:eastAsia="zh-CN"/>
        </w:rPr>
        <w:t>3.3  不足与展望</w:t>
      </w:r>
    </w:p>
    <w:p>
      <w:pPr>
        <w:ind w:firstLine="420" w:firstLineChars="2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在本次课程设计中，认为存在的不足之处有：</w:t>
      </w:r>
    </w:p>
    <w:p>
      <w:pPr>
        <w:numPr>
          <w:ilvl w:val="0"/>
          <w:numId w:val="0"/>
        </w:numPr>
        <w:ind w:firstLine="420" w:firstLineChars="200"/>
        <w:rPr>
          <w:rFonts w:hint="eastAsia" w:ascii="Times New Roman" w:hAnsi="Times New Roman" w:eastAsia="宋体" w:cs="Times New Roman"/>
          <w:lang w:val="en-US" w:eastAsia="zh-CN"/>
        </w:rPr>
      </w:pPr>
      <w:r>
        <w:rPr>
          <w:rFonts w:hint="eastAsia" w:cs="Times New Roman"/>
          <w:lang w:val="en-US" w:eastAsia="zh-CN"/>
        </w:rPr>
        <w:t>1、</w:t>
      </w:r>
      <w:r>
        <w:rPr>
          <w:rFonts w:hint="eastAsia" w:ascii="Times New Roman" w:hAnsi="Times New Roman" w:eastAsia="宋体" w:cs="Times New Roman"/>
          <w:lang w:val="en-US" w:eastAsia="zh-CN"/>
        </w:rPr>
        <w:t>选取的数据还不够全面，呈现的特征不是很具体，如：半导体行业与酿酒行业数据差距太大，导致半导体行业在折线图中表现的走向趋势不够明显</w:t>
      </w:r>
      <w:r>
        <w:rPr>
          <w:rFonts w:hint="eastAsia" w:cs="Times New Roman"/>
          <w:lang w:val="en-US" w:eastAsia="zh-CN"/>
        </w:rPr>
        <w:t>；</w:t>
      </w:r>
    </w:p>
    <w:p>
      <w:pPr>
        <w:numPr>
          <w:ilvl w:val="0"/>
          <w:numId w:val="0"/>
        </w:numPr>
        <w:ind w:firstLine="420" w:firstLineChars="200"/>
        <w:rPr>
          <w:rFonts w:hint="eastAsia" w:ascii="Times New Roman" w:hAnsi="Times New Roman" w:eastAsia="宋体" w:cs="Times New Roman"/>
          <w:lang w:val="en-US" w:eastAsia="zh-CN"/>
        </w:rPr>
      </w:pPr>
      <w:r>
        <w:rPr>
          <w:rFonts w:hint="eastAsia" w:cs="Times New Roman"/>
          <w:lang w:val="en-US" w:eastAsia="zh-CN"/>
        </w:rPr>
        <w:t>2、</w:t>
      </w:r>
      <w:r>
        <w:rPr>
          <w:rFonts w:hint="eastAsia" w:ascii="Times New Roman" w:hAnsi="Times New Roman" w:eastAsia="宋体" w:cs="Times New Roman"/>
          <w:lang w:val="en-US" w:eastAsia="zh-CN"/>
        </w:rPr>
        <w:t>选择的聚类特征少，呈现的聚类效果不太明显</w:t>
      </w:r>
      <w:r>
        <w:rPr>
          <w:rFonts w:hint="eastAsia" w:cs="Times New Roman"/>
          <w:lang w:val="en-US" w:eastAsia="zh-CN"/>
        </w:rPr>
        <w:t>；</w:t>
      </w:r>
    </w:p>
    <w:p>
      <w:pPr>
        <w:numPr>
          <w:ilvl w:val="0"/>
          <w:numId w:val="0"/>
        </w:numPr>
        <w:ind w:firstLine="420" w:firstLineChars="200"/>
        <w:rPr>
          <w:rFonts w:hint="eastAsia" w:cs="Times New Roman"/>
          <w:lang w:val="en-US" w:eastAsia="zh-CN"/>
        </w:rPr>
      </w:pPr>
      <w:r>
        <w:rPr>
          <w:rFonts w:hint="eastAsia" w:cs="Times New Roman"/>
          <w:lang w:val="en-US" w:eastAsia="zh-CN"/>
        </w:rPr>
        <w:t>3、由于选取的指标较少，个别类别的样本量较少，进行分类预测可能存在一定的问题；</w:t>
      </w:r>
    </w:p>
    <w:p>
      <w:pPr>
        <w:numPr>
          <w:ilvl w:val="0"/>
          <w:numId w:val="0"/>
        </w:numPr>
        <w:ind w:firstLine="420" w:firstLineChars="200"/>
        <w:rPr>
          <w:rFonts w:hint="default" w:cs="Times New Roman"/>
          <w:lang w:val="en-US" w:eastAsia="zh-CN"/>
        </w:rPr>
      </w:pPr>
      <w:r>
        <w:rPr>
          <w:rFonts w:hint="eastAsia" w:cs="Times New Roman"/>
          <w:lang w:val="en-US" w:eastAsia="zh-CN"/>
        </w:rPr>
        <w:t>4、pycharm中有关LSTM的软件包难以下载，LSTM实现转到matlab。</w:t>
      </w:r>
    </w:p>
    <w:p>
      <w:pPr>
        <w:numPr>
          <w:ilvl w:val="0"/>
          <w:numId w:val="0"/>
        </w:numPr>
        <w:ind w:firstLine="420" w:firstLineChars="200"/>
        <w:rPr>
          <w:rFonts w:hint="eastAsia" w:cs="Times New Roman"/>
          <w:lang w:val="en-US" w:eastAsia="zh-CN"/>
        </w:rPr>
      </w:pPr>
      <w:r>
        <w:rPr>
          <w:rFonts w:hint="eastAsia" w:cs="Times New Roman"/>
          <w:lang w:val="en-US" w:eastAsia="zh-CN"/>
        </w:rPr>
        <w:t>对未来的展望：</w:t>
      </w:r>
    </w:p>
    <w:p>
      <w:pPr>
        <w:numPr>
          <w:ilvl w:val="0"/>
          <w:numId w:val="0"/>
        </w:numPr>
        <w:ind w:firstLine="420" w:firstLineChars="200"/>
        <w:rPr>
          <w:rFonts w:hint="eastAsia" w:cs="Times New Roman"/>
          <w:lang w:val="en-US" w:eastAsia="zh-CN"/>
        </w:rPr>
      </w:pPr>
      <w:r>
        <w:rPr>
          <w:rFonts w:hint="eastAsia" w:cs="Times New Roman"/>
          <w:lang w:val="en-US" w:eastAsia="zh-CN"/>
        </w:rPr>
        <w:t>1、增强个人的编程能力，并且对编程软件能够熟练的运用；</w:t>
      </w:r>
    </w:p>
    <w:p>
      <w:pPr>
        <w:numPr>
          <w:ilvl w:val="0"/>
          <w:numId w:val="0"/>
        </w:numPr>
        <w:ind w:firstLine="420" w:firstLineChars="200"/>
        <w:rPr>
          <w:rFonts w:hint="eastAsia" w:ascii="宋体" w:hAnsi="宋体"/>
          <w:bCs/>
          <w:color w:val="00B0F0"/>
          <w:szCs w:val="20"/>
        </w:rPr>
      </w:pPr>
      <w:r>
        <w:rPr>
          <w:rFonts w:hint="eastAsia" w:cs="Times New Roman"/>
          <w:lang w:val="en-US" w:eastAsia="zh-CN"/>
        </w:rPr>
        <w:t>2、掌握更多的算法，了解其逻辑，能够进行方法融合使用；</w:t>
      </w:r>
    </w:p>
    <w:p>
      <w:pPr>
        <w:ind w:firstLine="360" w:firstLineChars="200"/>
        <w:rPr>
          <w:rFonts w:hint="eastAsia" w:ascii="楷体" w:hAnsi="楷体" w:eastAsia="楷体"/>
          <w:sz w:val="18"/>
          <w:szCs w:val="18"/>
          <w:lang w:val="en-US" w:eastAsia="zh-CN"/>
        </w:rPr>
      </w:pPr>
      <w:r>
        <w:rPr>
          <w:rFonts w:hint="eastAsia" w:ascii="黑体" w:hAnsi="黑体" w:eastAsia="黑体"/>
          <w:bCs/>
          <w:color w:val="000000"/>
          <w:sz w:val="18"/>
          <w:szCs w:val="18"/>
        </w:rPr>
        <w:t xml:space="preserve">致 谢 </w:t>
      </w:r>
      <w:r>
        <w:rPr>
          <w:rFonts w:ascii="楷体" w:hAnsi="楷体" w:eastAsia="楷体"/>
          <w:sz w:val="18"/>
          <w:szCs w:val="18"/>
        </w:rPr>
        <w:t>此次</w:t>
      </w:r>
      <w:r>
        <w:rPr>
          <w:rFonts w:hint="eastAsia" w:ascii="楷体" w:hAnsi="楷体" w:eastAsia="楷体"/>
          <w:sz w:val="18"/>
          <w:szCs w:val="18"/>
          <w:lang w:val="en-US" w:eastAsia="zh-CN"/>
        </w:rPr>
        <w:t>课程设计地完成，在b站上浏览了大量视频进行学习，在此衷心地感谢b站上发布教学视频的up主们！</w:t>
      </w:r>
    </w:p>
    <w:p>
      <w:pPr>
        <w:ind w:firstLine="360" w:firstLineChars="200"/>
        <w:rPr>
          <w:rFonts w:hint="eastAsia" w:ascii="楷体" w:hAnsi="楷体" w:eastAsia="楷体"/>
          <w:sz w:val="18"/>
          <w:szCs w:val="18"/>
          <w:lang w:val="en-US" w:eastAsia="zh-CN"/>
        </w:rPr>
      </w:pPr>
    </w:p>
    <w:p>
      <w:pPr>
        <w:ind w:firstLine="420" w:firstLineChars="200"/>
        <w:rPr>
          <w:rFonts w:hAnsi="黑体" w:eastAsia="黑体"/>
          <w:bCs w:val="0"/>
          <w:sz w:val="21"/>
        </w:rPr>
      </w:pPr>
    </w:p>
    <w:p>
      <w:pPr>
        <w:ind w:firstLine="420" w:firstLineChars="200"/>
        <w:rPr>
          <w:rFonts w:hAnsi="黑体" w:eastAsia="黑体"/>
          <w:bCs w:val="0"/>
          <w:sz w:val="21"/>
        </w:rPr>
      </w:pPr>
    </w:p>
    <w:p>
      <w:pPr>
        <w:ind w:firstLine="420" w:firstLineChars="200"/>
        <w:rPr>
          <w:rFonts w:hAnsi="黑体" w:eastAsia="黑体"/>
          <w:bCs w:val="0"/>
          <w:sz w:val="21"/>
        </w:rPr>
      </w:pPr>
    </w:p>
    <w:p>
      <w:pPr>
        <w:ind w:firstLine="420" w:firstLineChars="200"/>
        <w:rPr>
          <w:rFonts w:hAnsi="黑体" w:eastAsia="黑体"/>
          <w:bCs w:val="0"/>
          <w:sz w:val="21"/>
        </w:rPr>
      </w:pPr>
    </w:p>
    <w:p>
      <w:pPr>
        <w:ind w:firstLine="420" w:firstLineChars="200"/>
        <w:rPr>
          <w:bCs w:val="0"/>
          <w:sz w:val="21"/>
        </w:rPr>
      </w:pPr>
      <w:r>
        <w:rPr>
          <w:rFonts w:hAnsi="黑体" w:eastAsia="黑体"/>
          <w:bCs w:val="0"/>
          <w:sz w:val="21"/>
        </w:rPr>
        <w:t>参考文献</w:t>
      </w:r>
      <w:r>
        <w:rPr>
          <w:rFonts w:eastAsia="黑体"/>
          <w:bCs w:val="0"/>
          <w:sz w:val="21"/>
        </w:rPr>
        <w:t>(</w:t>
      </w:r>
      <w:r>
        <w:rPr>
          <w:b w:val="0"/>
          <w:bCs w:val="0"/>
          <w:sz w:val="21"/>
        </w:rPr>
        <w:t>References</w:t>
      </w:r>
      <w:r>
        <w:rPr>
          <w:bCs w:val="0"/>
          <w:sz w:val="21"/>
        </w:rPr>
        <w:t>)</w:t>
      </w:r>
    </w:p>
    <w:p>
      <w:pPr>
        <w:numPr>
          <w:ilvl w:val="0"/>
          <w:numId w:val="3"/>
        </w:numPr>
        <w:ind w:firstLine="168" w:firstLineChars="100"/>
        <w:rPr>
          <w:rFonts w:hint="eastAsia"/>
        </w:rPr>
      </w:pPr>
      <w:r>
        <w:rPr>
          <w:rFonts w:ascii="Times New Roman" w:hAnsi="Times New Roman" w:eastAsia="宋体" w:cs="Times New Roman"/>
          <w:spacing w:val="4"/>
          <w:kern w:val="2"/>
          <w:sz w:val="16"/>
          <w:szCs w:val="21"/>
          <w:lang w:val="en-US" w:eastAsia="zh-CN" w:bidi="ar-SA"/>
        </w:rPr>
        <w:t>李浩,赵青,崔辰州,等.基于CNN与LSTM复合深度模型的恒星光谱分类算法[J].光谱学与光谱分析,2024,44(06):1668-1675.</w:t>
      </w:r>
    </w:p>
    <w:p>
      <w:pPr>
        <w:numPr>
          <w:ilvl w:val="0"/>
          <w:numId w:val="3"/>
        </w:numPr>
        <w:ind w:firstLine="168" w:firstLineChars="100"/>
        <w:rPr>
          <w:rFonts w:hint="eastAsia"/>
        </w:rPr>
      </w:pPr>
      <w:r>
        <w:rPr>
          <w:rFonts w:ascii="Times New Roman" w:hAnsi="Times New Roman" w:eastAsia="宋体" w:cs="Times New Roman"/>
          <w:spacing w:val="4"/>
          <w:kern w:val="2"/>
          <w:sz w:val="16"/>
          <w:szCs w:val="21"/>
          <w:lang w:val="en-US" w:eastAsia="zh-CN" w:bidi="ar-SA"/>
        </w:rPr>
        <w:t>林美,梁艳洁,陆彬.基于K-means与GRNN的高原山区高速公路短时交通流预测[J].交通节能与环保,2024,20(02):67-73.马培梁.</w:t>
      </w:r>
    </w:p>
    <w:p>
      <w:pPr>
        <w:numPr>
          <w:ilvl w:val="0"/>
          <w:numId w:val="3"/>
        </w:numPr>
        <w:ind w:firstLine="168" w:firstLineChars="100"/>
        <w:rPr>
          <w:rFonts w:hint="eastAsia"/>
        </w:rPr>
      </w:pPr>
      <w:r>
        <w:rPr>
          <w:rFonts w:ascii="Times New Roman" w:hAnsi="Times New Roman" w:eastAsia="宋体" w:cs="Times New Roman"/>
          <w:spacing w:val="4"/>
          <w:kern w:val="2"/>
          <w:sz w:val="16"/>
          <w:szCs w:val="21"/>
          <w:lang w:val="en-US" w:eastAsia="zh-CN" w:bidi="ar-SA"/>
        </w:rPr>
        <w:t>基于K-means算法的数据挖掘与客户细分研究[J].市场研究,2019,(11):66-67.DOI:10.13999/j.cnki.scyj.2019.11.024.刘盼.</w:t>
      </w:r>
    </w:p>
    <w:p>
      <w:pPr>
        <w:numPr>
          <w:ilvl w:val="0"/>
          <w:numId w:val="3"/>
        </w:numPr>
        <w:ind w:firstLine="168" w:firstLineChars="100"/>
        <w:rPr>
          <w:rFonts w:hint="eastAsia"/>
        </w:rPr>
      </w:pPr>
      <w:r>
        <w:rPr>
          <w:rFonts w:ascii="Times New Roman" w:hAnsi="Times New Roman" w:eastAsia="宋体" w:cs="Times New Roman"/>
          <w:spacing w:val="4"/>
          <w:kern w:val="2"/>
          <w:sz w:val="16"/>
          <w:szCs w:val="21"/>
          <w:lang w:val="en-US" w:eastAsia="zh-CN" w:bidi="ar-SA"/>
        </w:rPr>
        <w:t>考虑动静态影响因素的电芯分选研究[J].中国集体经济,2021,(31):160-162.</w:t>
      </w:r>
      <w:bookmarkStart w:id="2" w:name="_GoBack"/>
      <w:bookmarkEnd w:id="2"/>
    </w:p>
    <w:sectPr>
      <w:headerReference r:id="rId3" w:type="default"/>
      <w:pgSz w:w="11906" w:h="16838"/>
      <w:pgMar w:top="720" w:right="720" w:bottom="720" w:left="72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方正书宋简体">
    <w:altName w:val="微软雅黑"/>
    <w:panose1 w:val="00000000000000000000"/>
    <w:charset w:val="86"/>
    <w:family w:val="auto"/>
    <w:pitch w:val="default"/>
    <w:sig w:usb0="00000000" w:usb1="00000000" w:usb2="00000010" w:usb3="00000000" w:csb0="00040000"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PingFang-SC-Regular">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wordWrap w:val="0"/>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AB0821"/>
    <w:multiLevelType w:val="singleLevel"/>
    <w:tmpl w:val="CFAB0821"/>
    <w:lvl w:ilvl="0" w:tentative="0">
      <w:start w:val="1"/>
      <w:numFmt w:val="decimal"/>
      <w:lvlText w:val="[%1]"/>
      <w:lvlJc w:val="left"/>
      <w:pPr>
        <w:tabs>
          <w:tab w:val="left" w:pos="312"/>
        </w:tabs>
      </w:pPr>
    </w:lvl>
  </w:abstractNum>
  <w:abstractNum w:abstractNumId="1">
    <w:nsid w:val="05891795"/>
    <w:multiLevelType w:val="multilevel"/>
    <w:tmpl w:val="05891795"/>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b/>
        <w:bCs/>
        <w:color w:val="000000" w:themeColor="text1"/>
        <w14:textFill>
          <w14:solidFill>
            <w14:schemeClr w14:val="tx1"/>
          </w14:solidFill>
        </w14:textFill>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6F1D6A21"/>
    <w:multiLevelType w:val="singleLevel"/>
    <w:tmpl w:val="6F1D6A21"/>
    <w:lvl w:ilvl="0" w:tentative="0">
      <w:start w:val="1"/>
      <w:numFmt w:val="decimal"/>
      <w:pStyle w:val="6"/>
      <w:lvlText w:val="%1"/>
      <w:lvlJc w:val="left"/>
      <w:pPr>
        <w:tabs>
          <w:tab w:val="left" w:pos="227"/>
        </w:tabs>
        <w:ind w:left="227" w:hanging="227"/>
      </w:pPr>
      <w:rPr>
        <w:rFonts w:hint="default" w:ascii="Times New Roman" w:hAnsi="Times New Roman"/>
        <w:sz w:val="15"/>
        <w:szCs w:val="15"/>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jMWZmNDJmMzA0ZDA4OTc2ZDE1MTcxNjNhMDU4YWYifQ=="/>
  </w:docVars>
  <w:rsids>
    <w:rsidRoot w:val="00ED36DD"/>
    <w:rsid w:val="000018BA"/>
    <w:rsid w:val="000106A8"/>
    <w:rsid w:val="000757D0"/>
    <w:rsid w:val="00090FE4"/>
    <w:rsid w:val="00097F2D"/>
    <w:rsid w:val="000C68CB"/>
    <w:rsid w:val="000E3532"/>
    <w:rsid w:val="00127DCF"/>
    <w:rsid w:val="00166274"/>
    <w:rsid w:val="00190982"/>
    <w:rsid w:val="001B3B40"/>
    <w:rsid w:val="001C2613"/>
    <w:rsid w:val="001C2EDE"/>
    <w:rsid w:val="001C2FF2"/>
    <w:rsid w:val="001C558C"/>
    <w:rsid w:val="001D1B52"/>
    <w:rsid w:val="001F01E4"/>
    <w:rsid w:val="001F247C"/>
    <w:rsid w:val="001F309E"/>
    <w:rsid w:val="0022175A"/>
    <w:rsid w:val="00222021"/>
    <w:rsid w:val="002269B7"/>
    <w:rsid w:val="00245E28"/>
    <w:rsid w:val="00247397"/>
    <w:rsid w:val="00252262"/>
    <w:rsid w:val="002547E7"/>
    <w:rsid w:val="0026759A"/>
    <w:rsid w:val="00270B0D"/>
    <w:rsid w:val="002C37D0"/>
    <w:rsid w:val="002C3DA5"/>
    <w:rsid w:val="002F40B8"/>
    <w:rsid w:val="00305D8B"/>
    <w:rsid w:val="00312C96"/>
    <w:rsid w:val="00334B19"/>
    <w:rsid w:val="00343578"/>
    <w:rsid w:val="00365BD2"/>
    <w:rsid w:val="00365DCE"/>
    <w:rsid w:val="00376D4C"/>
    <w:rsid w:val="0038340A"/>
    <w:rsid w:val="003927DD"/>
    <w:rsid w:val="00396508"/>
    <w:rsid w:val="003A55EF"/>
    <w:rsid w:val="003C474F"/>
    <w:rsid w:val="003C685D"/>
    <w:rsid w:val="00411688"/>
    <w:rsid w:val="0041234A"/>
    <w:rsid w:val="0044615B"/>
    <w:rsid w:val="004461C6"/>
    <w:rsid w:val="004607B0"/>
    <w:rsid w:val="004842F4"/>
    <w:rsid w:val="004A0955"/>
    <w:rsid w:val="004C16CF"/>
    <w:rsid w:val="004C3BFA"/>
    <w:rsid w:val="004C6E72"/>
    <w:rsid w:val="004E3E55"/>
    <w:rsid w:val="004F3772"/>
    <w:rsid w:val="005055B9"/>
    <w:rsid w:val="005135AF"/>
    <w:rsid w:val="00514887"/>
    <w:rsid w:val="00531C17"/>
    <w:rsid w:val="00544843"/>
    <w:rsid w:val="00562B33"/>
    <w:rsid w:val="00565132"/>
    <w:rsid w:val="00565AC7"/>
    <w:rsid w:val="0057112C"/>
    <w:rsid w:val="00575264"/>
    <w:rsid w:val="00575C58"/>
    <w:rsid w:val="00575EE8"/>
    <w:rsid w:val="00592A8A"/>
    <w:rsid w:val="00597510"/>
    <w:rsid w:val="005C208A"/>
    <w:rsid w:val="005D626A"/>
    <w:rsid w:val="00644F55"/>
    <w:rsid w:val="00645194"/>
    <w:rsid w:val="00662955"/>
    <w:rsid w:val="006824AB"/>
    <w:rsid w:val="00695521"/>
    <w:rsid w:val="006A290A"/>
    <w:rsid w:val="006A45F2"/>
    <w:rsid w:val="006B2C84"/>
    <w:rsid w:val="006C4517"/>
    <w:rsid w:val="006F40DE"/>
    <w:rsid w:val="006F6ECE"/>
    <w:rsid w:val="0071249D"/>
    <w:rsid w:val="0071395A"/>
    <w:rsid w:val="0071477C"/>
    <w:rsid w:val="0071663A"/>
    <w:rsid w:val="00722ABD"/>
    <w:rsid w:val="00763D58"/>
    <w:rsid w:val="0078057D"/>
    <w:rsid w:val="00780CF5"/>
    <w:rsid w:val="007823CB"/>
    <w:rsid w:val="0078403A"/>
    <w:rsid w:val="007B3EC9"/>
    <w:rsid w:val="007B605A"/>
    <w:rsid w:val="007B61A2"/>
    <w:rsid w:val="007D0E19"/>
    <w:rsid w:val="007D13A9"/>
    <w:rsid w:val="007E2DD7"/>
    <w:rsid w:val="007F45A8"/>
    <w:rsid w:val="008070A1"/>
    <w:rsid w:val="00816754"/>
    <w:rsid w:val="0085096C"/>
    <w:rsid w:val="008536E0"/>
    <w:rsid w:val="00862BBD"/>
    <w:rsid w:val="008673D4"/>
    <w:rsid w:val="00870B12"/>
    <w:rsid w:val="00870F11"/>
    <w:rsid w:val="008A6747"/>
    <w:rsid w:val="008C39F1"/>
    <w:rsid w:val="008D2921"/>
    <w:rsid w:val="008D3B9B"/>
    <w:rsid w:val="008D453C"/>
    <w:rsid w:val="008D4C63"/>
    <w:rsid w:val="008E00ED"/>
    <w:rsid w:val="008E2EDD"/>
    <w:rsid w:val="00903BC9"/>
    <w:rsid w:val="00905881"/>
    <w:rsid w:val="00924D96"/>
    <w:rsid w:val="009434B3"/>
    <w:rsid w:val="009759E3"/>
    <w:rsid w:val="009951FF"/>
    <w:rsid w:val="00996817"/>
    <w:rsid w:val="009B572A"/>
    <w:rsid w:val="009B6A0A"/>
    <w:rsid w:val="009C42D0"/>
    <w:rsid w:val="009E06DE"/>
    <w:rsid w:val="009F48AF"/>
    <w:rsid w:val="009F742A"/>
    <w:rsid w:val="00A006DB"/>
    <w:rsid w:val="00A21051"/>
    <w:rsid w:val="00A32714"/>
    <w:rsid w:val="00A34F69"/>
    <w:rsid w:val="00A574CB"/>
    <w:rsid w:val="00A71258"/>
    <w:rsid w:val="00A82B5F"/>
    <w:rsid w:val="00AA1ABA"/>
    <w:rsid w:val="00AB2A86"/>
    <w:rsid w:val="00AE38EA"/>
    <w:rsid w:val="00B10F3C"/>
    <w:rsid w:val="00B15BEE"/>
    <w:rsid w:val="00B35379"/>
    <w:rsid w:val="00B35B91"/>
    <w:rsid w:val="00B4118E"/>
    <w:rsid w:val="00B46CFF"/>
    <w:rsid w:val="00B52ED5"/>
    <w:rsid w:val="00B61C6B"/>
    <w:rsid w:val="00B86C80"/>
    <w:rsid w:val="00B94F6F"/>
    <w:rsid w:val="00BB17EA"/>
    <w:rsid w:val="00BD2A80"/>
    <w:rsid w:val="00BE4EE9"/>
    <w:rsid w:val="00BF2258"/>
    <w:rsid w:val="00C0707C"/>
    <w:rsid w:val="00C07709"/>
    <w:rsid w:val="00C362A2"/>
    <w:rsid w:val="00C37384"/>
    <w:rsid w:val="00C50B38"/>
    <w:rsid w:val="00C52254"/>
    <w:rsid w:val="00C76226"/>
    <w:rsid w:val="00C80E00"/>
    <w:rsid w:val="00C91AB2"/>
    <w:rsid w:val="00C91BDA"/>
    <w:rsid w:val="00C95BAE"/>
    <w:rsid w:val="00C97F44"/>
    <w:rsid w:val="00CA5F80"/>
    <w:rsid w:val="00CC467B"/>
    <w:rsid w:val="00CD36C2"/>
    <w:rsid w:val="00CF0CCE"/>
    <w:rsid w:val="00CF3E92"/>
    <w:rsid w:val="00D0028C"/>
    <w:rsid w:val="00D10154"/>
    <w:rsid w:val="00D349C2"/>
    <w:rsid w:val="00D566D6"/>
    <w:rsid w:val="00D5695C"/>
    <w:rsid w:val="00D60FAD"/>
    <w:rsid w:val="00D67EDE"/>
    <w:rsid w:val="00D808CC"/>
    <w:rsid w:val="00D90825"/>
    <w:rsid w:val="00D954F6"/>
    <w:rsid w:val="00DC2FFE"/>
    <w:rsid w:val="00DC5649"/>
    <w:rsid w:val="00DD30E2"/>
    <w:rsid w:val="00DD74BA"/>
    <w:rsid w:val="00E51AF8"/>
    <w:rsid w:val="00E52565"/>
    <w:rsid w:val="00E64E20"/>
    <w:rsid w:val="00E93318"/>
    <w:rsid w:val="00EA3DDF"/>
    <w:rsid w:val="00EA4709"/>
    <w:rsid w:val="00EA639C"/>
    <w:rsid w:val="00EB1703"/>
    <w:rsid w:val="00ED36DD"/>
    <w:rsid w:val="00EF43B0"/>
    <w:rsid w:val="00F104CC"/>
    <w:rsid w:val="00F14777"/>
    <w:rsid w:val="00F1769E"/>
    <w:rsid w:val="00F27D2B"/>
    <w:rsid w:val="00F40547"/>
    <w:rsid w:val="00F800BF"/>
    <w:rsid w:val="00FC7436"/>
    <w:rsid w:val="00FE1906"/>
    <w:rsid w:val="1D864862"/>
    <w:rsid w:val="1E921B58"/>
    <w:rsid w:val="205F7773"/>
    <w:rsid w:val="270F0B95"/>
    <w:rsid w:val="2A676BE0"/>
    <w:rsid w:val="421E5D13"/>
    <w:rsid w:val="468462CB"/>
    <w:rsid w:val="4F2A68EE"/>
    <w:rsid w:val="50F8196B"/>
    <w:rsid w:val="61C13AE7"/>
    <w:rsid w:val="68496112"/>
    <w:rsid w:val="6A551ED5"/>
    <w:rsid w:val="71F96A05"/>
    <w:rsid w:val="7CDE4D7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name="Normal Indent"/>
    <w:lsdException w:uiPriority="99" w:name="footnote text"/>
    <w:lsdException w:qFormat="1" w:unhideWhenUsed="0" w:uiPriority="0" w:name="annotation text"/>
    <w:lsdException w:uiPriority="0" w:semiHidden="0" w:name="header"/>
    <w:lsdException w:qFormat="1" w:uiPriority="0" w:semiHidden="0" w:name="footer"/>
    <w:lsdException w:uiPriority="99" w:name="index heading"/>
    <w:lsdException w:qFormat="1" w:uiPriority="35" w:name="caption"/>
    <w:lsdException w:unhideWhenUsed="0" w:uiPriority="0" w:name="table of figures"/>
    <w:lsdException w:uiPriority="99" w:name="envelope address"/>
    <w:lsdException w:uiPriority="99" w:name="envelope return"/>
    <w:lsdException w:uiPriority="99" w:name="footnote reference"/>
    <w:lsdException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keepNext/>
      <w:autoSpaceDE w:val="0"/>
      <w:autoSpaceDN w:val="0"/>
      <w:adjustRightInd w:val="0"/>
      <w:spacing w:line="720" w:lineRule="auto"/>
      <w:outlineLvl w:val="0"/>
    </w:pPr>
    <w:rPr>
      <w:rFonts w:eastAsia="黑体"/>
      <w:b/>
      <w:bCs/>
      <w:sz w:val="28"/>
    </w:rPr>
  </w:style>
  <w:style w:type="paragraph" w:styleId="3">
    <w:name w:val="heading 2"/>
    <w:basedOn w:val="1"/>
    <w:next w:val="1"/>
    <w:link w:val="21"/>
    <w:qFormat/>
    <w:uiPriority w:val="0"/>
    <w:pPr>
      <w:keepNext/>
      <w:keepLines/>
      <w:spacing w:before="260" w:after="260"/>
      <w:outlineLvl w:val="1"/>
    </w:pPr>
    <w:rPr>
      <w:rFonts w:eastAsia="黑体"/>
      <w:b/>
      <w:bCs/>
      <w:szCs w:val="32"/>
    </w:rPr>
  </w:style>
  <w:style w:type="paragraph" w:styleId="4">
    <w:name w:val="heading 3"/>
    <w:basedOn w:val="1"/>
    <w:next w:val="1"/>
    <w:link w:val="22"/>
    <w:autoRedefine/>
    <w:qFormat/>
    <w:uiPriority w:val="0"/>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等线 Light" w:hAnsi="等线 Light" w:eastAsia="等线 Light"/>
      <w:b/>
      <w:bCs/>
      <w:sz w:val="28"/>
      <w:szCs w:val="28"/>
    </w:rPr>
  </w:style>
  <w:style w:type="character" w:default="1" w:styleId="16">
    <w:name w:val="Default Paragraph Font"/>
    <w:autoRedefine/>
    <w:semiHidden/>
    <w:qFormat/>
    <w:uiPriority w:val="0"/>
  </w:style>
  <w:style w:type="table" w:default="1" w:styleId="14">
    <w:name w:val="Normal Table"/>
    <w:unhideWhenUsed/>
    <w:uiPriority w:val="99"/>
    <w:tblPr>
      <w:tblCellMar>
        <w:top w:w="0" w:type="dxa"/>
        <w:left w:w="108" w:type="dxa"/>
        <w:bottom w:w="0" w:type="dxa"/>
        <w:right w:w="108" w:type="dxa"/>
      </w:tblCellMar>
    </w:tblPr>
  </w:style>
  <w:style w:type="paragraph" w:styleId="6">
    <w:name w:val="Normal Indent"/>
    <w:basedOn w:val="1"/>
    <w:semiHidden/>
    <w:uiPriority w:val="0"/>
    <w:pPr>
      <w:numPr>
        <w:ilvl w:val="0"/>
        <w:numId w:val="1"/>
      </w:numPr>
      <w:snapToGrid w:val="0"/>
      <w:spacing w:line="312" w:lineRule="auto"/>
    </w:pPr>
    <w:rPr>
      <w:sz w:val="20"/>
      <w:szCs w:val="20"/>
    </w:rPr>
  </w:style>
  <w:style w:type="paragraph" w:styleId="7">
    <w:name w:val="annotation text"/>
    <w:basedOn w:val="1"/>
    <w:link w:val="24"/>
    <w:autoRedefine/>
    <w:semiHidden/>
    <w:qFormat/>
    <w:uiPriority w:val="0"/>
    <w:pPr>
      <w:jc w:val="left"/>
    </w:pPr>
  </w:style>
  <w:style w:type="paragraph" w:styleId="8">
    <w:name w:val="Balloon Text"/>
    <w:basedOn w:val="1"/>
    <w:autoRedefine/>
    <w:semiHidden/>
    <w:qFormat/>
    <w:uiPriority w:val="0"/>
    <w:rPr>
      <w:sz w:val="18"/>
      <w:szCs w:val="18"/>
    </w:rPr>
  </w:style>
  <w:style w:type="paragraph" w:styleId="9">
    <w:name w:val="footer"/>
    <w:basedOn w:val="1"/>
    <w:link w:val="25"/>
    <w:autoRedefine/>
    <w:unhideWhenUsed/>
    <w:qFormat/>
    <w:uiPriority w:val="0"/>
    <w:pPr>
      <w:tabs>
        <w:tab w:val="center" w:pos="4153"/>
        <w:tab w:val="right" w:pos="8306"/>
      </w:tabs>
      <w:snapToGrid w:val="0"/>
      <w:jc w:val="left"/>
    </w:pPr>
    <w:rPr>
      <w:sz w:val="18"/>
      <w:szCs w:val="18"/>
    </w:rPr>
  </w:style>
  <w:style w:type="paragraph" w:styleId="10">
    <w:name w:val="header"/>
    <w:basedOn w:val="1"/>
    <w:unhideWhenUsed/>
    <w:uiPriority w:val="0"/>
    <w:pPr>
      <w:pBdr>
        <w:bottom w:val="single" w:color="auto" w:sz="6" w:space="1"/>
      </w:pBdr>
      <w:tabs>
        <w:tab w:val="center" w:pos="4153"/>
        <w:tab w:val="right" w:pos="8306"/>
      </w:tabs>
      <w:snapToGrid w:val="0"/>
      <w:jc w:val="center"/>
    </w:pPr>
    <w:rPr>
      <w:sz w:val="18"/>
      <w:szCs w:val="18"/>
    </w:rPr>
  </w:style>
  <w:style w:type="paragraph" w:styleId="11">
    <w:name w:val="table of figures"/>
    <w:basedOn w:val="1"/>
    <w:next w:val="1"/>
    <w:semiHidden/>
    <w:uiPriority w:val="0"/>
    <w:pPr>
      <w:snapToGrid w:val="0"/>
      <w:spacing w:line="250" w:lineRule="exact"/>
      <w:ind w:left="340" w:hanging="340"/>
    </w:pPr>
    <w:rPr>
      <w:rFonts w:eastAsia="方正书宋简体"/>
      <w:spacing w:val="4"/>
      <w:sz w:val="16"/>
      <w:szCs w:val="21"/>
    </w:rPr>
  </w:style>
  <w:style w:type="paragraph" w:styleId="12">
    <w:name w:val="Normal (Web)"/>
    <w:basedOn w:val="1"/>
    <w:unhideWhenUsed/>
    <w:uiPriority w:val="0"/>
    <w:pPr>
      <w:widowControl/>
      <w:spacing w:before="100" w:beforeAutospacing="1" w:after="100" w:afterAutospacing="1"/>
      <w:jc w:val="left"/>
    </w:pPr>
    <w:rPr>
      <w:rFonts w:ascii="宋体" w:hAnsi="宋体" w:cs="宋体"/>
      <w:kern w:val="0"/>
      <w:sz w:val="24"/>
    </w:rPr>
  </w:style>
  <w:style w:type="paragraph" w:styleId="13">
    <w:name w:val="annotation subject"/>
    <w:basedOn w:val="7"/>
    <w:next w:val="7"/>
    <w:semiHidden/>
    <w:uiPriority w:val="0"/>
    <w:rPr>
      <w:b/>
      <w:bCs/>
    </w:rPr>
  </w:style>
  <w:style w:type="table" w:styleId="15">
    <w:name w:val="Table Grid"/>
    <w:basedOn w:val="14"/>
    <w:uiPriority w:val="0"/>
    <w:pPr>
      <w:widowControl w:val="0"/>
      <w:jc w:val="both"/>
    </w:pPr>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rPr>
  </w:style>
  <w:style w:type="character" w:styleId="18">
    <w:name w:val="Hyperlink"/>
    <w:basedOn w:val="16"/>
    <w:unhideWhenUsed/>
    <w:uiPriority w:val="99"/>
    <w:rPr>
      <w:color w:val="0000FF"/>
      <w:u w:val="single"/>
    </w:rPr>
  </w:style>
  <w:style w:type="character" w:styleId="19">
    <w:name w:val="annotation reference"/>
    <w:semiHidden/>
    <w:uiPriority w:val="0"/>
    <w:rPr>
      <w:sz w:val="21"/>
      <w:szCs w:val="21"/>
    </w:rPr>
  </w:style>
  <w:style w:type="character" w:customStyle="1" w:styleId="20">
    <w:name w:val="标题 1 Char"/>
    <w:link w:val="2"/>
    <w:uiPriority w:val="0"/>
    <w:rPr>
      <w:rFonts w:eastAsia="黑体"/>
      <w:b/>
      <w:bCs/>
      <w:kern w:val="2"/>
      <w:sz w:val="28"/>
      <w:szCs w:val="24"/>
    </w:rPr>
  </w:style>
  <w:style w:type="character" w:customStyle="1" w:styleId="21">
    <w:name w:val="标题 2 Char"/>
    <w:link w:val="3"/>
    <w:uiPriority w:val="0"/>
    <w:rPr>
      <w:rFonts w:eastAsia="黑体"/>
      <w:b/>
      <w:bCs/>
      <w:kern w:val="2"/>
      <w:sz w:val="21"/>
      <w:szCs w:val="32"/>
    </w:rPr>
  </w:style>
  <w:style w:type="character" w:customStyle="1" w:styleId="22">
    <w:name w:val="标题 3 Char"/>
    <w:link w:val="4"/>
    <w:autoRedefine/>
    <w:qFormat/>
    <w:uiPriority w:val="0"/>
    <w:rPr>
      <w:b/>
      <w:bCs/>
      <w:kern w:val="2"/>
      <w:sz w:val="32"/>
      <w:szCs w:val="32"/>
    </w:rPr>
  </w:style>
  <w:style w:type="character" w:customStyle="1" w:styleId="23">
    <w:name w:val="标题 4 字符"/>
    <w:link w:val="5"/>
    <w:uiPriority w:val="9"/>
    <w:rPr>
      <w:rFonts w:ascii="等线 Light" w:hAnsi="等线 Light" w:eastAsia="等线 Light" w:cs="Times New Roman"/>
      <w:b/>
      <w:bCs/>
      <w:kern w:val="2"/>
      <w:sz w:val="28"/>
      <w:szCs w:val="28"/>
    </w:rPr>
  </w:style>
  <w:style w:type="character" w:customStyle="1" w:styleId="24">
    <w:name w:val="批注文字 字符"/>
    <w:link w:val="7"/>
    <w:semiHidden/>
    <w:uiPriority w:val="0"/>
    <w:rPr>
      <w:kern w:val="2"/>
      <w:sz w:val="21"/>
      <w:szCs w:val="24"/>
    </w:rPr>
  </w:style>
  <w:style w:type="character" w:customStyle="1" w:styleId="25">
    <w:name w:val="页脚 字符"/>
    <w:link w:val="9"/>
    <w:uiPriority w:val="0"/>
    <w:rPr>
      <w:kern w:val="2"/>
      <w:sz w:val="18"/>
      <w:szCs w:val="18"/>
    </w:rPr>
  </w:style>
  <w:style w:type="character" w:customStyle="1" w:styleId="26">
    <w:name w:val="页眉 Char"/>
    <w:semiHidden/>
    <w:uiPriority w:val="0"/>
    <w:rPr>
      <w:kern w:val="2"/>
      <w:sz w:val="18"/>
      <w:szCs w:val="18"/>
    </w:rPr>
  </w:style>
  <w:style w:type="character" w:customStyle="1" w:styleId="27">
    <w:name w:val="页脚 Char"/>
    <w:autoRedefine/>
    <w:semiHidden/>
    <w:qFormat/>
    <w:uiPriority w:val="0"/>
    <w:rPr>
      <w:kern w:val="2"/>
      <w:sz w:val="18"/>
      <w:szCs w:val="18"/>
    </w:rPr>
  </w:style>
  <w:style w:type="paragraph" w:customStyle="1" w:styleId="28">
    <w:name w:val="1 Char"/>
    <w:basedOn w:val="1"/>
    <w:autoRedefine/>
    <w:uiPriority w:val="0"/>
    <w:pPr>
      <w:widowControl/>
      <w:spacing w:after="160" w:line="240" w:lineRule="exact"/>
      <w:jc w:val="left"/>
    </w:pPr>
    <w:rPr>
      <w:szCs w:val="20"/>
    </w:rPr>
  </w:style>
  <w:style w:type="character" w:customStyle="1" w:styleId="29">
    <w:name w:val="english-title1"/>
    <w:autoRedefine/>
    <w:uiPriority w:val="0"/>
    <w:rPr>
      <w:rFonts w:hint="default" w:ascii="Arial" w:hAnsi="Arial" w:cs="Arial"/>
      <w:b/>
      <w:bCs/>
      <w:color w:val="999999"/>
      <w:sz w:val="24"/>
      <w:szCs w:val="24"/>
    </w:rPr>
  </w:style>
  <w:style w:type="paragraph" w:customStyle="1" w:styleId="30">
    <w:name w:val="msonormal"/>
    <w:basedOn w:val="1"/>
    <w:autoRedefine/>
    <w:uiPriority w:val="0"/>
    <w:pPr>
      <w:widowControl/>
      <w:spacing w:before="100" w:beforeAutospacing="1" w:after="100" w:afterAutospacing="1"/>
      <w:jc w:val="left"/>
    </w:pPr>
    <w:rPr>
      <w:rFonts w:ascii="宋体" w:hAnsi="宋体" w:cs="宋体"/>
      <w:kern w:val="0"/>
      <w:sz w:val="24"/>
    </w:rPr>
  </w:style>
  <w:style w:type="character" w:customStyle="1" w:styleId="31">
    <w:name w:val="hljs-keyword"/>
    <w:uiPriority w:val="0"/>
  </w:style>
  <w:style w:type="character" w:customStyle="1" w:styleId="32">
    <w:name w:val="hljs-comment"/>
    <w:uiPriority w:val="0"/>
  </w:style>
  <w:style w:type="character" w:customStyle="1" w:styleId="33">
    <w:name w:val="hljs-title"/>
    <w:autoRedefine/>
    <w:qFormat/>
    <w:uiPriority w:val="0"/>
  </w:style>
  <w:style w:type="character" w:customStyle="1" w:styleId="34">
    <w:name w:val="hljs-string"/>
    <w:qFormat/>
    <w:uiPriority w:val="0"/>
  </w:style>
  <w:style w:type="character" w:customStyle="1" w:styleId="35">
    <w:name w:val="hljs-literal"/>
    <w:autoRedefine/>
    <w:uiPriority w:val="0"/>
  </w:style>
  <w:style w:type="character" w:customStyle="1" w:styleId="36">
    <w:name w:val="hljs-params"/>
    <w:qFormat/>
    <w:uiPriority w:val="0"/>
  </w:style>
  <w:style w:type="character" w:customStyle="1" w:styleId="37">
    <w:name w:val="hljs-built_in"/>
    <w:autoRedefine/>
    <w:qFormat/>
    <w:uiPriority w:val="0"/>
  </w:style>
  <w:style w:type="character" w:customStyle="1" w:styleId="38">
    <w:name w:val="hljs-number"/>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0" Type="http://schemas.openxmlformats.org/officeDocument/2006/relationships/fontTable" Target="fontTable.xml"/><Relationship Id="rId4" Type="http://schemas.openxmlformats.org/officeDocument/2006/relationships/theme" Target="theme/theme1.xml"/><Relationship Id="rId39" Type="http://schemas.openxmlformats.org/officeDocument/2006/relationships/numbering" Target="numbering.xml"/><Relationship Id="rId38" Type="http://schemas.openxmlformats.org/officeDocument/2006/relationships/image" Target="media/image24.png"/><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png"/><Relationship Id="rId34" Type="http://schemas.openxmlformats.org/officeDocument/2006/relationships/image" Target="media/image20.png"/><Relationship Id="rId33" Type="http://schemas.openxmlformats.org/officeDocument/2006/relationships/image" Target="media/image19.png"/><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header" Target="header1.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wmf"/><Relationship Id="rId24" Type="http://schemas.openxmlformats.org/officeDocument/2006/relationships/oleObject" Target="embeddings/oleObject10.bin"/><Relationship Id="rId23" Type="http://schemas.openxmlformats.org/officeDocument/2006/relationships/image" Target="media/image10.wmf"/><Relationship Id="rId22" Type="http://schemas.openxmlformats.org/officeDocument/2006/relationships/oleObject" Target="embeddings/oleObject9.bin"/><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jpeg"/><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3418</Words>
  <Characters>19485</Characters>
  <Lines>162</Lines>
  <Paragraphs>45</Paragraphs>
  <TotalTime>25</TotalTime>
  <ScaleCrop>false</ScaleCrop>
  <LinksUpToDate>false</LinksUpToDate>
  <CharactersWithSpaces>22858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2023-06-25T02:18:00Z</dcterms:created>
  <dc:creator>maxia</dc:creator>
  <cp:lastModifiedBy>若兮</cp:lastModifiedBy>
  <dcterms:modified xsi:type="dcterms:W3CDTF">2024-06-09T15:38:27Z</dcterms:modified>
  <dc:title>本刊体例</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D71126DA8782423C992ACD59F72999FE_13</vt:lpwstr>
  </property>
</Properties>
</file>