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2024-06-18</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Besides of this pattern,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land degradation through aeolian processes and ambient air pollution, leading to sporadic peaks in PM10 concentrations reaching as high as 64-234 µg/m³ per day or exceeding 6000 µg/m³ per hour (Jugder). The similar changes in PM10 and PM2.5 to stagnant weather conditions, and local or transported dust was observed on other countries China (Wang), Korea (Kim) and Japan (). Many research findings/Numerous research findings have advanced the field, and air quality indices is widely used for providing guidance, and public perception of air quality has been improved so far (Mirabelli et al., 2020).</w:t>
      </w:r>
    </w:p>
    <w:p>
      <w:pPr>
        <w:pStyle w:val="BodyText"/>
      </w:pPr>
      <w:r>
        <w:t xml:space="preserve">However, more in-depth and diversified research on air pollution and its health effects is essential, air quality indices are based on local air quality standard measures which vary among countries, although a large amount of detailed information is lost have become an obstacle to performing further studies and (Tan et al 2021); Identically, most studies underrepresent rural areas with low concentrations of particulate matter, and the accuracy of assessing exposure to air pollution during developmentally relevant time periods, such as trimesters or months (Becerra et al., 2013; Gong et al., 2014; Kalkbrenner et al., 2014) or weeks (Chiu et al., 2016), clearly limit our understanding and further investigation. More importantly, the increased concentrations of particulate matters has a significant effects on the climate system, altering the solar incidence, cloud formation, which requires comprehensive research studies focused on the dust source regions such as Mongolia is invaluable. Much effort is giving on the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aims to bridge these gaps by investigating the distinct temporal and spatial variations of PM2.5 and PM10 across urban and rural Mongolia using extensive data from 2008 to 2020. By providing comprehensive insights into air pollution patterns, our findings will inform policymakers and public health officials in Mongolia and similar middle-income countries. This research is crucial not only for addressing national health impacts but also for understanding the transboundary effects of transported pollution, affecting regions downstream such as Korea.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2024-06-18T08:48:47Z</dcterms:created>
  <dcterms:modified xsi:type="dcterms:W3CDTF">2024-06-18T08:48:47Z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2024-06-18</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