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w:t>
      </w:r>
      <w:r>
        <w:t xml:space="preserve"> </w:t>
      </w:r>
      <w:r>
        <w:t xml:space="preserve">distinct</w:t>
      </w:r>
      <w:r>
        <w:t xml:space="preserve"> </w:t>
      </w:r>
      <w:r>
        <w:t xml:space="preserve">spatial</w:t>
      </w:r>
      <w:r>
        <w:t xml:space="preserve"> </w:t>
      </w:r>
      <w:r>
        <w:t xml:space="preserve">and</w:t>
      </w:r>
      <w:r>
        <w:t xml:space="preserve"> </w:t>
      </w:r>
      <w:r>
        <w:t xml:space="preserve">temporal</w:t>
      </w:r>
      <w:r>
        <w:t xml:space="preserve"> </w:t>
      </w:r>
      <w:r>
        <w:t xml:space="preserve">variations</w:t>
      </w:r>
      <w:r>
        <w:t xml:space="preserve"> </w:t>
      </w:r>
      <w:r>
        <w:t xml:space="preserve">of</w:t>
      </w:r>
      <w:r>
        <w:t xml:space="preserve"> </w:t>
      </w:r>
      <w:r>
        <w:t xml:space="preserve">PM2.5</w:t>
      </w:r>
      <w:r>
        <w:t xml:space="preserve"> </w:t>
      </w:r>
      <w:r>
        <w:t xml:space="preserve">and</w:t>
      </w:r>
      <w:r>
        <w:t xml:space="preserve"> </w:t>
      </w:r>
      <w:r>
        <w:t xml:space="preserve">PM10</w:t>
      </w:r>
      <w:r>
        <w:t xml:space="preserve"> </w:t>
      </w:r>
      <w:r>
        <w:t xml:space="preserve">concentrations</w:t>
      </w:r>
      <w:r>
        <w:t xml:space="preserve"> </w:t>
      </w:r>
      <w:r>
        <w:t xml:space="preserve">in</w:t>
      </w:r>
      <w:r>
        <w:t xml:space="preserve"> </w:t>
      </w:r>
      <w:r>
        <w:t xml:space="preserve">urban</w:t>
      </w:r>
      <w:r>
        <w:t xml:space="preserve"> </w:t>
      </w:r>
      <w:r>
        <w:t xml:space="preserve">and</w:t>
      </w:r>
      <w:r>
        <w:t xml:space="preserve"> </w:t>
      </w:r>
      <w:r>
        <w:t xml:space="preserve">rural</w:t>
      </w:r>
      <w:r>
        <w:t xml:space="preserve"> </w:t>
      </w:r>
      <w:r>
        <w:t xml:space="preserve">areas</w:t>
      </w:r>
      <w:r>
        <w:t xml:space="preserve"> </w:t>
      </w:r>
      <w:r>
        <w:t xml:space="preserve">of</w:t>
      </w:r>
      <w:r>
        <w:t xml:space="preserve"> </w:t>
      </w:r>
      <w:r>
        <w:t xml:space="preserve">Mongolia</w:t>
      </w:r>
    </w:p>
    <w:p>
      <w:pPr>
        <w:pStyle w:val="Author"/>
      </w:pPr>
      <w:r>
        <w:t xml:space="preserve">Erdenebayar</w:t>
      </w:r>
      <w:r>
        <w:t xml:space="preserve"> </w:t>
      </w:r>
      <w:r>
        <w:t xml:space="preserve">Munkhtsetseg</w:t>
      </w:r>
    </w:p>
    <w:p>
      <w:pPr>
        <w:pStyle w:val="Author"/>
      </w:pPr>
      <w:r>
        <w:t xml:space="preserve">Atsushi</w:t>
      </w:r>
      <w:r>
        <w:t xml:space="preserve"> </w:t>
      </w:r>
      <w:r>
        <w:t xml:space="preserve">Shimizu</w:t>
      </w:r>
    </w:p>
    <w:p>
      <w:pPr>
        <w:pStyle w:val="Date"/>
      </w:pPr>
      <w:r>
        <w:t xml:space="preserve">2024-06-19</w:t>
      </w:r>
    </w:p>
    <w:p>
      <w:pPr>
        <w:pStyle w:val="AbstractTitle"/>
      </w:pPr>
      <w:r>
        <w:t xml:space="preserve">Abstract</w:t>
      </w:r>
    </w:p>
    <w:p>
      <w:pPr>
        <w:pStyle w:val="Abstract"/>
      </w:pPr>
      <w:r>
        <w:t xml:space="preserve">PM2.5</w:t>
      </w:r>
      <w:r>
        <w:t xml:space="preserve"> </w:t>
      </w:r>
      <w:r>
        <w:t xml:space="preserve">and</w:t>
      </w:r>
      <w:r>
        <w:t xml:space="preserve"> </w:t>
      </w:r>
      <w:r>
        <w:t xml:space="preserve">PM10</w:t>
      </w:r>
      <w:r>
        <w:t xml:space="preserve"> </w:t>
      </w:r>
      <w:r>
        <w:t xml:space="preserve">data</w:t>
      </w:r>
      <w:r>
        <w:t xml:space="preserve"> </w:t>
      </w:r>
      <w:r>
        <w:t xml:space="preserve">for</w:t>
      </w:r>
      <w:r>
        <w:t xml:space="preserve"> </w:t>
      </w:r>
      <w:r>
        <w:t xml:space="preserve">the</w:t>
      </w:r>
      <w:r>
        <w:t xml:space="preserve"> </w:t>
      </w:r>
      <w:r>
        <w:t xml:space="preserve">4</w:t>
      </w:r>
      <w:r>
        <w:t xml:space="preserve"> </w:t>
      </w:r>
      <w:r>
        <w:t xml:space="preserve">distinct</w:t>
      </w:r>
      <w:r>
        <w:t xml:space="preserve"> </w:t>
      </w:r>
      <w:r>
        <w:t xml:space="preserve">sites</w:t>
      </w:r>
      <w:r>
        <w:t xml:space="preserve"> </w:t>
      </w:r>
      <w:r>
        <w:t xml:space="preserve">of</w:t>
      </w:r>
      <w:r>
        <w:t xml:space="preserve"> </w:t>
      </w:r>
      <w:r>
        <w:t xml:space="preserve">Mongolia</w:t>
      </w:r>
      <w:r>
        <w:t xml:space="preserve"> </w:t>
      </w:r>
      <w:r>
        <w:t xml:space="preserve">from</w:t>
      </w:r>
      <w:r>
        <w:t xml:space="preserve"> </w:t>
      </w:r>
      <w:r>
        <w:t xml:space="preserve">2008</w:t>
      </w:r>
      <w:r>
        <w:t xml:space="preserve"> </w:t>
      </w:r>
      <w:r>
        <w:t xml:space="preserve">to</w:t>
      </w:r>
      <w:r>
        <w:t xml:space="preserve"> </w:t>
      </w:r>
      <w:r>
        <w:t xml:space="preserve">2020</w:t>
      </w:r>
      <w:r>
        <w:t xml:space="preserve"> </w:t>
      </w:r>
      <w:r>
        <w:t xml:space="preserve">is</w:t>
      </w:r>
      <w:r>
        <w:t xml:space="preserve"> </w:t>
      </w:r>
      <w:r>
        <w:t xml:space="preserve">found</w:t>
      </w:r>
      <w:r>
        <w:t xml:space="preserve"> </w:t>
      </w:r>
      <w:r>
        <w:t xml:space="preserve">….</w:t>
      </w:r>
      <w:r>
        <w:t xml:space="preserve"> </w:t>
      </w:r>
      <w:r>
        <w:t xml:space="preserve">…</w:t>
      </w:r>
    </w:p>
    <w:p>
      <w:pPr>
        <w:pStyle w:val="FirstParagraph"/>
      </w:pPr>
      <w:r>
        <w:rPr>
          <w:bCs/>
          <w:b/>
        </w:rPr>
        <w:t xml:space="preserve">Abstract:</w:t>
      </w:r>
    </w:p>
    <w:p>
      <w:pPr>
        <w:pStyle w:val="BodyText"/>
      </w:pPr>
      <w:r>
        <w:t xml:space="preserve">Air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Cs/>
          <w:b/>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Demonstrating temporal and spatial variations of air particulate matter has become important for understanding characteristics of particulate matter in the climate system, providing valuable information for well-established air quality measures, and illustrating the good trace data for health studies. Because particulate pollutants have a great impact on human health (Dockery and Pope,1994; Harrison and Yin, 2000; Hong et al., 2002), high atmospheric concentrations of these pollutants was a major concern particularly in urban areas, in the last 2-3 decades. Recent studies highlight that even low concentrations of these pollutants can lead to various health issues, and may associate with morbidity and mortality across the life span (Zigler et al., 2017). Children exposed to high levels of air pollution show increased rates of asthma, decreased lung function growth, and increased risk of early markers of cardiovascular disease (Bourdrel et al., 2017; Gauderman et al., 2015; Hehua et al., 2017). Short-term exposure with high level of PM10 resulted the chronic cardiovascular disease in Mongolia (Enkhjargal 2020). In addition to these health issues, (prenatal) neurodevelopmental impacts such as effects on intelligence, attention, autism, and mood, while aging populations experience accelerated cognitive decline when exposed to high levels of pollution is detected (Power et al., 2016). Long-term exposure to low levels of particulate matter, such as concentrations as low as 10 μg/m3 (equilibrium to WHO Air Quality Guidelines), has been linked to increased lung cancer in the EU (Hvidtfeldt et al. 2021), with similar evidences reported in Canada (Bai et al., 2019), and significantly higher rates captured in China with concentrations up to 30 μg/m3. Apparently, pollutants of particulate matters has effects to various health issues with the different thresholds and exposure durations. On the other hand, concentrations of particulate matter is ephederemal, yet vary depending on whether the pollution cause is natural or industrial, local or transported, seasonal or non-seasonal.</w:t>
      </w:r>
    </w:p>
    <w:p>
      <w:pPr>
        <w:pStyle w:val="BodyText"/>
      </w:pPr>
      <w:r>
        <w:t xml:space="preserve">It is well-informed that concentrations of air particulate matter solely depend on urbanization and economic situations to the area of the interest of the country. Globally, 7.3 billion people are directly exposed to unsafe average annual PM2.5 concentrations, and 80% of them living in low- and middle-income countries, where economies often rely heavily on polluting industries. A similar pattern of the significant disparities in air quality among income and racial/ethnic groups, as well as between urban and rural areas was reported in USA (Liu et al., 2021). Despite this disparity, meteorological effects such as dust storm, stagnant weather plays important role in the spatiotemporal variability of PM10 and PM2.5. For an instance, in Mongolia, the atmospheric environment related to urban and rural air pollution are strongly characterized by its temperate and dry climatic conditions. Siberian anticyclonic activity governed over Mongolia, which create a significant vulnerability to winter air pollution in the populated areas. The monthly mean concentrations of PM10 (PM2.5) reached annual maximum in December and January due to winter synoptic governing conditions in Ulaanbaatar, capital city of Mongolia (Jugder). Despite this, the spring dust storms creates another polluted season in UB. On spring, the dust storm from the Gobi Desert contribute significantly to increased aerosols in the atmosphere and ambient air pollution, leading to sporadic peaks in PM10 concentrations reaching as high as 64-234 µg/m³ per day or exceeding 6000 µg/m³ per hour (Jugder). A such changes in PM10 and PM2.5 to stagnant weather conditions, and local or transported dust was also observed in other countries China (Wang), Korea (Kim) and Japan (). Many research findings/Numerous research findings have advanced the field, and air quality indices is widely used for providing guidance, and public perception of air quality has been improved so far (Mirabelli et al., 2020). However, more in-depth and diversified research on air pollution and its health effects is essential, air quality indices are based on local air quality standard measures which vary among countries, although a large amount of detailed information is lost have become an obstacle to performing further studies and (Tan et al 2021); Identically, most studies underrepresent rural areas with low concentrations of particulate matter, and the accuracy of assessing exposure to air pollution during developmentally relevant time periods, such as trimesters or months (Becerra et al., 2013; Gong et al., 2014; Kalkbrenner et al., 2014) or weeks (Chiu et al., 2016), clearly limit our understanding and further investigation. More importantly, the increased concentrations of particulate matters has a significant effects on the climate system, altering the solar incidence, cloud formation, which requires comprehensive research studies focused on the dust source regions such as Mongolia is invaluable. Much effort is giving on the … although most existing studies in Mongolia are spatially focused either in urban featured winter pollution or rural areas featuring dust storms, and temporally short-term, varying from weeks to several months, with only a few extending to 4-5 years (Soyol-Erdene).</w:t>
      </w:r>
    </w:p>
    <w:p>
      <w:pPr>
        <w:pStyle w:val="BodyText"/>
      </w:pPr>
      <w:r>
        <w:t xml:space="preserve">Therefore, we aimed to demonstrate the distinct temporal and spatial variations of PM2.5 and PM10 across urban and rural Mongolia using extensive data from 2008 to 2020. The present study will contribute significantly to the understanding of air particulate matter patterns in Mongolia and providing comprehensive data insights for policymakers and public health sectors. Our findings is useful not only for addressing national health impacts but also beneficial for understanding air particulate matter as ambient air pollution and atmospheric aerosols in the climate system, and their transboundary effects to the downwind regions in South-east Asia.</w:t>
      </w:r>
    </w:p>
    <w:bookmarkEnd w:id="20"/>
    <w:bookmarkStart w:id="45" w:name="sec-data-methods"/>
    <w:p>
      <w:pPr>
        <w:pStyle w:val="Heading1"/>
      </w:pPr>
      <w:r>
        <w:t xml:space="preserve">2. Data &amp; Methods</w:t>
      </w:r>
    </w:p>
    <w:bookmarkStart w:id="25"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ook w:firstRow="0" w:lastRow="0" w:firstColumn="0" w:lastColumn="0" w:noHBand="0" w:noVBand="0" w:val="0000"/>
        <w:jc w:val="start"/>
        <w:tblLayout w:type="fixed"/>
      </w:tblPr>
      <w:tblGrid>
        <w:gridCol w:w="7920"/>
      </w:tblGrid>
      <w:tr>
        <w:tc>
          <w:tcPr/>
          <w:bookmarkStart w:id="24" w:name="fig-1"/>
          <w:p>
            <w:pPr>
              <w:pStyle w:val="Compact"/>
              <w:jc w:val="center"/>
            </w:pPr>
            <w:r>
              <w:drawing>
                <wp:inline>
                  <wp:extent cx="5334000" cy="1778000"/>
                  <wp:effectExtent b="0" l="0" r="0" t="0"/>
                  <wp:docPr descr="" title="" id="22" name="Picture"/>
                  <a:graphic>
                    <a:graphicData uri="http://schemas.openxmlformats.org/drawingml/2006/picture">
                      <pic:pic>
                        <pic:nvPicPr>
                          <pic:cNvPr descr="../Data/03_figures/fig-1_sites_of_NIES.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Study sites</w:t>
            </w:r>
          </w:p>
          <w:bookmarkEnd w:id="24"/>
        </w:tc>
      </w:tr>
    </w:tbl>
    <w:bookmarkEnd w:id="25"/>
    <w:bookmarkStart w:id="44" w:name="study-data-and-data-analysis"/>
    <w:p>
      <w:pPr>
        <w:pStyle w:val="Heading2"/>
      </w:pPr>
      <w:r>
        <w:t xml:space="preserve">2.2 Study data and data analysis</w:t>
      </w:r>
    </w:p>
    <w:bookmarkStart w:id="30" w:name="data-and-datasets"/>
    <w:p>
      <w:pPr>
        <w:pStyle w:val="Heading3"/>
      </w:pPr>
      <w:r>
        <w:t xml:space="preserve">2.2.1 Data and datasets</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2.1: Data</w:t>
            </w:r>
          </w:p>
          <w:p>
            <w:pPr>
              <w:pStyle w:val="Compact"/>
              <w:jc w:val="center"/>
            </w:pPr>
            <w:r>
              <w:drawing>
                <wp:inline>
                  <wp:extent cx="5334000" cy="2108790"/>
                  <wp:effectExtent b="0" l="0" r="0" t="0"/>
                  <wp:docPr descr="" title="" id="27" name="Picture"/>
                  <a:graphic>
                    <a:graphicData uri="http://schemas.openxmlformats.org/drawingml/2006/picture">
                      <pic:pic>
                        <pic:nvPicPr>
                          <pic:cNvPr descr="../Data/03_tables/table-1_data_NIES.png" id="28" name="Picture"/>
                          <pic:cNvPicPr>
                            <a:picLocks noChangeArrowheads="1" noChangeAspect="1"/>
                          </pic:cNvPicPr>
                        </pic:nvPicPr>
                        <pic:blipFill>
                          <a:blip r:embed="rId26"/>
                          <a:stretch>
                            <a:fillRect/>
                          </a:stretch>
                        </pic:blipFill>
                        <pic:spPr bwMode="auto">
                          <a:xfrm>
                            <a:off x="0" y="0"/>
                            <a:ext cx="5334000" cy="2108790"/>
                          </a:xfrm>
                          <a:prstGeom prst="rect">
                            <a:avLst/>
                          </a:prstGeom>
                          <a:noFill/>
                          <a:ln w="9525">
                            <a:noFill/>
                            <a:headEnd/>
                            <a:tailEnd/>
                          </a:ln>
                        </pic:spPr>
                      </pic:pic>
                    </a:graphicData>
                  </a:graphic>
                </wp:inline>
              </w:drawing>
            </w:r>
          </w:p>
          <w:bookmarkEnd w:id="29"/>
        </w:tc>
      </w:tr>
    </w:tbl>
    <w:p>
      <w:pPr>
        <w:pStyle w:val="BodyText"/>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bookmarkEnd w:id="30"/>
    <w:bookmarkStart w:id="42" w:name="data-quality-analysis"/>
    <w:p>
      <w:pPr>
        <w:pStyle w:val="Heading3"/>
      </w:pPr>
      <w:r>
        <w:t xml:space="preserve">2.2.2 Data quality analysis</w:t>
      </w:r>
    </w:p>
    <w:p>
      <w:pPr>
        <w:pStyle w:val="FirstParagraph"/>
      </w:pPr>
      <w:r>
        <w:rPr>
          <w:iCs/>
          <w:i/>
        </w:rPr>
        <w:t xml:space="preserve">Missing data</w:t>
      </w:r>
      <w:r>
        <w:t xml:space="preserve"> </w:t>
      </w: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rPr>
          <w:iCs/>
          <w:i/>
        </w:rPr>
        <w:t xml:space="preserve">Missing data handling with the statistical packages</w:t>
      </w:r>
      <w:r>
        <w:t xml:space="preserve"> </w:t>
      </w:r>
      <w:r>
        <w:t xml:space="preserve">At last, we filled the missing data with 3-hour maxgaps with imputeTS package for univariate time series, and larger gaps using mtsdi R package (well-used for time-series data), and improved the missing data percents by… from … to … 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tbl>
      <w:tblPr>
        <w:tblStyle w:val="Table"/>
        <w:tblW w:type="pct" w:w="5000"/>
        <w:tblLook w:firstRow="0" w:lastRow="0" w:firstColumn="0" w:lastColumn="0" w:noHBand="0" w:noVBand="0" w:val="0000"/>
        <w:jc w:val="start"/>
        <w:tblLayout w:type="fixed"/>
      </w:tblPr>
      <w:tblGrid>
        <w:gridCol w:w="7920"/>
      </w:tblGrid>
      <w:tr>
        <w:tc>
          <w:tcPr/>
          <w:bookmarkStart w:id="34" w:name="fig-2"/>
          <w:p>
            <w:pPr>
              <w:pStyle w:val="Compact"/>
              <w:jc w:val="center"/>
            </w:pPr>
            <w:r>
              <w:drawing>
                <wp:inline>
                  <wp:extent cx="5334000" cy="4468442"/>
                  <wp:effectExtent b="0" l="0" r="0" t="0"/>
                  <wp:docPr descr="" title="" id="32" name="Picture"/>
                  <a:graphic>
                    <a:graphicData uri="http://schemas.openxmlformats.org/drawingml/2006/picture">
                      <pic:pic>
                        <pic:nvPicPr>
                          <pic:cNvPr descr="../Data/03_figures/fig-2_datasets_filled_by_mtdsi_NIES.png" id="33" name="Picture"/>
                          <pic:cNvPicPr>
                            <a:picLocks noChangeArrowheads="1" noChangeAspect="1"/>
                          </pic:cNvPicPr>
                        </pic:nvPicPr>
                        <pic:blipFill>
                          <a:blip r:embed="rId31"/>
                          <a:stretch>
                            <a:fillRect/>
                          </a:stretch>
                        </pic:blipFill>
                        <pic:spPr bwMode="auto">
                          <a:xfrm>
                            <a:off x="0" y="0"/>
                            <a:ext cx="5334000" cy="44684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Extended PM datasets (red color presents the data filled by mtdsi)</w:t>
            </w:r>
          </w:p>
          <w:bookmarkEnd w:id="34"/>
        </w:tc>
      </w:tr>
    </w:tbl>
    <w:p>
      <w:pPr>
        <w:pStyle w:val="BodyText"/>
      </w:pPr>
      <w:r>
        <w:t xml:space="preserve"> </w:t>
      </w:r>
    </w:p>
    <w:bookmarkStart w:id="41" w:name="fig-elephant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37" w:name="fig-surus"/>
                <w:p>
                  <w:pPr>
                    <w:pStyle w:val="Compact"/>
                    <w:jc w:val="center"/>
                    <w:jc w:val="left"/>
                  </w:pPr>
                  <w:r>
                    <w:drawing>
                      <wp:inline>
                        <wp:extent cx="2971800" cy="990600"/>
                        <wp:effectExtent b="0" l="0" r="0" t="0"/>
                        <wp:docPr descr="" title="" id="35" name="Picture"/>
                        <a:graphic>
                          <a:graphicData uri="http://schemas.openxmlformats.org/drawingml/2006/picture">
                            <pic:pic>
                              <pic:nvPicPr>
                                <pic:cNvPr descr="../Data/03_figures/fig-1_sites_of_NIES.png" id="36"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Surus</w:t>
                  </w:r>
                </w:p>
                <w:bookmarkEnd w:id="3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40" w:name="fig-hanno"/>
                <w:p>
                  <w:pPr>
                    <w:pStyle w:val="Compact"/>
                    <w:jc w:val="center"/>
                    <w:jc w:val="left"/>
                  </w:pPr>
                  <w:r>
                    <w:drawing>
                      <wp:inline>
                        <wp:extent cx="2971800" cy="990600"/>
                        <wp:effectExtent b="0" l="0" r="0" t="0"/>
                        <wp:docPr descr="" title="" id="38" name="Picture"/>
                        <a:graphic>
                          <a:graphicData uri="http://schemas.openxmlformats.org/drawingml/2006/picture">
                            <pic:pic>
                              <pic:nvPicPr>
                                <pic:cNvPr descr="../Data/03_figures/fig-1_sites_of_NIES.png" id="39"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Hanno</w:t>
                  </w:r>
                </w:p>
                <w:bookmarkEnd w:id="40"/>
              </w:tc>
            </w:tr>
          </w:tbl>
          <w:p/>
        </w:tc>
      </w:tr>
    </w:tbl>
    <w:p>
      <w:pPr>
        <w:pStyle w:val="BodyText"/>
      </w:pPr>
      <w:pPr>
        <w:spacing w:before="200"/>
        <w:pStyle w:val="ImageCaption"/>
      </w:pPr>
      <w:r>
        <w:t xml:space="preserve">Figure 2.3: Famous Elephants</w:t>
      </w:r>
    </w:p>
    <w:bookmarkEnd w:id="41"/>
    <w:bookmarkEnd w:id="42"/>
    <w:bookmarkStart w:id="43" w:name="data-analysis"/>
    <w:p>
      <w:pPr>
        <w:pStyle w:val="Heading3"/>
      </w:pPr>
      <w:r>
        <w:t xml:space="preserve">2.2.3 Data analysis</w:t>
      </w:r>
    </w:p>
    <w:p>
      <w:pPr>
        <w:pStyle w:val="FirstParagraph"/>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43"/>
    <w:bookmarkEnd w:id="44"/>
    <w:bookmarkEnd w:id="45"/>
    <w:bookmarkStart w:id="48" w:name="sec-results"/>
    <w:p>
      <w:pPr>
        <w:pStyle w:val="Heading1"/>
      </w:pPr>
      <w:r>
        <w:t xml:space="preserve">3. Results</w:t>
      </w:r>
    </w:p>
    <w:bookmarkStart w:id="46" w:name="X5564fcebed33957a355056b58c52f5706b06595"/>
    <w:p>
      <w:pPr>
        <w:pStyle w:val="Heading2"/>
      </w:pPr>
      <w:r>
        <w:t xml:space="preserve">3.1 PM intercomparisons of sites between anthropogenic and natural PM sources</w:t>
      </w:r>
    </w:p>
    <w:p>
      <w:pPr>
        <w:pStyle w:val="FirstParagraph"/>
      </w:pPr>
      <w:r>
        <w:t xml:space="preserve">[AND] 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46"/>
    <w:bookmarkStart w:id="47" w:name="temporal-variations"/>
    <w:p>
      <w:pPr>
        <w:pStyle w:val="Heading2"/>
      </w:pPr>
      <w:r>
        <w:t xml:space="preserve">3.2 Temporal variations</w:t>
      </w:r>
    </w:p>
    <w:p>
      <w:pPr>
        <w:pStyle w:val="FirstParagraph"/>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47"/>
    <w:bookmarkEnd w:id="48"/>
    <w:bookmarkStart w:id="49" w:name="sec-discussion"/>
    <w:p>
      <w:pPr>
        <w:pStyle w:val="Heading1"/>
      </w:pPr>
      <w:r>
        <w:t xml:space="preserve">4. Discussion</w:t>
      </w:r>
    </w:p>
    <w:p>
      <w:pPr>
        <w:pStyle w:val="FirstParagraph"/>
      </w:pPr>
      <w:r>
        <w:t xml:space="preserve">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49"/>
    <w:bookmarkStart w:id="60" w:name="sec-conclusions"/>
    <w:p>
      <w:pPr>
        <w:pStyle w:val="Heading1"/>
      </w:pPr>
      <w:r>
        <w:t xml:space="preserve">5.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w:t>
      </w:r>
      <w:r>
        <w:rPr>
          <w:bCs/>
          <w:b/>
        </w:rPr>
        <w:t xml:space="preserve">marrero2019?</w:t>
      </w:r>
      <w:r>
        <w:t xml:space="preserve">)</w:t>
      </w:r>
      <w:r>
        <w:t xml:space="preserve"> </w:t>
      </w:r>
      <w:r>
        <w:t xml:space="preserve"># References {.unnumbered}</w:t>
      </w:r>
    </w:p>
    <w:p>
      <w:pPr>
        <w:pStyle w:val="BodyText"/>
      </w:pPr>
      <w:r>
        <w:t xml:space="preserve">{#refs}</w:t>
      </w:r>
    </w:p>
    <w:bookmarkStart w:id="59" w:name="refs"/>
    <w:bookmarkStart w:id="50" w:name="ref-box2015time"/>
    <w:p>
      <w:pPr>
        <w:pStyle w:val="Bibliography"/>
      </w:pPr>
      <w:r>
        <w:t xml:space="preserve">Box, George EP, Gwilym M Jenkins, Gregory C Reinsel, and Greta M Ljung. 2015.</w:t>
      </w:r>
      <w:r>
        <w:t xml:space="preserve"> </w:t>
      </w:r>
      <w:r>
        <w:rPr>
          <w:iCs/>
          <w:i/>
        </w:rPr>
        <w:t xml:space="preserve">Time Series Analysis: Forecasting and Control</w:t>
      </w:r>
      <w:r>
        <w:t xml:space="preserve">. John Wiley &amp; Sons.</w:t>
      </w:r>
    </w:p>
    <w:bookmarkEnd w:id="50"/>
    <w:bookmarkStart w:id="51"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Cs/>
          <w:i/>
        </w:rPr>
        <w:t xml:space="preserve">Wireless Communications and Mobile Computing</w:t>
      </w:r>
      <w:r>
        <w:t xml:space="preserve"> </w:t>
      </w:r>
      <w:r>
        <w:t xml:space="preserve">2019.</w:t>
      </w:r>
    </w:p>
    <w:bookmarkEnd w:id="51"/>
    <w:bookmarkStart w:id="52"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Cs/>
          <w:i/>
        </w:rPr>
        <w:t xml:space="preserve">Advances in Space Research</w:t>
      </w:r>
      <w:r>
        <w:t xml:space="preserve"> </w:t>
      </w:r>
      <w:r>
        <w:t xml:space="preserve">59 (9): 2442–57.</w:t>
      </w:r>
    </w:p>
    <w:bookmarkEnd w:id="52"/>
    <w:bookmarkStart w:id="53"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Cs/>
          <w:i/>
        </w:rPr>
        <w:t xml:space="preserve">Chemical Engineering Research and Design</w:t>
      </w:r>
      <w:r>
        <w:t xml:space="preserve"> </w:t>
      </w:r>
      <w:r>
        <w:t xml:space="preserve">124: 1–19.</w:t>
      </w:r>
    </w:p>
    <w:bookmarkEnd w:id="53"/>
    <w:bookmarkStart w:id="54" w:name="ref-junger2012mtsdi"/>
    <w:p>
      <w:pPr>
        <w:pStyle w:val="Bibliography"/>
      </w:pPr>
      <w:r>
        <w:t xml:space="preserve">Junger, W, and APde Leon. 2012.</w:t>
      </w:r>
      <w:r>
        <w:t xml:space="preserve"> </w:t>
      </w:r>
      <w:r>
        <w:t xml:space="preserve">“Mtsdi: Multivariate Time Series Data Imputation.”</w:t>
      </w:r>
      <w:r>
        <w:t xml:space="preserve"> </w:t>
      </w:r>
      <w:r>
        <w:rPr>
          <w:iCs/>
          <w:i/>
        </w:rPr>
        <w:t xml:space="preserve">R Package 0.3</w:t>
      </w:r>
      <w:r>
        <w:t xml:space="preserve"> </w:t>
      </w:r>
      <w:r>
        <w:t xml:space="preserve">3.</w:t>
      </w:r>
    </w:p>
    <w:bookmarkEnd w:id="54"/>
    <w:bookmarkStart w:id="55"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Cs/>
          <w:i/>
        </w:rPr>
        <w:t xml:space="preserve">Cadernos Do IME</w:t>
      </w:r>
      <w:r>
        <w:t xml:space="preserve"> </w:t>
      </w:r>
      <w:r>
        <w:t xml:space="preserve">15 (8): 21.</w:t>
      </w:r>
    </w:p>
    <w:bookmarkEnd w:id="55"/>
    <w:bookmarkStart w:id="56" w:name="ref-meyler1998forecasting"/>
    <w:p>
      <w:pPr>
        <w:pStyle w:val="Bibliography"/>
      </w:pPr>
      <w:r>
        <w:t xml:space="preserve">Meyler, Aidan, Geoff Kenny, and Terry Quinn. 1998.</w:t>
      </w:r>
      <w:r>
        <w:t xml:space="preserve"> </w:t>
      </w:r>
      <w:r>
        <w:t xml:space="preserve">“Forecasting Irish Inflation Using ARIMA Models.”</w:t>
      </w:r>
    </w:p>
    <w:bookmarkEnd w:id="56"/>
    <w:bookmarkStart w:id="57" w:name="ref-motesaddi2022effects"/>
    <w:p>
      <w:pPr>
        <w:pStyle w:val="Bibliography"/>
      </w:pPr>
      <w:r>
        <w:t xml:space="preserve">Motesaddi Zarandi, Saeed, Mostafa Hadei, Seyed Saeed Hashemi, Elahe Shahhosseini, Philip K Hopke, Zahra Namvar, and Abbas Shahsavani. 2022.</w:t>
      </w:r>
      <w:r>
        <w:t xml:space="preserve"> </w:t>
      </w:r>
      <w:r>
        <w:t xml:space="preserve">“Effects of Ambient Air Pollutants on Hospital Admissions and Deaths for Cardiovascular Diseases: A Time Series Analysis in Tehran.”</w:t>
      </w:r>
      <w:r>
        <w:t xml:space="preserve"> </w:t>
      </w:r>
      <w:r>
        <w:rPr>
          <w:iCs/>
          <w:i/>
        </w:rPr>
        <w:t xml:space="preserve">Environmental Science and Pollution Research</w:t>
      </w:r>
      <w:r>
        <w:t xml:space="preserve">, 1–13.</w:t>
      </w:r>
    </w:p>
    <w:bookmarkEnd w:id="57"/>
    <w:bookmarkStart w:id="58"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Cs/>
          <w:i/>
        </w:rPr>
        <w:t xml:space="preserve">IEEE Transactions on Sustainable Energy</w:t>
      </w:r>
      <w:r>
        <w:t xml:space="preserve"> </w:t>
      </w:r>
      <w:r>
        <w:t xml:space="preserve">12 (1): 743–46.</w:t>
      </w:r>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urban and rural areas of Mongolia</dc:title>
  <dc:creator>Erdenebayar Munkhtsetseg; Atsushi Shimizu</dc:creator>
  <cp:keywords>particulate matters, concentrations of PM10 and PM2.5</cp:keywords>
  <dcterms:created xsi:type="dcterms:W3CDTF">2024-06-19T06:58:58Z</dcterms:created>
  <dcterms:modified xsi:type="dcterms:W3CDTF">2024-06-19T06:58:58Z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2024-06-19</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