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Temporal</w:t>
      </w:r>
      <w:r>
        <w:t xml:space="preserve"> </w:t>
      </w:r>
      <w:r>
        <w:t xml:space="preserve">and</w:t>
      </w:r>
      <w:r>
        <w:t xml:space="preserve"> </w:t>
      </w:r>
      <w:r>
        <w:t xml:space="preserve">spatial</w:t>
      </w:r>
      <w:r>
        <w:t xml:space="preserve"> </w:t>
      </w:r>
      <w:r>
        <w:t xml:space="preserve">variations</w:t>
      </w:r>
      <w:r>
        <w:t xml:space="preserve"> </w:t>
      </w:r>
      <w:r>
        <w:t xml:space="preserve">of</w:t>
      </w:r>
      <w:r>
        <w:t xml:space="preserve"> </w:t>
      </w:r>
      <w:r>
        <w:t xml:space="preserve">PM2</w:t>
      </w:r>
      <w:r>
        <w:t xml:space="preserve"> </w:t>
      </w:r>
      <w:r>
        <w:t xml:space="preserve">and</w:t>
      </w:r>
      <w:r>
        <w:t xml:space="preserve"> </w:t>
      </w:r>
      <w:r>
        <w:t xml:space="preserve">PM10</w:t>
      </w:r>
      <w:r>
        <w:t xml:space="preserve"> </w:t>
      </w:r>
      <w:r>
        <w:t xml:space="preserve">concentrations</w:t>
      </w:r>
      <w:r>
        <w:t xml:space="preserve"> </w:t>
      </w:r>
      <w:r>
        <w:t xml:space="preserve">in</w:t>
      </w:r>
      <w:r>
        <w:t xml:space="preserve"> </w:t>
      </w:r>
      <w:r>
        <w:t xml:space="preserve">Mongolia</w:t>
      </w:r>
    </w:p>
    <w:p>
      <w:pPr>
        <w:pStyle w:val="Author"/>
      </w:pPr>
      <w:r>
        <w:t xml:space="preserve">Erdenebayar</w:t>
      </w:r>
      <w:r>
        <w:t xml:space="preserve"> </w:t>
      </w:r>
      <w:r>
        <w:t xml:space="preserve">Munkhtsetseg</w:t>
      </w:r>
    </w:p>
    <w:p>
      <w:pPr>
        <w:pStyle w:val="Author"/>
      </w:pPr>
      <w:r>
        <w:t xml:space="preserve">Atsushi</w:t>
      </w:r>
      <w:r>
        <w:t xml:space="preserve"> </w:t>
      </w:r>
      <w:r>
        <w:t xml:space="preserve">Shimizu</w:t>
      </w:r>
    </w:p>
    <w:p>
      <w:pPr>
        <w:pStyle w:val="Date"/>
      </w:pPr>
      <w:r>
        <w:t xml:space="preserve">2024-03-15</w:t>
      </w:r>
    </w:p>
    <w:p>
      <w:pPr>
        <w:pStyle w:val="AbstractTitle"/>
      </w:pPr>
      <w:r>
        <w:t xml:space="preserve">Abstract</w:t>
      </w:r>
    </w:p>
    <w:p>
      <w:pPr>
        <w:pStyle w:val="Abstract"/>
      </w:pPr>
      <w:r>
        <w:t xml:space="preserve">PM2.5</w:t>
      </w:r>
      <w:r>
        <w:t xml:space="preserve"> </w:t>
      </w:r>
      <w:r>
        <w:t xml:space="preserve">and</w:t>
      </w:r>
      <w:r>
        <w:t xml:space="preserve"> </w:t>
      </w:r>
      <w:r>
        <w:t xml:space="preserve">PM10</w:t>
      </w:r>
      <w:r>
        <w:t xml:space="preserve"> </w:t>
      </w:r>
      <w:r>
        <w:t xml:space="preserve">data</w:t>
      </w:r>
      <w:r>
        <w:t xml:space="preserve"> </w:t>
      </w:r>
      <w:r>
        <w:t xml:space="preserve">for</w:t>
      </w:r>
      <w:r>
        <w:t xml:space="preserve"> </w:t>
      </w:r>
      <w:r>
        <w:t xml:space="preserve">the</w:t>
      </w:r>
      <w:r>
        <w:t xml:space="preserve"> </w:t>
      </w:r>
      <w:r>
        <w:t xml:space="preserve">4</w:t>
      </w:r>
      <w:r>
        <w:t xml:space="preserve"> </w:t>
      </w:r>
      <w:r>
        <w:t xml:space="preserve">distinct</w:t>
      </w:r>
      <w:r>
        <w:t xml:space="preserve"> </w:t>
      </w:r>
      <w:r>
        <w:t xml:space="preserve">sites</w:t>
      </w:r>
      <w:r>
        <w:t xml:space="preserve"> </w:t>
      </w:r>
      <w:r>
        <w:t xml:space="preserve">of</w:t>
      </w:r>
      <w:r>
        <w:t xml:space="preserve"> </w:t>
      </w:r>
      <w:r>
        <w:t xml:space="preserve">Mongolia</w:t>
      </w:r>
      <w:r>
        <w:t xml:space="preserve"> </w:t>
      </w:r>
      <w:r>
        <w:t xml:space="preserve">from</w:t>
      </w:r>
      <w:r>
        <w:t xml:space="preserve"> </w:t>
      </w:r>
      <w:r>
        <w:t xml:space="preserve">2008</w:t>
      </w:r>
      <w:r>
        <w:t xml:space="preserve"> </w:t>
      </w:r>
      <w:r>
        <w:t xml:space="preserve">to</w:t>
      </w:r>
      <w:r>
        <w:t xml:space="preserve"> </w:t>
      </w:r>
      <w:r>
        <w:t xml:space="preserve">2020</w:t>
      </w:r>
      <w:r>
        <w:t xml:space="preserve"> </w:t>
      </w:r>
      <w:r>
        <w:t xml:space="preserve">is</w:t>
      </w:r>
      <w:r>
        <w:t xml:space="preserve"> </w:t>
      </w:r>
      <w:r>
        <w:t xml:space="preserve">found</w:t>
      </w:r>
      <w:r>
        <w:t xml:space="preserve"> </w:t>
      </w:r>
      <w:r>
        <w:t xml:space="preserve">….</w:t>
      </w:r>
      <w:r>
        <w:t xml:space="preserve"> </w:t>
      </w:r>
      <w:r>
        <w:t xml:space="preserve">…</w:t>
      </w:r>
    </w:p>
    <w:bookmarkStart w:id="20" w:name="introduction"/>
    <w:p>
      <w:pPr>
        <w:pStyle w:val="Heading2"/>
      </w:pPr>
      <w:r>
        <w:t xml:space="preserve">0.1 Introduction</w:t>
      </w:r>
    </w:p>
    <w:bookmarkEnd w:id="20"/>
    <w:bookmarkStart w:id="34" w:name="sec-data-methods"/>
    <w:p>
      <w:pPr>
        <w:pStyle w:val="Heading2"/>
      </w:pPr>
      <w:r>
        <w:t xml:space="preserve">0.2 Data &amp; Methods</w:t>
      </w:r>
    </w:p>
    <w:bookmarkStart w:id="32" w:name="study-area-descriptions"/>
    <w:p>
      <w:pPr>
        <w:pStyle w:val="Heading3"/>
      </w:pPr>
      <w:r>
        <w:t xml:space="preserve">0.2.1 Study area descriptions</w:t>
      </w:r>
    </w:p>
    <w:p>
      <w:pPr>
        <w:pStyle w:val="FirstParagraph"/>
      </w:pPr>
      <w:r>
        <w:t xml:space="preserve">See</w:t>
      </w:r>
      <w:r>
        <w:t xml:space="preserve"> </w:t>
      </w:r>
      <w:hyperlink w:anchor="fig-elephant">
        <w:r>
          <w:rPr>
            <w:rStyle w:val="Hyperlink"/>
          </w:rPr>
          <w:t xml:space="preserve">Figure 1</w:t>
        </w:r>
      </w:hyperlink>
      <w:r>
        <w:t xml:space="preserve"> </w:t>
      </w:r>
      <w:r>
        <w:t xml:space="preserve">djjd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4" w:name="fig-elephant"/>
          <w:p>
            <w:pPr>
              <w:pStyle w:val="Compact"/>
              <w:jc w:val="center"/>
            </w:pPr>
            <w:r>
              <w:drawing>
                <wp:inline>
                  <wp:extent cx="5334000" cy="17780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../Data/03_figures/sites_of_NIES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77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Study sites</w:t>
            </w:r>
          </w:p>
          <w:bookmarkEnd w:id="24"/>
        </w:tc>
      </w:tr>
    </w:tbl>
    <w:p>
      <w:pPr>
        <w:pStyle w:val="BodyText"/>
      </w:pPr>
      <w:bookmarkStart w:id="27" w:name="fig-site"/>
      <w:r>
        <w:drawing>
          <wp:inline>
            <wp:extent cx="5334000" cy="1778000"/>
            <wp:effectExtent b="0" l="0" r="0" t="0"/>
            <wp:docPr descr="Study sites" title="" id="25" name="Picture"/>
            <a:graphic>
              <a:graphicData uri="http://schemas.openxmlformats.org/drawingml/2006/picture">
                <pic:pic>
                  <pic:nvPicPr>
                    <pic:cNvPr descr="../Data/03_figures/sites_of_NIE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  <w:r>
        <w:t xml:space="preserve"> </w:t>
      </w:r>
      <w:r>
        <w:t xml:space="preserve">The map demonstrates that llll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31" w:name="tbl-letter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1: Data</w:t>
            </w:r>
          </w:p>
          <w:p>
            <w:pPr>
              <w:pStyle w:val="Compact"/>
              <w:jc w:val="center"/>
            </w:pPr>
            <w:r>
              <w:drawing>
                <wp:inline>
                  <wp:extent cx="5334000" cy="2108790"/>
                  <wp:effectExtent b="0" l="0" r="0" t="0"/>
                  <wp:docPr descr="" title="" id="29" name="Picture"/>
                  <a:graphic>
                    <a:graphicData uri="http://schemas.openxmlformats.org/drawingml/2006/picture">
                      <pic:pic>
                        <pic:nvPicPr>
                          <pic:cNvPr descr="../Data/03_tables/table_data_NIES.png" id="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108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bookmarkEnd w:id="31"/>
        </w:tc>
      </w:tr>
    </w:tbl>
    <w:p>
      <w:pPr>
        <w:pStyle w:val="BodyText"/>
      </w:pPr>
      <w:hyperlink w:anchor="tbl-letters">
        <w:r>
          <w:rPr>
            <w:rStyle w:val="Hyperlink"/>
          </w:rPr>
          <w:t xml:space="preserve">Table 1</w:t>
        </w:r>
      </w:hyperlink>
      <w:r>
        <w:t xml:space="preserve"> </w:t>
      </w:r>
      <w:r>
        <w:t xml:space="preserve">djjdjdjjdj</w:t>
      </w:r>
    </w:p>
    <w:bookmarkEnd w:id="32"/>
    <w:bookmarkStart w:id="33" w:name="study-data-and-data-analysis"/>
    <w:p>
      <w:pPr>
        <w:pStyle w:val="Heading3"/>
      </w:pPr>
      <w:r>
        <w:t xml:space="preserve">0.2.2 Study data and data analysis</w:t>
      </w:r>
    </w:p>
    <w:p>
      <w:pPr>
        <w:pStyle w:val="FirstParagraph"/>
      </w:pPr>
      <w:r>
        <w:t xml:space="preserve">WHy siiisidjadis</w:t>
      </w:r>
    </w:p>
    <w:p>
      <w:pPr>
        <w:pStyle w:val="BodyText"/>
      </w:pPr>
      <w:r>
        <w:t xml:space="preserve">sallalad;lasd</w:t>
      </w:r>
    </w:p>
    <w:p>
      <w:pPr>
        <w:pStyle w:val="BodyText"/>
      </w:pPr>
      <w:r>
        <w:t xml:space="preserve">a summarises the data.</w:t>
      </w:r>
      <w:r>
        <w:t xml:space="preserve"> </w:t>
      </w:r>
      <w:r>
        <w:t xml:space="preserve">cleaned the data and</w:t>
      </w:r>
      <w:r>
        <w:t xml:space="preserve"> </w:t>
      </w:r>
      <w:r>
        <w:t xml:space="preserve">filled the missing data using mtsdi</w:t>
      </w:r>
    </w:p>
    <w:bookmarkEnd w:id="33"/>
    <w:bookmarkEnd w:id="34"/>
    <w:bookmarkStart w:id="35" w:name="sec-results"/>
    <w:p>
      <w:pPr>
        <w:pStyle w:val="Heading2"/>
      </w:pPr>
      <w:r>
        <w:t xml:space="preserve">0.3 Results</w:t>
      </w:r>
    </w:p>
    <w:bookmarkEnd w:id="35"/>
    <w:bookmarkStart w:id="36" w:name="sec-discussion"/>
    <w:p>
      <w:pPr>
        <w:pStyle w:val="Heading2"/>
      </w:pPr>
      <w:r>
        <w:t xml:space="preserve">0.4 Discussion</w:t>
      </w:r>
    </w:p>
    <w:bookmarkEnd w:id="36"/>
    <w:bookmarkStart w:id="40" w:name="sec-conclusions"/>
    <w:p>
      <w:pPr>
        <w:pStyle w:val="Heading2"/>
      </w:pPr>
      <w:r>
        <w:t xml:space="preserve">0.5 Conclusions</w:t>
      </w:r>
    </w:p>
    <w:p>
      <w:pPr>
        <w:pStyle w:val="FirstParagraph"/>
      </w:pPr>
      <w:r>
        <w:t xml:space="preserve">Marrero et al. (2019)</w:t>
      </w:r>
      <w:r>
        <w:t xml:space="preserve"> </w:t>
      </w:r>
      <w:r>
        <w:t xml:space="preserve">## References {.unnumbered}</w:t>
      </w:r>
    </w:p>
    <w:p>
      <w:pPr>
        <w:pStyle w:val="BodyText"/>
      </w:pPr>
      <w:r>
        <w:t xml:space="preserve">{#refs}</w:t>
      </w:r>
    </w:p>
    <w:bookmarkStart w:id="39" w:name="refs"/>
    <w:bookmarkStart w:id="38" w:name="ref-marrero2019"/>
    <w:p>
      <w:pPr>
        <w:pStyle w:val="Bibliography"/>
      </w:pPr>
      <w:r>
        <w:t xml:space="preserve">Marrero, José, Alicia García, Manuel Berrocoso, Ángeles Llinares, Antonio Rodríguez-Losada, and R. Ortiz. 2019.</w:t>
      </w:r>
      <w:r>
        <w:t xml:space="preserve"> </w:t>
      </w:r>
      <w:r>
        <w:t xml:space="preserve">“Strategies for the Development of Volcanic Hazard Maps in Monogenetic Volcanic Fields: The Example of</w:t>
      </w:r>
      <w:r>
        <w:t xml:space="preserve"> </w:t>
      </w:r>
      <w:r>
        <w:t xml:space="preserve">La</w:t>
      </w:r>
      <w:r>
        <w:t xml:space="preserve"> </w:t>
      </w:r>
      <w:r>
        <w:t xml:space="preserve">Palma</w:t>
      </w:r>
      <w:r>
        <w:t xml:space="preserve"> </w:t>
      </w:r>
      <w:r>
        <w:t xml:space="preserve">(</w:t>
      </w:r>
      <w:r>
        <w:t xml:space="preserve">Canary</w:t>
      </w:r>
      <w:r>
        <w:t xml:space="preserve"> </w:t>
      </w:r>
      <w:r>
        <w:t xml:space="preserve">Islands</w:t>
      </w:r>
      <w:r>
        <w:t xml:space="preserve">).”</w:t>
      </w:r>
      <w:r>
        <w:t xml:space="preserve"> </w:t>
      </w:r>
      <w:r>
        <w:rPr>
          <w:iCs/>
          <w:i/>
        </w:rPr>
        <w:t xml:space="preserve">Journal of Applied Volcanology</w:t>
      </w:r>
      <w:r>
        <w:t xml:space="preserve"> </w:t>
      </w:r>
      <w:r>
        <w:t xml:space="preserve">8 (July).</w:t>
      </w:r>
      <w:r>
        <w:t xml:space="preserve"> </w:t>
      </w:r>
      <w:hyperlink r:id="rId37">
        <w:r>
          <w:rPr>
            <w:rStyle w:val="Hyperlink"/>
          </w:rPr>
          <w:t xml:space="preserve">https://doi.org/10.1186/s13617-019-0085-5</w:t>
        </w:r>
      </w:hyperlink>
      <w:r>
        <w:t xml:space="preserve">.</w:t>
      </w:r>
    </w:p>
    <w:bookmarkEnd w:id="38"/>
    <w:bookmarkEnd w:id="39"/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8" Target="media/rId28.png" /><Relationship Type="http://schemas.openxmlformats.org/officeDocument/2006/relationships/hyperlink" Id="rId37" Target="https://doi.org/10.1186/s13617-019-0085-5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7" Target="https://doi.org/10.1186/s13617-019-0085-5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Temporal and spatial variations of PM2 and PM10 concentrations in Mongolia</dc:title>
  <dc:creator>Erdenebayar Munkhtsetseg; Atsushi Shimizu</dc:creator>
  <cp:keywords>particulate matters, concentrations of PM10 and PM2.5</cp:keywords>
  <dcterms:created xsi:type="dcterms:W3CDTF">2024-03-15T05:55:05Z</dcterms:created>
  <dcterms:modified xsi:type="dcterms:W3CDTF">2024-03-15T05:55:05Z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PM2.5 and PM10 data for the 4 distinct sites of Mongolia from 2008 to 2020 is found …. …</vt:lpwstr>
  </property>
  <property fmtid="{D5CDD505-2E9C-101B-9397-08002B2CF9AE}" pid="3" name="affiliations">
    <vt:lpwstr/>
  </property>
  <property fmtid="{D5CDD505-2E9C-101B-9397-08002B2CF9AE}" pid="4" name="authors">
    <vt:lpwstr/>
  </property>
  <property fmtid="{D5CDD505-2E9C-101B-9397-08002B2CF9AE}" pid="5" name="biblio-config">
    <vt:lpwstr>True</vt:lpwstr>
  </property>
  <property fmtid="{D5CDD505-2E9C-101B-9397-08002B2CF9AE}" pid="6" name="bibliography">
    <vt:lpwstr>references.bib</vt:lpwstr>
  </property>
  <property fmtid="{D5CDD505-2E9C-101B-9397-08002B2CF9AE}" pid="7" name="by-affiliation">
    <vt:lpwstr/>
  </property>
  <property fmtid="{D5CDD505-2E9C-101B-9397-08002B2CF9AE}" pid="8" name="by-author">
    <vt:lpwstr/>
  </property>
  <property fmtid="{D5CDD505-2E9C-101B-9397-08002B2CF9AE}" pid="9" name="citation">
    <vt:lpwstr/>
  </property>
  <property fmtid="{D5CDD505-2E9C-101B-9397-08002B2CF9AE}" pid="10" name="clear-hidden-classes">
    <vt:lpwstr>none</vt:lpwstr>
  </property>
  <property fmtid="{D5CDD505-2E9C-101B-9397-08002B2CF9AE}" pid="11" name="crossref">
    <vt:lpwstr/>
  </property>
  <property fmtid="{D5CDD505-2E9C-101B-9397-08002B2CF9AE}" pid="12" name="date">
    <vt:lpwstr>2024-03-15</vt:lpwstr>
  </property>
  <property fmtid="{D5CDD505-2E9C-101B-9397-08002B2CF9AE}" pid="13" name="google-scholar">
    <vt:lpwstr>True</vt:lpwstr>
  </property>
  <property fmtid="{D5CDD505-2E9C-101B-9397-08002B2CF9AE}" pid="14" name="header-includes">
    <vt:lpwstr/>
  </property>
  <property fmtid="{D5CDD505-2E9C-101B-9397-08002B2CF9AE}" pid="15" name="include-after">
    <vt:lpwstr/>
  </property>
  <property fmtid="{D5CDD505-2E9C-101B-9397-08002B2CF9AE}" pid="16" name="include-before">
    <vt:lpwstr/>
  </property>
  <property fmtid="{D5CDD505-2E9C-101B-9397-08002B2CF9AE}" pid="17" name="key-points">
    <vt:lpwstr/>
  </property>
  <property fmtid="{D5CDD505-2E9C-101B-9397-08002B2CF9AE}" pid="18" name="labels">
    <vt:lpwstr/>
  </property>
  <property fmtid="{D5CDD505-2E9C-101B-9397-08002B2CF9AE}" pid="19" name="lightbox">
    <vt:lpwstr>auto</vt:lpwstr>
  </property>
  <property fmtid="{D5CDD505-2E9C-101B-9397-08002B2CF9AE}" pid="20" name="manuscript">
    <vt:lpwstr/>
  </property>
  <property fmtid="{D5CDD505-2E9C-101B-9397-08002B2CF9AE}" pid="21" name="notebook-preview-options">
    <vt:lpwstr/>
  </property>
  <property fmtid="{D5CDD505-2E9C-101B-9397-08002B2CF9AE}" pid="22" name="plain-language-summary">
    <vt:lpwstr>PM2.5 and PM10 data for the 4 distinct sites of Mongolia from 2008 to 2020 is found …</vt:lpwstr>
  </property>
  <property fmtid="{D5CDD505-2E9C-101B-9397-08002B2CF9AE}" pid="23" name="quarto-internal">
    <vt:lpwstr/>
  </property>
  <property fmtid="{D5CDD505-2E9C-101B-9397-08002B2CF9AE}" pid="24" name="remove-hidden">
    <vt:lpwstr>all</vt:lpwstr>
  </property>
  <property fmtid="{D5CDD505-2E9C-101B-9397-08002B2CF9AE}" pid="25" name="template-partials">
    <vt:lpwstr/>
  </property>
  <property fmtid="{D5CDD505-2E9C-101B-9397-08002B2CF9AE}" pid="26" name="theme">
    <vt:lpwstr>cosmo</vt:lpwstr>
  </property>
  <property fmtid="{D5CDD505-2E9C-101B-9397-08002B2CF9AE}" pid="27" name="title-block-style">
    <vt:lpwstr>manuscript</vt:lpwstr>
  </property>
  <property fmtid="{D5CDD505-2E9C-101B-9397-08002B2CF9AE}" pid="28" name="toc-title">
    <vt:lpwstr>Table of contents</vt:lpwstr>
  </property>
  <property fmtid="{D5CDD505-2E9C-101B-9397-08002B2CF9AE}" pid="29" name="unroll-markdown-cells">
    <vt:lpwstr>True</vt:lpwstr>
  </property>
</Properties>
</file>