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distinct</w:t>
      </w:r>
      <w:r>
        <w:t xml:space="preserve"> </w:t>
      </w:r>
      <w:r>
        <w:t xml:space="preserve">spatial</w:t>
      </w:r>
      <w:r>
        <w:t xml:space="preserve"> </w:t>
      </w:r>
      <w:r>
        <w:t xml:space="preserve">and</w:t>
      </w:r>
      <w:r>
        <w:t xml:space="preserve"> </w:t>
      </w:r>
      <w:r>
        <w:t xml:space="preserve">temporal</w:t>
      </w:r>
      <w:r>
        <w:t xml:space="preserve"> </w:t>
      </w:r>
      <w:r>
        <w:t xml:space="preserve">variations</w:t>
      </w:r>
      <w:r>
        <w:t xml:space="preserve"> </w:t>
      </w:r>
      <w:r>
        <w:t xml:space="preserve">of</w:t>
      </w:r>
      <w:r>
        <w:t xml:space="preserve"> </w:t>
      </w:r>
      <w:r>
        <w:t xml:space="preserve">PM2.5</w:t>
      </w:r>
      <w:r>
        <w:t xml:space="preserve"> </w:t>
      </w:r>
      <w:r>
        <w:t xml:space="preserve">and</w:t>
      </w:r>
      <w:r>
        <w:t xml:space="preserve"> </w:t>
      </w:r>
      <w:r>
        <w:t xml:space="preserve">PM10</w:t>
      </w:r>
      <w:r>
        <w:t xml:space="preserve"> </w:t>
      </w:r>
      <w:r>
        <w:t xml:space="preserve">concentrations</w:t>
      </w:r>
      <w:r>
        <w:t xml:space="preserve"> </w:t>
      </w:r>
      <w:r>
        <w:t xml:space="preserve">in</w:t>
      </w:r>
      <w:r>
        <w:t xml:space="preserve"> </w:t>
      </w:r>
      <w:r>
        <w:t xml:space="preserve">urban</w:t>
      </w:r>
      <w:r>
        <w:t xml:space="preserve"> </w:t>
      </w:r>
      <w:r>
        <w:t xml:space="preserve">and</w:t>
      </w:r>
      <w:r>
        <w:t xml:space="preserve"> </w:t>
      </w:r>
      <w:r>
        <w:t xml:space="preserve">rural</w:t>
      </w:r>
      <w:r>
        <w:t xml:space="preserve"> </w:t>
      </w:r>
      <w:r>
        <w:t xml:space="preserve">areas</w:t>
      </w:r>
      <w:r>
        <w:t xml:space="preserve"> </w:t>
      </w:r>
      <w:r>
        <w:t xml:space="preserve">of</w:t>
      </w:r>
      <w:r>
        <w:t xml:space="preserve"> </w:t>
      </w:r>
      <w:r>
        <w:t xml:space="preserve">Mongolia</w:t>
      </w:r>
    </w:p>
    <w:p>
      <w:pPr>
        <w:pStyle w:val="Author"/>
      </w:pPr>
      <w:r>
        <w:t xml:space="preserve">Erdenebayar</w:t>
      </w:r>
      <w:r>
        <w:t xml:space="preserve"> </w:t>
      </w:r>
      <w:r>
        <w:t xml:space="preserve">Munkhtsetseg</w:t>
      </w:r>
    </w:p>
    <w:p>
      <w:pPr>
        <w:pStyle w:val="Author"/>
      </w:pPr>
      <w:r>
        <w:t xml:space="preserve">Atsushi</w:t>
      </w:r>
      <w:r>
        <w:t xml:space="preserve"> </w:t>
      </w:r>
      <w:r>
        <w:t xml:space="preserve">Shimizu</w:t>
      </w:r>
    </w:p>
    <w:p>
      <w:pPr>
        <w:pStyle w:val="Date"/>
      </w:pPr>
      <w:r>
        <w:t xml:space="preserve">2024-06-19</w:t>
      </w:r>
    </w:p>
    <w:p>
      <w:pPr>
        <w:pStyle w:val="AbstractTitle"/>
      </w:pPr>
      <w:r>
        <w:t xml:space="preserve">Abstract</w:t>
      </w:r>
    </w:p>
    <w:p>
      <w:pPr>
        <w:pStyle w:val="Abstract"/>
      </w:pPr>
      <w:r>
        <w:t xml:space="preserve">PM2.5</w:t>
      </w:r>
      <w:r>
        <w:t xml:space="preserve"> </w:t>
      </w:r>
      <w:r>
        <w:t xml:space="preserve">and</w:t>
      </w:r>
      <w:r>
        <w:t xml:space="preserve"> </w:t>
      </w:r>
      <w:r>
        <w:t xml:space="preserve">PM10</w:t>
      </w:r>
      <w:r>
        <w:t xml:space="preserve"> </w:t>
      </w:r>
      <w:r>
        <w:t xml:space="preserve">data</w:t>
      </w:r>
      <w:r>
        <w:t xml:space="preserve"> </w:t>
      </w:r>
      <w:r>
        <w:t xml:space="preserve">for</w:t>
      </w:r>
      <w:r>
        <w:t xml:space="preserve"> </w:t>
      </w:r>
      <w:r>
        <w:t xml:space="preserve">the</w:t>
      </w:r>
      <w:r>
        <w:t xml:space="preserve"> </w:t>
      </w:r>
      <w:r>
        <w:t xml:space="preserve">4</w:t>
      </w:r>
      <w:r>
        <w:t xml:space="preserve"> </w:t>
      </w:r>
      <w:r>
        <w:t xml:space="preserve">distinct</w:t>
      </w:r>
      <w:r>
        <w:t xml:space="preserve"> </w:t>
      </w:r>
      <w:r>
        <w:t xml:space="preserve">sites</w:t>
      </w:r>
      <w:r>
        <w:t xml:space="preserve"> </w:t>
      </w:r>
      <w:r>
        <w:t xml:space="preserve">of</w:t>
      </w:r>
      <w:r>
        <w:t xml:space="preserve"> </w:t>
      </w:r>
      <w:r>
        <w:t xml:space="preserve">Mongolia</w:t>
      </w:r>
      <w:r>
        <w:t xml:space="preserve"> </w:t>
      </w:r>
      <w:r>
        <w:t xml:space="preserve">from</w:t>
      </w:r>
      <w:r>
        <w:t xml:space="preserve"> </w:t>
      </w:r>
      <w:r>
        <w:t xml:space="preserve">2008</w:t>
      </w:r>
      <w:r>
        <w:t xml:space="preserve"> </w:t>
      </w:r>
      <w:r>
        <w:t xml:space="preserve">to</w:t>
      </w:r>
      <w:r>
        <w:t xml:space="preserve"> </w:t>
      </w:r>
      <w:r>
        <w:t xml:space="preserve">2020</w:t>
      </w:r>
      <w:r>
        <w:t xml:space="preserve"> </w:t>
      </w:r>
      <w:r>
        <w:t xml:space="preserve">is</w:t>
      </w:r>
      <w:r>
        <w:t xml:space="preserve"> </w:t>
      </w:r>
      <w:r>
        <w:t xml:space="preserve">found</w:t>
      </w:r>
      <w:r>
        <w:t xml:space="preserve"> </w:t>
      </w:r>
      <w:r>
        <w:t xml:space="preserve">….</w:t>
      </w:r>
      <w:r>
        <w:t xml:space="preserve"> </w:t>
      </w:r>
      <w:r>
        <w:t xml:space="preserve">…</w:t>
      </w:r>
    </w:p>
    <w:p>
      <w:pPr>
        <w:pStyle w:val="FirstParagraph"/>
      </w:pPr>
      <w:r>
        <w:rPr>
          <w:bCs/>
          <w:b/>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Cs/>
          <w:b/>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w:t>
      </w:r>
      <m:oMath>
        <m:r>
          <m:t>μ</m:t>
        </m:r>
        <m:r>
          <m:t>m</m:t>
        </m:r>
        <m:r>
          <m:rPr>
            <m:sty m:val="p"/>
          </m:rPr>
          <m:t>/</m:t>
        </m:r>
        <m:sSup>
          <m:e>
            <m:r>
              <m:t>m</m:t>
            </m:r>
          </m:e>
          <m:sup>
            <m:r>
              <m:t>3</m:t>
            </m:r>
          </m:sup>
        </m:sSup>
      </m:oMath>
      <w:r>
        <w:t xml:space="preserve"> </w:t>
      </w:r>
      <w:r>
        <w:t xml:space="preserve">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(Mirabelli et al., 2020). However, more in-depth and diversified research on air pollution and its health effects is essential, with the detailed information is necessary (Tan et al 2021) to have accuracy of assessing exposure to air pollution during developmentally relevant time periods, such as trimesters or months (Becerra et al., 2013; Gong et al., 2014; Kalkbrenner et al., 2014) or weeks (Chiu et al., 2016) More importantly, the increased concentrations of particulate matters has a significant effects on the climate system, altering the solar incidence, cloud formation, and precipitation. Because a comprehensive research studies on dust and aerosol, particularly from the dust source regions is invaluable. Much effort has been giving on this topic like… this and this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to demonstrate the distinct temporal and spatial variations of PM2.5 and PM10 across urban and rural Mongolia using extensive data from 2008 to 2020. The present study will contribute significantly to the understanding of air particulate matter patterns in Mongolia and providing comprehensive data insights for policymakers and public health sectors. Our findings is useful not only for addressing national health impacts but also beneficial for understanding air particulate matter as ambient air pollution, and tackling atmospheric aerosol effects in the climate system, and revealing their transboundary effects to the downwind regions in South-east Asia.</w:t>
      </w:r>
    </w:p>
    <w:bookmarkEnd w:id="20"/>
    <w:bookmarkStart w:id="45"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ook w:firstRow="0" w:lastRow="0" w:firstColumn="0" w:lastColumn="0" w:noHBand="0" w:noVBand="0" w:val="0000"/>
        <w:jc w:val="start"/>
        <w:tblLayout w:type="fixed"/>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Data/03_figur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4"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Data/03_tabl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2" w:name="data-quality-analysis"/>
    <w:p>
      <w:pPr>
        <w:pStyle w:val="Heading3"/>
      </w:pPr>
      <w:r>
        <w:t xml:space="preserve">2.2.2 Data quality analysis</w:t>
      </w:r>
    </w:p>
    <w:p>
      <w:pPr>
        <w:pStyle w:val="FirstParagraph"/>
      </w:pPr>
      <w:r>
        <w:rPr>
          <w:iCs/>
          <w:i/>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Cs/>
          <w:i/>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tbl>
      <w:tblPr>
        <w:tblStyle w:val="Table"/>
        <w:tblW w:type="pct" w:w="5000"/>
        <w:tblLook w:firstRow="0" w:lastRow="0" w:firstColumn="0" w:lastColumn="0" w:noHBand="0" w:noVBand="0" w:val="0000"/>
        <w:jc w:val="start"/>
        <w:tblLayout w:type="fixed"/>
      </w:tblPr>
      <w:tblGrid>
        <w:gridCol w:w="7920"/>
      </w:tblGrid>
      <w:tr>
        <w:tc>
          <w:tcPr/>
          <w:bookmarkStart w:id="34" w:name="fig-2"/>
          <w:p>
            <w:pPr>
              <w:pStyle w:val="Compact"/>
              <w:jc w:val="center"/>
            </w:pPr>
            <w:r>
              <w:drawing>
                <wp:inline>
                  <wp:extent cx="5334000" cy="4468442"/>
                  <wp:effectExtent b="0" l="0" r="0" t="0"/>
                  <wp:docPr descr="" title="" id="32" name="Picture"/>
                  <a:graphic>
                    <a:graphicData uri="http://schemas.openxmlformats.org/drawingml/2006/picture">
                      <pic:pic>
                        <pic:nvPicPr>
                          <pic:cNvPr descr="../Data/03_figures/fig-2_datasets_filled_by_mtdsi_NIES.png" id="33" name="Picture"/>
                          <pic:cNvPicPr>
                            <a:picLocks noChangeArrowheads="1" noChangeAspect="1"/>
                          </pic:cNvPicPr>
                        </pic:nvPicPr>
                        <pic:blipFill>
                          <a:blip r:embed="rId31"/>
                          <a:stretch>
                            <a:fillRect/>
                          </a:stretch>
                        </pic:blipFill>
                        <pic:spPr bwMode="auto">
                          <a:xfrm>
                            <a:off x="0" y="0"/>
                            <a:ext cx="5334000" cy="44684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Extended PM datasets (red color presents the data filled by mtdsi)</w:t>
            </w:r>
          </w:p>
          <w:bookmarkEnd w:id="34"/>
        </w:tc>
      </w:tr>
    </w:tbl>
    <w:p>
      <w:pPr>
        <w:pStyle w:val="BodyText"/>
      </w:pPr>
      <w:r>
        <w:t xml:space="preserve"> </w:t>
      </w:r>
    </w:p>
    <w:bookmarkStart w:id="41" w:name="fig-elephant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37" w:name="fig-surus"/>
                <w:p>
                  <w:pPr>
                    <w:pStyle w:val="Compact"/>
                    <w:jc w:val="center"/>
                    <w:jc w:val="left"/>
                  </w:pPr>
                  <w:r>
                    <w:drawing>
                      <wp:inline>
                        <wp:extent cx="2971800" cy="990600"/>
                        <wp:effectExtent b="0" l="0" r="0" t="0"/>
                        <wp:docPr descr="" title="" id="35" name="Picture"/>
                        <a:graphic>
                          <a:graphicData uri="http://schemas.openxmlformats.org/drawingml/2006/picture">
                            <pic:pic>
                              <pic:nvPicPr>
                                <pic:cNvPr descr="../Data/03_figures/fig-1_sites_of_NIES.png" id="36"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Surus</w:t>
                  </w:r>
                </w:p>
                <w:bookmarkEnd w:id="3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40" w:name="fig-hanno"/>
                <w:p>
                  <w:pPr>
                    <w:pStyle w:val="Compact"/>
                    <w:jc w:val="center"/>
                    <w:jc w:val="left"/>
                  </w:pPr>
                  <w:r>
                    <w:drawing>
                      <wp:inline>
                        <wp:extent cx="2971800" cy="990600"/>
                        <wp:effectExtent b="0" l="0" r="0" t="0"/>
                        <wp:docPr descr="" title="" id="38" name="Picture"/>
                        <a:graphic>
                          <a:graphicData uri="http://schemas.openxmlformats.org/drawingml/2006/picture">
                            <pic:pic>
                              <pic:nvPicPr>
                                <pic:cNvPr descr="../Data/03_figures/fig-1_sites_of_NIES.png" id="39"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Hanno</w:t>
                  </w:r>
                </w:p>
                <w:bookmarkEnd w:id="40"/>
              </w:tc>
            </w:tr>
          </w:tbl>
          <w:p/>
        </w:tc>
      </w:tr>
    </w:tbl>
    <w:p>
      <w:pPr>
        <w:pStyle w:val="BodyText"/>
      </w:pPr>
      <w:pPr>
        <w:spacing w:before="200"/>
        <w:pStyle w:val="ImageCaption"/>
      </w:pPr>
      <w:r>
        <w:t xml:space="preserve">Figure 2.3: Famous Elephants</w:t>
      </w:r>
    </w:p>
    <w:bookmarkEnd w:id="41"/>
    <w:bookmarkEnd w:id="42"/>
    <w:bookmarkStart w:id="43"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3"/>
    <w:bookmarkEnd w:id="44"/>
    <w:bookmarkEnd w:id="45"/>
    <w:bookmarkStart w:id="48" w:name="sec-results"/>
    <w:p>
      <w:pPr>
        <w:pStyle w:val="Heading1"/>
      </w:pPr>
      <w:r>
        <w:t xml:space="preserve">3. Results</w:t>
      </w:r>
    </w:p>
    <w:bookmarkStart w:id="46" w:name="X5564fcebed33957a355056b58c52f5706b06595"/>
    <w:p>
      <w:pPr>
        <w:pStyle w:val="Heading2"/>
      </w:pPr>
      <w:r>
        <w:t xml:space="preserve">3.1 PM intercomparisons of sites between anthropogenic and natural PM sources</w:t>
      </w:r>
    </w:p>
    <w:p>
      <w:pPr>
        <w:pStyle w:val="FirstParagraph"/>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46"/>
    <w:bookmarkStart w:id="47" w:name="temporal-variations"/>
    <w:p>
      <w:pPr>
        <w:pStyle w:val="Heading2"/>
      </w:pPr>
      <w:r>
        <w:t xml:space="preserve">3.2 Temporal variations</w:t>
      </w:r>
    </w:p>
    <w:p>
      <w:pPr>
        <w:pStyle w:val="FirstParagraph"/>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47"/>
    <w:bookmarkEnd w:id="48"/>
    <w:bookmarkStart w:id="49" w:name="sec-discussion"/>
    <w:p>
      <w:pPr>
        <w:pStyle w:val="Heading1"/>
      </w:pPr>
      <w:r>
        <w:t xml:space="preserve">4. Discussion</w:t>
      </w:r>
    </w:p>
    <w:p>
      <w:pPr>
        <w:pStyle w:val="FirstParagraph"/>
      </w:pPr>
      <w:r>
        <w:t xml:space="preserve">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49"/>
    <w:bookmarkStart w:id="60" w:name="sec-conclusions"/>
    <w:p>
      <w:pPr>
        <w:pStyle w:val="Heading1"/>
      </w:pPr>
      <w:r>
        <w:t xml:space="preserve">5.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w:t>
      </w:r>
      <w:r>
        <w:rPr>
          <w:bCs/>
          <w:b/>
        </w:rPr>
        <w:t xml:space="preserve">marrero2019?</w:t>
      </w:r>
      <w:r>
        <w:t xml:space="preserve">)</w:t>
      </w:r>
      <w:r>
        <w:t xml:space="preserve"> </w:t>
      </w:r>
      <w:r>
        <w:t xml:space="preserve"># References {.unnumbered}</w:t>
      </w:r>
    </w:p>
    <w:p>
      <w:pPr>
        <w:pStyle w:val="BodyText"/>
      </w:pPr>
      <w:r>
        <w:t xml:space="preserve">{#refs}</w:t>
      </w:r>
    </w:p>
    <w:bookmarkStart w:id="59" w:name="refs"/>
    <w:bookmarkStart w:id="50" w:name="ref-box2015time"/>
    <w:p>
      <w:pPr>
        <w:pStyle w:val="Bibliography"/>
      </w:pPr>
      <w:r>
        <w:t xml:space="preserve">Box, George EP, Gwilym M Jenkins, Gregory C Reinsel, and Greta M Ljung. 2015.</w:t>
      </w:r>
      <w:r>
        <w:t xml:space="preserve"> </w:t>
      </w:r>
      <w:r>
        <w:rPr>
          <w:iCs/>
          <w:i/>
        </w:rPr>
        <w:t xml:space="preserve">Time Series Analysis: Forecasting and Control</w:t>
      </w:r>
      <w:r>
        <w:t xml:space="preserve">. John Wiley &amp; Sons.</w:t>
      </w:r>
    </w:p>
    <w:bookmarkEnd w:id="50"/>
    <w:bookmarkStart w:id="51"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Cs/>
          <w:i/>
        </w:rPr>
        <w:t xml:space="preserve">Wireless Communications and Mobile Computing</w:t>
      </w:r>
      <w:r>
        <w:t xml:space="preserve"> </w:t>
      </w:r>
      <w:r>
        <w:t xml:space="preserve">2019.</w:t>
      </w:r>
    </w:p>
    <w:bookmarkEnd w:id="51"/>
    <w:bookmarkStart w:id="52"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Cs/>
          <w:i/>
        </w:rPr>
        <w:t xml:space="preserve">Advances in Space Research</w:t>
      </w:r>
      <w:r>
        <w:t xml:space="preserve"> </w:t>
      </w:r>
      <w:r>
        <w:t xml:space="preserve">59 (9): 2442–57.</w:t>
      </w:r>
    </w:p>
    <w:bookmarkEnd w:id="52"/>
    <w:bookmarkStart w:id="53"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Cs/>
          <w:i/>
        </w:rPr>
        <w:t xml:space="preserve">Chemical Engineering Research and Design</w:t>
      </w:r>
      <w:r>
        <w:t xml:space="preserve"> </w:t>
      </w:r>
      <w:r>
        <w:t xml:space="preserve">124: 1–19.</w:t>
      </w:r>
    </w:p>
    <w:bookmarkEnd w:id="53"/>
    <w:bookmarkStart w:id="54" w:name="ref-junger2012mtsdi"/>
    <w:p>
      <w:pPr>
        <w:pStyle w:val="Bibliography"/>
      </w:pPr>
      <w:r>
        <w:t xml:space="preserve">Junger, W, and APde Leon. 2012.</w:t>
      </w:r>
      <w:r>
        <w:t xml:space="preserve"> </w:t>
      </w:r>
      <w:r>
        <w:t xml:space="preserve">“Mtsdi: Multivariate Time Series Data Imputation.”</w:t>
      </w:r>
      <w:r>
        <w:t xml:space="preserve"> </w:t>
      </w:r>
      <w:r>
        <w:rPr>
          <w:iCs/>
          <w:i/>
        </w:rPr>
        <w:t xml:space="preserve">R Package 0.3</w:t>
      </w:r>
      <w:r>
        <w:t xml:space="preserve"> </w:t>
      </w:r>
      <w:r>
        <w:t xml:space="preserve">3.</w:t>
      </w:r>
    </w:p>
    <w:bookmarkEnd w:id="54"/>
    <w:bookmarkStart w:id="55"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Cs/>
          <w:i/>
        </w:rPr>
        <w:t xml:space="preserve">Cadernos Do IME</w:t>
      </w:r>
      <w:r>
        <w:t xml:space="preserve"> </w:t>
      </w:r>
      <w:r>
        <w:t xml:space="preserve">15 (8): 21.</w:t>
      </w:r>
    </w:p>
    <w:bookmarkEnd w:id="55"/>
    <w:bookmarkStart w:id="56" w:name="ref-meyler1998forecasting"/>
    <w:p>
      <w:pPr>
        <w:pStyle w:val="Bibliography"/>
      </w:pPr>
      <w:r>
        <w:t xml:space="preserve">Meyler, Aidan, Geoff Kenny, and Terry Quinn. 1998.</w:t>
      </w:r>
      <w:r>
        <w:t xml:space="preserve"> </w:t>
      </w:r>
      <w:r>
        <w:t xml:space="preserve">“Forecasting Irish Inflation Using ARIMA Models.”</w:t>
      </w:r>
    </w:p>
    <w:bookmarkEnd w:id="56"/>
    <w:bookmarkStart w:id="57" w:name="ref-motesaddi2022effects"/>
    <w:p>
      <w:pPr>
        <w:pStyle w:val="Bibliography"/>
      </w:pPr>
      <w:r>
        <w:t xml:space="preserve">Motesaddi Zarandi, Saeed, Mostafa Hadei, Seyed Saeed Hashemi, Elahe Shahhosseini, Philip K Hopke, Zahra Namvar, and Abbas Shahsavani. 2022.</w:t>
      </w:r>
      <w:r>
        <w:t xml:space="preserve"> </w:t>
      </w:r>
      <w:r>
        <w:t xml:space="preserve">“Effects of Ambient Air Pollutants on Hospital Admissions and Deaths for Cardiovascular Diseases: A Time Series Analysis in Tehran.”</w:t>
      </w:r>
      <w:r>
        <w:t xml:space="preserve"> </w:t>
      </w:r>
      <w:r>
        <w:rPr>
          <w:iCs/>
          <w:i/>
        </w:rPr>
        <w:t xml:space="preserve">Environmental Science and Pollution Research</w:t>
      </w:r>
      <w:r>
        <w:t xml:space="preserve">, 1–13.</w:t>
      </w:r>
    </w:p>
    <w:bookmarkEnd w:id="57"/>
    <w:bookmarkStart w:id="58"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Cs/>
          <w:i/>
        </w:rPr>
        <w:t xml:space="preserve">IEEE Transactions on Sustainable Energy</w:t>
      </w:r>
      <w:r>
        <w:t xml:space="preserve"> </w:t>
      </w:r>
      <w:r>
        <w:t xml:space="preserve">12 (1): 743–46.</w:t>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dc:creator>
  <cp:keywords>particulate matters, concentrations of PM10 and PM2.5</cp:keywords>
  <dcterms:created xsi:type="dcterms:W3CDTF">2024-06-19T08:46:11Z</dcterms:created>
  <dcterms:modified xsi:type="dcterms:W3CDTF">2024-06-19T08:46:11Z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2024-06-19</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