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2024-07-10</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9"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8"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36"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bookmarkStart w:id="35" w:name="fig-si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workflow"/>
                <w:p>
                  <w:pPr>
                    <w:pStyle w:val="Compact"/>
                    <w:jc w:val="center"/>
                    <w:jc w:val="left"/>
                  </w:pPr>
                  <w:r>
                    <w:drawing>
                      <wp:inline>
                        <wp:extent cx="3867912" cy="3745533"/>
                        <wp:effectExtent b="0" l="0" r="0" t="0"/>
                        <wp:docPr descr="" title="" id="26" name="Picture"/>
                        <a:graphic>
                          <a:graphicData uri="http://schemas.openxmlformats.org/drawingml/2006/picture">
                            <pic:pic>
                              <pic:nvPicPr>
                                <pic:cNvPr descr="images/fig-02_diagramDataAnalysis01A_01_600pxl.png" id="27" name="Picture"/>
                                <pic:cNvPicPr>
                                  <a:picLocks noChangeArrowheads="1" noChangeAspect="1"/>
                                </pic:cNvPicPr>
                              </pic:nvPicPr>
                              <pic:blipFill>
                                <a:blip r:embed="rId25"/>
                                <a:stretch>
                                  <a:fillRect/>
                                </a:stretch>
                              </pic:blipFill>
                              <pic:spPr bwMode="auto">
                                <a:xfrm>
                                  <a:off x="0" y="0"/>
                                  <a:ext cx="3867912" cy="374553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 workflow of data mining, missing data imputation and data filling</w:t>
                  </w:r>
                </w:p>
                <w:bookmarkEnd w:id="28"/>
              </w:tc>
            </w:tr>
          </w:tbl>
          <w:p/>
        </w:tc>
        <w:tc>
          <w:tcPr/>
          <w:tbl>
            <w:tblPr>
              <w:tblStyle w:val="Table"/>
              <w:tblW w:type="pct" w:w="4900"/>
              <w:tblLayout w:type="fixed"/>
              <w:tblLook w:firstRow="0" w:lastRow="0" w:firstColumn="0" w:lastColumn="0" w:noHBand="0" w:noVBand="0" w:val="0000"/>
            </w:tblPr>
            <w:tblGrid>
              <w:gridCol w:w="7761"/>
            </w:tblGrid>
            <w:tr>
              <w:tc>
                <w:tcPr/>
                <w:p>
                  <w:pPr>
                    <w:jc w:val="left"/>
                    <w:jc w:val="left"/>
                  </w:pPr>
                  <w:bookmarkStart w:id="32" w:name="fig-dataSpikes"/>
                  <w:r>
                    <w:drawing>
                      <wp:inline>
                        <wp:extent cx="2075688" cy="1440521"/>
                        <wp:effectExtent b="0" l="0" r="0" t="0"/>
                        <wp:docPr descr="" title="" id="30" name="Picture"/>
                        <a:graphic>
                          <a:graphicData uri="http://schemas.openxmlformats.org/drawingml/2006/picture">
                            <pic:pic>
                              <pic:nvPicPr>
                                <pic:cNvPr descr="images/fig-02_dataSpikes.png" id="31" name="Picture"/>
                                <pic:cNvPicPr>
                                  <a:picLocks noChangeArrowheads="1" noChangeAspect="1"/>
                                </pic:cNvPicPr>
                              </pic:nvPicPr>
                              <pic:blipFill>
                                <a:blip r:embed="rId29"/>
                                <a:stretch>
                                  <a:fillRect/>
                                </a:stretch>
                              </pic:blipFill>
                              <pic:spPr bwMode="auto">
                                <a:xfrm>
                                  <a:off x="0" y="0"/>
                                  <a:ext cx="2075688" cy="1440521"/>
                                </a:xfrm>
                                <a:prstGeom prst="rect">
                                  <a:avLst/>
                                </a:prstGeom>
                                <a:noFill/>
                                <a:ln w="9525">
                                  <a:noFill/>
                                  <a:headEnd/>
                                  <a:tailEnd/>
                                </a:ln>
                              </pic:spPr>
                            </pic:pic>
                          </a:graphicData>
                        </a:graphic>
                      </wp:inline>
                    </w:drawing>
                  </w:r>
                  <w:bookmarkEnd w:id="32"/>
                  <w:r>
                    <w:t xml:space="preserve"> </w:t>
                  </w:r>
                  <w:bookmarkStart w:id="33" w:name="fig-hanno1"/>
                  <w:r>
                    <w:t xml:space="preserve">Hanno1</w:t>
                  </w:r>
                  <w:bookmarkEnd w:id="33"/>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4" w:name="fig-hanno"/>
                      <w:p>
                        <w:pPr>
                          <w:pStyle w:val="Compact"/>
                          <w:jc w:val="center"/>
                          <w:jc w:val="left"/>
                          <w:jc w:val="left"/>
                        </w:pPr>
                      </w:p>
                      <w:p>
                        <w:pPr>
                          <w:jc w:val="center"/>
                          <w:jc w:val="left"/>
                          <w:jc w:val="left"/>
                        </w:pPr>
                        <w:pPr>
                          <w:jc w:val="start"/>
                          <w:spacing w:before="200"/>
                          <w:pStyle w:val="ImageCaption"/>
                        </w:pPr>
                        <w:r>
                          <w:t xml:space="preserve">(b) A data quality check and validation</w:t>
                        </w:r>
                      </w:p>
                      <w:bookmarkEnd w:id="34"/>
                    </w:tc>
                  </w:tr>
                </w:tbl>
                <w:p/>
              </w:tc>
            </w:tr>
          </w:tbl>
          <w:p/>
        </w:tc>
      </w:tr>
    </w:tbl>
    <w:p>
      <w:pPr>
        <w:pStyle w:val="BodyText"/>
      </w:pPr>
      <w:pPr>
        <w:spacing w:before="200"/>
        <w:pStyle w:val="ImageCaption"/>
      </w:pPr>
      <w:r>
        <w:t xml:space="preserve">Figure 2.2: A workflow of data quality improvements</w:t>
      </w:r>
    </w:p>
    <w:bookmarkEnd w:id="35"/>
    <w:bookmarkEnd w:id="36"/>
    <w:bookmarkStart w:id="37"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7"/>
    <w:bookmarkEnd w:id="38"/>
    <w:bookmarkEnd w:id="39"/>
    <w:bookmarkStart w:id="42" w:name="sec-results"/>
    <w:p>
      <w:pPr>
        <w:pStyle w:val="Heading1"/>
      </w:pPr>
      <w:r>
        <w:t xml:space="preserve">3. Results</w:t>
      </w:r>
    </w:p>
    <w:bookmarkStart w:id="40"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40"/>
    <w:bookmarkStart w:id="41"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41"/>
    <w:bookmarkEnd w:id="42"/>
    <w:bookmarkStart w:id="43"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43"/>
    <w:bookmarkStart w:id="54"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53" w:name="refs"/>
    <w:bookmarkStart w:id="44"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44"/>
    <w:bookmarkStart w:id="45"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45"/>
    <w:bookmarkStart w:id="46"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46"/>
    <w:bookmarkStart w:id="47"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7"/>
    <w:bookmarkStart w:id="48"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8"/>
    <w:bookmarkStart w:id="49"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9"/>
    <w:bookmarkStart w:id="50" w:name="ref-meyler1998forecasting"/>
    <w:p>
      <w:pPr>
        <w:pStyle w:val="Bibliography"/>
      </w:pPr>
      <w:r>
        <w:t xml:space="preserve">Meyler, Aidan, Geoff Kenny, and Terry Quinn. 1998.</w:t>
      </w:r>
      <w:r>
        <w:t xml:space="preserve"> </w:t>
      </w:r>
      <w:r>
        <w:t xml:space="preserve">“Forecasting Irish Inflation Using ARIMA Models.”</w:t>
      </w:r>
    </w:p>
    <w:bookmarkEnd w:id="50"/>
    <w:bookmarkStart w:id="51"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51"/>
    <w:bookmarkStart w:id="52"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2024-07-10T07:49:27Z</dcterms:created>
  <dcterms:modified xsi:type="dcterms:W3CDTF">2024-07-10T07:49:27Z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2024-07-10</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