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2024-06-21</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2"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1"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29"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tbl>
      <w:tblPr>
        <w:tblStyle w:val="Table"/>
        <w:tblW w:type="pct" w:w="5000"/>
        <w:tblLayout w:type="fixed"/>
        <w:tblLook w:firstRow="0" w:lastRow="0" w:firstColumn="0" w:lastColumn="0" w:noHBand="0" w:noVBand="0" w:val="0000"/>
      </w:tblPr>
      <w:tblGrid>
        <w:gridCol w:w="7920"/>
      </w:tblGrid>
      <w:tr>
        <w:tc>
          <w:tcPr/>
          <w:bookmarkStart w:id="25" w:name="fig-2"/>
          <w:p>
            <w:pPr>
              <w:pStyle w:val="Compact"/>
              <w:jc w:val="center"/>
            </w:pPr>
          </w:p>
          <w:p>
            <w:pPr>
              <w:jc w:val="center"/>
            </w:pPr>
            <w:pPr>
              <w:jc w:val="start"/>
              <w:spacing w:before="200"/>
              <w:pStyle w:val="ImageCaption"/>
            </w:pPr>
            <w:r>
              <w:t xml:space="preserve">Figure 2.2: Extended PM datasets (red color presents the data filled by mtdsi)</w:t>
            </w:r>
          </w:p>
          <w:bookmarkEnd w:id="25"/>
        </w:tc>
      </w:tr>
    </w:tbl>
    <w:p>
      <w:pPr>
        <w:pStyle w:val="BodyText"/>
      </w:pPr>
      <w:r>
        <w:t xml:space="preserve"> </w:t>
      </w:r>
    </w:p>
    <w:bookmarkStart w:id="28" w:name="fig-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surus"/>
                <w:p>
                  <w:pPr>
                    <w:pStyle w:val="Compact"/>
                    <w:jc w:val="center"/>
                    <w:jc w:val="left"/>
                  </w:pPr>
                </w:p>
                <w:p>
                  <w:pPr>
                    <w:jc w:val="center"/>
                    <w:jc w:val="left"/>
                  </w:pPr>
                  <w:pPr>
                    <w:jc w:val="start"/>
                    <w:spacing w:before="200"/>
                    <w:pStyle w:val="ImageCaption"/>
                  </w:pPr>
                  <w:r>
                    <w:t xml:space="preserve">(a) Surus</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7" w:name="fig-hanno"/>
                <w:p>
                  <w:pPr>
                    <w:pStyle w:val="Compact"/>
                    <w:jc w:val="center"/>
                    <w:jc w:val="left"/>
                  </w:pPr>
                </w:p>
                <w:p>
                  <w:pPr>
                    <w:jc w:val="center"/>
                    <w:jc w:val="left"/>
                  </w:pPr>
                  <w:pPr>
                    <w:jc w:val="start"/>
                    <w:spacing w:before="200"/>
                    <w:pStyle w:val="ImageCaption"/>
                  </w:pPr>
                  <w:r>
                    <w:t xml:space="preserve">(b) Hanno</w:t>
                  </w:r>
                </w:p>
                <w:bookmarkEnd w:id="27"/>
              </w:tc>
            </w:tr>
          </w:tbl>
          <w:p/>
        </w:tc>
      </w:tr>
    </w:tbl>
    <w:p>
      <w:pPr>
        <w:pStyle w:val="BodyText"/>
      </w:pPr>
      <w:pPr>
        <w:spacing w:before="200"/>
        <w:pStyle w:val="ImageCaption"/>
      </w:pPr>
      <w:r>
        <w:t xml:space="preserve">Figure 2.3: Famous Elephants</w:t>
      </w:r>
    </w:p>
    <w:bookmarkEnd w:id="28"/>
    <w:bookmarkEnd w:id="29"/>
    <w:bookmarkStart w:id="30"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0"/>
    <w:bookmarkEnd w:id="31"/>
    <w:bookmarkEnd w:id="32"/>
    <w:bookmarkStart w:id="35" w:name="sec-results"/>
    <w:p>
      <w:pPr>
        <w:pStyle w:val="Heading1"/>
      </w:pPr>
      <w:r>
        <w:t xml:space="preserve">3. Results</w:t>
      </w:r>
    </w:p>
    <w:bookmarkStart w:id="33"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33"/>
    <w:bookmarkStart w:id="34"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34"/>
    <w:bookmarkEnd w:id="35"/>
    <w:bookmarkStart w:id="36"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36"/>
    <w:bookmarkStart w:id="47"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46" w:name="refs"/>
    <w:bookmarkStart w:id="37"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37"/>
    <w:bookmarkStart w:id="38"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38"/>
    <w:bookmarkStart w:id="39"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39"/>
    <w:bookmarkStart w:id="40"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0"/>
    <w:bookmarkStart w:id="41"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1"/>
    <w:bookmarkStart w:id="42"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2"/>
    <w:bookmarkStart w:id="43" w:name="ref-meyler1998forecasting"/>
    <w:p>
      <w:pPr>
        <w:pStyle w:val="Bibliography"/>
      </w:pPr>
      <w:r>
        <w:t xml:space="preserve">Meyler, Aidan, Geoff Kenny, and Terry Quinn. 1998.</w:t>
      </w:r>
      <w:r>
        <w:t xml:space="preserve"> </w:t>
      </w:r>
      <w:r>
        <w:t xml:space="preserve">“Forecasting Irish Inflation Using ARIMA Models.”</w:t>
      </w:r>
    </w:p>
    <w:bookmarkEnd w:id="43"/>
    <w:bookmarkStart w:id="44"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44"/>
    <w:bookmarkStart w:id="45"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2024-06-21T08:49:13Z</dcterms:created>
  <dcterms:modified xsi:type="dcterms:W3CDTF">2024-06-21T08:49:13Z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2024-06-21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