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aps/>
          <w:color w:val="2E5FA1"/>
          <w:sz w:val="28"/>
          <w:szCs w:val="28"/>
        </w:rPr>
        <w:t xml:space="preserve">AI ASSIST BG</w:t>
      </w:r>
    </w:p>
    <w:p>
      <w:pPr>
        <w:spacing w:after="100"/>
        <w:jc w:val="center"/>
      </w:pPr>
      <w:r>
        <w:rPr>
          <w:color w:val="666666"/>
          <w:sz w:val="28"/>
          <w:szCs w:val="28"/>
        </w:rPr>
        <w:t xml:space="preserve">—</w:t>
      </w:r>
    </w:p>
    <w:p>
      <w:pPr>
        <w:spacing w:after="400"/>
        <w:jc w:val="center"/>
      </w:pPr>
      <w:r>
        <w:rPr>
          <w:rFonts w:ascii="Arial" w:cs="Arial" w:eastAsia="Arial" w:hAnsi="Arial"/>
          <w:b/>
          <w:bCs/>
          <w:color w:val="1A1A2E"/>
          <w:sz w:val="48"/>
          <w:szCs w:val="48"/>
        </w:rPr>
        <w:t xml:space="preserve">EmpaTech AI Value Blueprint</w:t>
      </w:r>
    </w:p>
    <w:p>
      <w:pPr>
        <w:spacing w:after="100"/>
        <w:jc w:val="center"/>
      </w:pPr>
      <w:r>
        <w:rPr>
          <w:rFonts w:ascii="Arial" w:cs="Arial" w:eastAsia="Arial" w:hAnsi="Arial"/>
          <w:b/>
          <w:bCs/>
          <w:color w:val="2E5FA1"/>
          <w:sz w:val="40"/>
          <w:szCs w:val="40"/>
        </w:rPr>
        <w:t xml:space="preserve">Pipeline System</w:t>
      </w:r>
    </w:p>
    <w:p>
      <w:pPr>
        <w:spacing w:after="600"/>
        <w:jc w:val="center"/>
      </w:pPr>
      <w:r>
        <w:rPr>
          <w:rFonts w:ascii="Arial" w:cs="Arial" w:eastAsia="Arial" w:hAnsi="Arial"/>
          <w:color w:val="666666"/>
          <w:sz w:val="26"/>
          <w:szCs w:val="26"/>
        </w:rPr>
        <w:t xml:space="preserve">Executive Summary &amp; Operational Guide</w:t>
      </w:r>
    </w:p>
    <w:p>
      <w:pPr>
        <w:pBdr>
          <w:top w:val="single" w:color="2E5FA1" w:sz="2" w:space="1"/>
        </w:pBdr>
        <w:spacing w:after="0"/>
        <w:jc w:val="center"/>
      </w:pPr>
    </w:p>
    <w:p>
      <w:pPr>
        <w:spacing w:before="400"/>
        <w:jc w:val="center"/>
      </w:pPr>
      <w:r>
        <w:rPr>
          <w:rFonts w:ascii="Arial" w:cs="Arial" w:eastAsia="Arial" w:hAnsi="Arial"/>
          <w:color w:val="666666"/>
          <w:sz w:val="24"/>
          <w:szCs w:val="24"/>
        </w:rPr>
        <w:t xml:space="preserve">For the AI Consulting Team</w:t>
      </w:r>
    </w:p>
    <w:p>
      <w:pPr>
        <w:spacing w:after="100"/>
        <w:jc w:val="center"/>
      </w:pPr>
      <w:r>
        <w:rPr>
          <w:rFonts w:ascii="Arial" w:cs="Arial" w:eastAsia="Arial" w:hAnsi="Arial"/>
          <w:color w:val="666666"/>
          <w:sz w:val="22"/>
          <w:szCs w:val="22"/>
        </w:rPr>
        <w:t xml:space="preserve">Version 2.0 — May 2026</w:t>
      </w:r>
    </w:p>
    <w:p>
      <w:pPr>
        <w:jc w:val="center"/>
      </w:pPr>
      <w:r>
        <w:rPr>
          <w:rFonts w:ascii="Arial" w:cs="Arial" w:eastAsia="Arial" w:hAnsi="Arial"/>
          <w:b/>
          <w:bCs/>
          <w:color w:val="EF4444"/>
          <w:sz w:val="20"/>
          <w:szCs w:val="20"/>
        </w:rPr>
        <w:t xml:space="preserve">INTERNAL — NOT FOR CLIENT DISTRIBUTION</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1A2E"/>
          <w:sz w:val="32"/>
          <w:szCs w:val="32"/>
        </w:rPr>
        <w:t xml:space="preserve">1. Executive Summary</w:t>
      </w:r>
    </w:p>
    <w:p>
      <w:pPr>
        <w:spacing w:after="160" w:line="300"/>
      </w:pPr>
      <w:r>
        <w:rPr>
          <w:rFonts w:ascii="Arial" w:cs="Arial" w:eastAsia="Arial" w:hAnsi="Arial"/>
          <w:color w:val="333333"/>
          <w:sz w:val="22"/>
          <w:szCs w:val="22"/>
        </w:rPr>
        <w:t xml:space="preserve">This document explains the EmpaTech AI Value Blueprint system — how it works, why it is built the way it is, and what your role as an AI Consultant looks like within it. The system is designed to produce 80–90% of a client-ready AI diagnostic deliverable automatically, leaving you with the final 10–20%: reviewing, polishing, and delivering with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1" w:sz="12"/>
              <w:bottom w:val="none" w:color="FFFFFF" w:sz="0"/>
              <w:right w:val="none" w:color="FFFFFF" w:sz="0"/>
            </w:tcBorders>
            <w:shd w:fill="E8F0FE" w:val="clear"/>
            <w:tcMar>
              <w:top w:type="dxa" w:w="120"/>
              <w:left w:type="dxa" w:w="200"/>
              <w:bottom w:type="dxa" w:w="120"/>
              <w:right w:type="dxa" w:w="200"/>
            </w:tcMar>
          </w:tcPr>
          <w:p>
            <w:pPr>
              <w:spacing w:after="80"/>
            </w:pPr>
            <w:r>
              <w:rPr>
                <w:rFonts w:ascii="Arial" w:cs="Arial" w:eastAsia="Arial" w:hAnsi="Arial"/>
                <w:b/>
                <w:bCs/>
                <w:color w:val="2E5FA1"/>
                <w:sz w:val="22"/>
                <w:szCs w:val="22"/>
              </w:rPr>
              <w:t xml:space="preserve">The Core Idea in One Sentence</w:t>
            </w:r>
          </w:p>
          <w:p>
            <w:r>
              <w:rPr>
                <w:rFonts w:ascii="Arial" w:cs="Arial" w:eastAsia="Arial" w:hAnsi="Arial"/>
                <w:color w:val="333333"/>
                <w:sz w:val="22"/>
                <w:szCs w:val="22"/>
              </w:rPr>
              <w:t xml:space="preserve">The Blueprint pipeline is a 5-step assembly line where AI does the heavy analytical lifting, quality gates catch problems between each step before they spread, and you — the consultant — add the human judgment and client relationship expertise that makes the final deliverable trustworthy.</w:t>
            </w:r>
          </w:p>
        </w:tc>
      </w:tr>
    </w:tbl>
    <w:p>
      <w:pPr>
        <w:spacing w:after="160" w:line="300"/>
      </w:pPr>
      <w:r>
        <w:rPr>
          <w:rFonts w:ascii="Arial" w:cs="Arial" w:eastAsia="Arial" w:hAnsi="Arial"/>
          <w:color w:val="333333"/>
          <w:sz w:val="22"/>
          <w:szCs w:val="22"/>
        </w:rPr>
        <w:t xml:space="preserve">The system produces a 12–18 page AI Value Blueprint for each client. This deliverable identifies the client’s AI readiness, highest-value AI opportunities, and a recommended action sequence. It is priced at €7,500–€10,000 and should take 3–4.5 hours of total pipeline time with 1–2 hours of your direct involvement.</w:t>
      </w:r>
    </w:p>
    <w:p>
      <w:pPr>
        <w:spacing w:after="160" w:line="300"/>
      </w:pPr>
      <w:r>
        <w:rPr>
          <w:rFonts w:ascii="Arial" w:cs="Arial" w:eastAsia="Arial" w:hAnsi="Arial"/>
          <w:b/>
          <w:bCs/>
          <w:color w:val="333333"/>
          <w:sz w:val="22"/>
          <w:szCs w:val="22"/>
        </w:rPr>
        <w:t xml:space="preserve">What changed in Version 2.0: </w:t>
      </w:r>
      <w:r>
        <w:rPr>
          <w:rFonts w:ascii="Arial" w:cs="Arial" w:eastAsia="Arial" w:hAnsi="Arial"/>
          <w:color w:val="333333"/>
          <w:sz w:val="22"/>
          <w:szCs w:val="22"/>
        </w:rPr>
        <w:t xml:space="preserve">We have added a comprehensive Quality Gate system between every step of the pipeline, along with anti-hallucination defenses, pre-pipeline quality screens, industry-specific guidance, a golden example benchmark, programmatic validation tools, and an engagement tracking system. These additions exist for one reason: to ensure the AI produces reliable, evidence-grounded output that you can trust — so you spend your time on high-value consulting judgment, not on digging through client documents looking for errors the AI made.</w:t>
      </w:r>
    </w:p>
    <w:p>
      <w:r>
        <w:br w:type="page"/>
      </w:r>
    </w:p>
    <w:p>
      <w:pPr>
        <w:pStyle w:val="Heading1"/>
        <w:spacing w:after="200" w:before="360"/>
      </w:pPr>
      <w:r>
        <w:rPr>
          <w:rFonts w:ascii="Arial" w:cs="Arial" w:eastAsia="Arial" w:hAnsi="Arial"/>
          <w:b/>
          <w:bCs/>
          <w:color w:val="1A1A2E"/>
          <w:sz w:val="32"/>
          <w:szCs w:val="32"/>
        </w:rPr>
        <w:t xml:space="preserve">2. Why This System Exists</w:t>
      </w:r>
    </w:p>
    <w:p>
      <w:pPr>
        <w:pStyle w:val="Heading2"/>
        <w:spacing w:after="160" w:before="280"/>
      </w:pPr>
      <w:r>
        <w:rPr>
          <w:rFonts w:ascii="Arial" w:cs="Arial" w:eastAsia="Arial" w:hAnsi="Arial"/>
          <w:b/>
          <w:bCs/>
          <w:color w:val="2E5FA1"/>
          <w:sz w:val="26"/>
          <w:szCs w:val="26"/>
        </w:rPr>
        <w:t xml:space="preserve">2.1 The Problem We Are Solving</w:t>
      </w:r>
    </w:p>
    <w:p>
      <w:pPr>
        <w:spacing w:after="160" w:line="300"/>
      </w:pPr>
      <w:r>
        <w:rPr>
          <w:rFonts w:ascii="Arial" w:cs="Arial" w:eastAsia="Arial" w:hAnsi="Arial"/>
          <w:color w:val="333333"/>
          <w:sz w:val="22"/>
          <w:szCs w:val="22"/>
        </w:rPr>
        <w:t xml:space="preserve">Producing an AI diagnostic for a client traditionally requires 40–60 hours of senior consultant time: reading documents, scoring maturity, identifying opportunities, building roadmaps, and compiling a deliverable. At our billing rates, this makes comprehensive diagnostics accessible only to large enterprises willing to invest €75,000–€100,000+.</w:t>
      </w:r>
    </w:p>
    <w:p>
      <w:pPr>
        <w:spacing w:after="160" w:line="300"/>
      </w:pPr>
      <w:r>
        <w:rPr>
          <w:rFonts w:ascii="Arial" w:cs="Arial" w:eastAsia="Arial" w:hAnsi="Arial"/>
          <w:color w:val="333333"/>
          <w:sz w:val="22"/>
          <w:szCs w:val="22"/>
        </w:rPr>
        <w:t xml:space="preserve">The AI Value Blueprint compresses this into a productized service. By using AI to handle the analytical heavy-lifting — document parsing, evidence extraction, maturity scoring, opportunity generation, and report assembly — we can deliver a high-quality diagnostic at one-tenth of the cost and a fraction of the time.</w:t>
      </w:r>
    </w:p>
    <w:p>
      <w:pPr>
        <w:pStyle w:val="Heading2"/>
        <w:spacing w:after="160" w:before="280"/>
      </w:pPr>
      <w:r>
        <w:rPr>
          <w:rFonts w:ascii="Arial" w:cs="Arial" w:eastAsia="Arial" w:hAnsi="Arial"/>
          <w:b/>
          <w:bCs/>
          <w:color w:val="2E5FA1"/>
          <w:sz w:val="26"/>
          <w:szCs w:val="26"/>
        </w:rPr>
        <w:t xml:space="preserve">2.2 The Risk We Are Managing</w:t>
      </w:r>
    </w:p>
    <w:p>
      <w:pPr>
        <w:spacing w:after="160" w:line="300"/>
      </w:pPr>
      <w:r>
        <w:rPr>
          <w:rFonts w:ascii="Arial" w:cs="Arial" w:eastAsia="Arial" w:hAnsi="Arial"/>
          <w:color w:val="333333"/>
          <w:sz w:val="22"/>
          <w:szCs w:val="22"/>
        </w:rPr>
        <w:t xml:space="preserve">But here is the critical challenge: AI makes things up. It is called “hallucination” and it is the single biggest threat to this system’s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1" w:sz="12"/>
              <w:bottom w:val="none" w:color="FFFFFF" w:sz="0"/>
              <w:right w:val="none" w:color="FFFFFF" w:sz="0"/>
            </w:tcBorders>
            <w:shd w:fill="E8F0FE" w:val="clear"/>
            <w:tcMar>
              <w:top w:type="dxa" w:w="120"/>
              <w:left w:type="dxa" w:w="200"/>
              <w:bottom w:type="dxa" w:w="120"/>
              <w:right w:type="dxa" w:w="200"/>
            </w:tcMar>
          </w:tcPr>
          <w:p>
            <w:pPr>
              <w:spacing w:after="80"/>
            </w:pPr>
            <w:r>
              <w:rPr>
                <w:rFonts w:ascii="Arial" w:cs="Arial" w:eastAsia="Arial" w:hAnsi="Arial"/>
                <w:b/>
                <w:bCs/>
                <w:i/>
                <w:iCs/>
                <w:color w:val="2E5FA1"/>
                <w:sz w:val="22"/>
                <w:szCs w:val="22"/>
              </w:rPr>
              <w:t xml:space="preserve">The Telephone Game Analogy</w:t>
            </w:r>
          </w:p>
          <w:p>
            <w:r>
              <w:rPr>
                <w:rFonts w:ascii="Arial" w:cs="Arial" w:eastAsia="Arial" w:hAnsi="Arial"/>
                <w:color w:val="333333"/>
                <w:sz w:val="22"/>
                <w:szCs w:val="22"/>
              </w:rPr>
              <w:t xml:space="preserve">Think of the Blueprint pipeline like a game of telephone. There are 5 players (skills), and each one passes a message to the next. If Player 1 whispers something slightly wrong — say, inventing a revenue figure the client never mentioned — Player 2 uses that wrong number to score the client’s maturity. Player 3 uses that inflated score to justify an ambitious AI opportunity. Player 4 sequences that opportunity into the “start now” category. Player 5 puts it all in a polished document that goes to the client. By the time it reaches the client, one small fabrication has become a confident, specific, completely wrong recommendation.</w:t>
            </w:r>
          </w:p>
        </w:tc>
      </w:tr>
    </w:tbl>
    <w:p>
      <w:pPr>
        <w:spacing w:after="160" w:line="300"/>
      </w:pPr>
      <w:r>
        <w:rPr>
          <w:rFonts w:ascii="Arial" w:cs="Arial" w:eastAsia="Arial" w:hAnsi="Arial"/>
          <w:color w:val="333333"/>
          <w:sz w:val="22"/>
          <w:szCs w:val="22"/>
        </w:rPr>
        <w:t xml:space="preserve">The entire quality gate system described in this document exists to break that chain. Every step is checked. Every claim must have evidence. Every handoff is verified. If a problem is caught at Step 1, it gets fixed at Step 1 — not discovered at Step 5 when it has already contaminated everything downstream.</w:t>
      </w:r>
    </w:p>
    <w:p>
      <w:r>
        <w:br w:type="page"/>
      </w:r>
    </w:p>
    <w:p>
      <w:pPr>
        <w:pStyle w:val="Heading1"/>
        <w:spacing w:after="200" w:before="360"/>
      </w:pPr>
      <w:r>
        <w:rPr>
          <w:rFonts w:ascii="Arial" w:cs="Arial" w:eastAsia="Arial" w:hAnsi="Arial"/>
          <w:b/>
          <w:bCs/>
          <w:color w:val="1A1A2E"/>
          <w:sz w:val="32"/>
          <w:szCs w:val="32"/>
        </w:rPr>
        <w:t xml:space="preserve">3. How the Pipeline Works</w:t>
      </w:r>
    </w:p>
    <w:p>
      <w:pPr>
        <w:pStyle w:val="Heading2"/>
        <w:spacing w:after="160" w:before="280"/>
      </w:pPr>
      <w:r>
        <w:rPr>
          <w:rFonts w:ascii="Arial" w:cs="Arial" w:eastAsia="Arial" w:hAnsi="Arial"/>
          <w:b/>
          <w:bCs/>
          <w:color w:val="2E5FA1"/>
          <w:sz w:val="26"/>
          <w:szCs w:val="26"/>
        </w:rPr>
        <w:t xml:space="preserve">3.1 The 5-Step Assembly Line</w:t>
      </w:r>
    </w:p>
    <w:p>
      <w:pPr>
        <w:spacing w:after="160" w:line="300"/>
      </w:pPr>
      <w:r>
        <w:rPr>
          <w:rFonts w:ascii="Arial" w:cs="Arial" w:eastAsia="Arial" w:hAnsi="Arial"/>
          <w:color w:val="333333"/>
          <w:sz w:val="22"/>
          <w:szCs w:val="22"/>
        </w:rPr>
        <w:t xml:space="preserve">The Blueprint pipeline has 5 sequential steps. Each step takes the output of the previous step as input and produces its own output for the next step. Think of it like a car assembly line: the chassis comes first, then the engine goes in, then the electronics, then the interior, then quality inspection before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160"/>
      </w:tblGrid>
      <w:tr>
        <w:tc>
          <w:tcPr>
            <w:tcW w:type="dxa" w:w="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32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Produces</w:t>
            </w:r>
          </w:p>
        </w:tc>
        <w:tc>
          <w:tcPr>
            <w:tcW w:type="dxa" w:w="31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Real-World Analogy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Intake Analysis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Compressed Client Dossier (3–4 pages, internal)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doctor reading your medical history and test results before your appointment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Maturity Scoring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Readiness Snapshot (1 page, client-facing)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fitness assessment — scoring your strength, flexibility, and endurance before designing a workout plan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Opportunity Harvesting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Scored Opportunity Map (4–6 pages, client-facing)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financial advisor identifying and ranking investment opportunities based on your risk profile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Roadmap Composition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Recommended Action Sequence (1–2 pages, client-facing)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project manager deciding what to build first, second, and third based on dependencies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Blueprint Assembly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Final AI Value Blueprint (12–18 pages, client-facing DOCX)</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 editor compiling chapters into a polished book — without rewriting the content</w:t>
            </w:r>
          </w:p>
        </w:tc>
      </w:tr>
    </w:tbl>
    <w:p>
      <w:pPr>
        <w:spacing w:before="200"/>
      </w:pPr>
      <w:r>
        <w:rPr>
          <w:rFonts w:ascii="Arial" w:cs="Arial" w:eastAsia="Arial" w:hAnsi="Arial"/>
          <w:sz w:val="22"/>
          <w:szCs w:val="22"/>
        </w:rPr>
        <w:t xml:space="preserve"> </w:t>
      </w:r>
    </w:p>
    <w:p>
      <w:pPr>
        <w:pStyle w:val="Heading2"/>
        <w:spacing w:after="160" w:before="280"/>
      </w:pPr>
      <w:r>
        <w:rPr>
          <w:rFonts w:ascii="Arial" w:cs="Arial" w:eastAsia="Arial" w:hAnsi="Arial"/>
          <w:b/>
          <w:bCs/>
          <w:color w:val="2E5FA1"/>
          <w:sz w:val="26"/>
          <w:szCs w:val="26"/>
        </w:rPr>
        <w:t xml:space="preserve">3.2 What Happens at Each Step</w:t>
      </w:r>
    </w:p>
    <w:p>
      <w:pPr>
        <w:pStyle w:val="Heading3"/>
        <w:spacing w:after="120" w:before="200"/>
      </w:pPr>
      <w:r>
        <w:rPr>
          <w:rFonts w:ascii="Arial" w:cs="Arial" w:eastAsia="Arial" w:hAnsi="Arial"/>
          <w:b/>
          <w:bCs/>
          <w:color w:val="1A1A2E"/>
          <w:sz w:val="22"/>
          <w:szCs w:val="22"/>
        </w:rPr>
        <w:t xml:space="preserve">Step 1: Intake Analysis</w:t>
      </w:r>
    </w:p>
    <w:p>
      <w:pPr>
        <w:spacing w:after="160" w:line="300"/>
      </w:pPr>
      <w:r>
        <w:rPr>
          <w:rFonts w:ascii="Arial" w:cs="Arial" w:eastAsia="Arial" w:hAnsi="Arial"/>
          <w:color w:val="333333"/>
          <w:sz w:val="22"/>
          <w:szCs w:val="22"/>
        </w:rPr>
        <w:t xml:space="preserve">The intake analyst processes everything the client has given us: the structured intake form (7 sections covering company fundamentals, strategy, pain points, technology, people, data, and budget) plus uploaded documents (financial summaries, org charts, sales data, process docs, and more). It synthesizes all of this into a 3–4 page Compressed Client Dossier.</w:t>
      </w:r>
    </w:p>
    <w:p>
      <w:pPr>
        <w:spacing w:after="160" w:line="300"/>
      </w:pPr>
      <w:r>
        <w:rPr>
          <w:rFonts w:ascii="Arial" w:cs="Arial" w:eastAsia="Arial" w:hAnsi="Arial"/>
          <w:b/>
          <w:bCs/>
          <w:color w:val="333333"/>
          <w:sz w:val="22"/>
          <w:szCs w:val="22"/>
        </w:rPr>
        <w:t xml:space="preserve">Key principle: </w:t>
      </w:r>
      <w:r>
        <w:rPr>
          <w:rFonts w:ascii="Arial" w:cs="Arial" w:eastAsia="Arial" w:hAnsi="Arial"/>
          <w:color w:val="333333"/>
          <w:sz w:val="22"/>
          <w:szCs w:val="22"/>
        </w:rPr>
        <w:t xml:space="preserve">Every claim in the dossier must be tagged with where it came from. If the revenue figure came from the uploaded P&amp;L, it is tagged [Document-Backed]. If it came from the intake form, it is tagged [Form-Stated]. If the AI inferred something from combining multiple data points, it is tagged [Inferred]. If the AI used general industry knowledge to fill a gap, it is tagged [Assumption]. These tags are essential — they tell you and every downstream step how much to trust each piece of information.</w:t>
      </w:r>
    </w:p>
    <w:p>
      <w:pPr>
        <w:pStyle w:val="Heading3"/>
        <w:spacing w:after="120" w:before="200"/>
      </w:pPr>
      <w:r>
        <w:rPr>
          <w:rFonts w:ascii="Arial" w:cs="Arial" w:eastAsia="Arial" w:hAnsi="Arial"/>
          <w:b/>
          <w:bCs/>
          <w:color w:val="1A1A2E"/>
          <w:sz w:val="22"/>
          <w:szCs w:val="22"/>
        </w:rPr>
        <w:t xml:space="preserve">Step 2: Maturity Scoring</w:t>
      </w:r>
    </w:p>
    <w:p>
      <w:pPr>
        <w:spacing w:after="160" w:line="300"/>
      </w:pPr>
      <w:r>
        <w:rPr>
          <w:rFonts w:ascii="Arial" w:cs="Arial" w:eastAsia="Arial" w:hAnsi="Arial"/>
          <w:color w:val="333333"/>
          <w:sz w:val="22"/>
          <w:szCs w:val="22"/>
        </w:rPr>
        <w:t xml:space="preserve">The maturity scorer reads the dossier and scores the client across 6 dimensions: Strategy, Data, Technology, People, Processes, and Governance. Each dimension gets a level: Early, Developing, or Established. This is a simplified version of the full 5-level model used in the comprehensive AI Company Audit.</w:t>
      </w:r>
    </w:p>
    <w:p>
      <w:pPr>
        <w:spacing w:after="160" w:line="300"/>
      </w:pPr>
      <w:r>
        <w:rPr>
          <w:rFonts w:ascii="Arial" w:cs="Arial" w:eastAsia="Arial" w:hAnsi="Arial"/>
          <w:b/>
          <w:bCs/>
          <w:color w:val="333333"/>
          <w:sz w:val="22"/>
          <w:szCs w:val="22"/>
        </w:rPr>
        <w:t xml:space="preserve">Key principle: </w:t>
      </w:r>
      <w:r>
        <w:rPr>
          <w:rFonts w:ascii="Arial" w:cs="Arial" w:eastAsia="Arial" w:hAnsi="Arial"/>
          <w:color w:val="333333"/>
          <w:sz w:val="22"/>
          <w:szCs w:val="22"/>
        </w:rPr>
        <w:t xml:space="preserve">Conservative bias. When evidence is ambiguous, the system scores lower and notes what would confirm the higher score. Think of it like a doctor who says “I’d rather underestimate your fitness and have you exceed expectations than overestimate and have you get injured.” It is always safer to be pleasantly surprised than to over-promise.</w:t>
      </w:r>
    </w:p>
    <w:p>
      <w:pPr>
        <w:pStyle w:val="Heading3"/>
        <w:spacing w:after="120" w:before="200"/>
      </w:pPr>
      <w:r>
        <w:rPr>
          <w:rFonts w:ascii="Arial" w:cs="Arial" w:eastAsia="Arial" w:hAnsi="Arial"/>
          <w:b/>
          <w:bCs/>
          <w:color w:val="1A1A2E"/>
          <w:sz w:val="22"/>
          <w:szCs w:val="22"/>
        </w:rPr>
        <w:t xml:space="preserve">Step 3: Opportunity Harvesting</w:t>
      </w:r>
    </w:p>
    <w:p>
      <w:pPr>
        <w:spacing w:after="160" w:line="300"/>
      </w:pPr>
      <w:r>
        <w:rPr>
          <w:rFonts w:ascii="Arial" w:cs="Arial" w:eastAsia="Arial" w:hAnsi="Arial"/>
          <w:color w:val="333333"/>
          <w:sz w:val="22"/>
          <w:szCs w:val="22"/>
        </w:rPr>
        <w:t xml:space="preserve">This is the value engine of the Blueprint. The opportunity harvester takes the dossier (what hurts) and the maturity snapshot (what is feasible) and generates 5–7 scored AI opportunities. Each opportunity gets an Impact score (1–5), a Feasibility score (1–5), and an Alignment score (1–5). Opportunities are then classified as Quick Wins, Foundation Builders, or Big Bets.</w:t>
      </w:r>
    </w:p>
    <w:p>
      <w:pPr>
        <w:spacing w:after="160" w:line="300"/>
      </w:pPr>
      <w:r>
        <w:rPr>
          <w:rFonts w:ascii="Arial" w:cs="Arial" w:eastAsia="Arial" w:hAnsi="Arial"/>
          <w:b/>
          <w:bCs/>
          <w:color w:val="333333"/>
          <w:sz w:val="22"/>
          <w:szCs w:val="22"/>
        </w:rPr>
        <w:t xml:space="preserve">Key principle: </w:t>
      </w:r>
      <w:r>
        <w:rPr>
          <w:rFonts w:ascii="Arial" w:cs="Arial" w:eastAsia="Arial" w:hAnsi="Arial"/>
          <w:color w:val="333333"/>
          <w:sz w:val="22"/>
          <w:szCs w:val="22"/>
        </w:rPr>
        <w:t xml:space="preserve">Every opportunity must trace back to a specific pain point the client actually reported. The system is explicitly forbidden from generating generic “AI for everything” suggestions. If you cannot point to the exact client pain point an opportunity addresses, that opportunity is “slop” and gets removed.</w:t>
      </w:r>
    </w:p>
    <w:p>
      <w:pPr>
        <w:pStyle w:val="Heading3"/>
        <w:spacing w:after="120" w:before="200"/>
      </w:pPr>
      <w:r>
        <w:rPr>
          <w:rFonts w:ascii="Arial" w:cs="Arial" w:eastAsia="Arial" w:hAnsi="Arial"/>
          <w:b/>
          <w:bCs/>
          <w:color w:val="1A1A2E"/>
          <w:sz w:val="22"/>
          <w:szCs w:val="22"/>
        </w:rPr>
        <w:t xml:space="preserve">Step 4: Roadmap Composition</w:t>
      </w:r>
    </w:p>
    <w:p>
      <w:pPr>
        <w:spacing w:after="160" w:line="300"/>
      </w:pPr>
      <w:r>
        <w:rPr>
          <w:rFonts w:ascii="Arial" w:cs="Arial" w:eastAsia="Arial" w:hAnsi="Arial"/>
          <w:color w:val="333333"/>
          <w:sz w:val="22"/>
          <w:szCs w:val="22"/>
        </w:rPr>
        <w:t xml:space="preserve">The roadmap takes the scored opportunities and arranges them into a Now (months 1–3), Next (months 3–6), and Later (months 6–12) sequence. This sequencing is not subjective — it follows mechanical rules based on the maturity scores.</w:t>
      </w:r>
    </w:p>
    <w:p>
      <w:pPr>
        <w:spacing w:after="160" w:line="300"/>
      </w:pPr>
      <w:r>
        <w:rPr>
          <w:rFonts w:ascii="Arial" w:cs="Arial" w:eastAsia="Arial" w:hAnsi="Arial"/>
          <w:b/>
          <w:bCs/>
          <w:color w:val="333333"/>
          <w:sz w:val="22"/>
          <w:szCs w:val="22"/>
        </w:rPr>
        <w:t xml:space="preserve">Key principle: </w:t>
      </w:r>
      <w:r>
        <w:rPr>
          <w:rFonts w:ascii="Arial" w:cs="Arial" w:eastAsia="Arial" w:hAnsi="Arial"/>
          <w:color w:val="333333"/>
          <w:sz w:val="22"/>
          <w:szCs w:val="22"/>
        </w:rPr>
        <w:t xml:space="preserve">Maturity gating. If the client’s Data maturity is “Early,” data-heavy AI initiatives cannot go in the “Now” phase, period. The system must recommend building the data foundation first. Think of it like a building inspector: you cannot install the elevator until the structural foundation is complete, no matter how much the client wants an elevator.</w:t>
      </w:r>
    </w:p>
    <w:p>
      <w:pPr>
        <w:pStyle w:val="Heading3"/>
        <w:spacing w:after="120" w:before="200"/>
      </w:pPr>
      <w:r>
        <w:rPr>
          <w:rFonts w:ascii="Arial" w:cs="Arial" w:eastAsia="Arial" w:hAnsi="Arial"/>
          <w:b/>
          <w:bCs/>
          <w:color w:val="1A1A2E"/>
          <w:sz w:val="22"/>
          <w:szCs w:val="22"/>
        </w:rPr>
        <w:t xml:space="preserve">Step 5: Blueprint Assembly</w:t>
      </w:r>
    </w:p>
    <w:p>
      <w:pPr>
        <w:spacing w:after="160" w:line="300"/>
      </w:pPr>
      <w:r>
        <w:rPr>
          <w:rFonts w:ascii="Arial" w:cs="Arial" w:eastAsia="Arial" w:hAnsi="Arial"/>
          <w:color w:val="333333"/>
          <w:sz w:val="22"/>
          <w:szCs w:val="22"/>
        </w:rPr>
        <w:t xml:space="preserve">The assembler takes all four prior outputs and compiles them into a single, polished, client-facing DOCX document. This is the only step that produces something the client sees. All prior steps produced working analytical outputs; assembly polishes and packages them.</w:t>
      </w:r>
    </w:p>
    <w:p>
      <w:pPr>
        <w:spacing w:after="160" w:line="300"/>
      </w:pPr>
      <w:r>
        <w:rPr>
          <w:rFonts w:ascii="Arial" w:cs="Arial" w:eastAsia="Arial" w:hAnsi="Arial"/>
          <w:b/>
          <w:bCs/>
          <w:color w:val="333333"/>
          <w:sz w:val="22"/>
          <w:szCs w:val="22"/>
        </w:rPr>
        <w:t xml:space="preserve">Key principle: </w:t>
      </w:r>
      <w:r>
        <w:rPr>
          <w:rFonts w:ascii="Arial" w:cs="Arial" w:eastAsia="Arial" w:hAnsi="Arial"/>
          <w:color w:val="333333"/>
          <w:sz w:val="22"/>
          <w:szCs w:val="22"/>
        </w:rPr>
        <w:t xml:space="preserve">Assembly polishes; it does not rewrite. If the executive summary introduces a claim that was not in any upstream output, that is a hallucination. If a maturity score changes between the snapshot (Step 2) and the final document (Step 5), that is an error. Assembly’s job is formatting and tone — not new analysis.</w:t>
      </w:r>
    </w:p>
    <w:p>
      <w:r>
        <w:br w:type="page"/>
      </w:r>
    </w:p>
    <w:p>
      <w:pPr>
        <w:pStyle w:val="Heading1"/>
        <w:spacing w:after="200" w:before="360"/>
      </w:pPr>
      <w:r>
        <w:rPr>
          <w:rFonts w:ascii="Arial" w:cs="Arial" w:eastAsia="Arial" w:hAnsi="Arial"/>
          <w:b/>
          <w:bCs/>
          <w:color w:val="1A1A2E"/>
          <w:sz w:val="32"/>
          <w:szCs w:val="32"/>
        </w:rPr>
        <w:t xml:space="preserve">4. The Quality Gate System</w:t>
      </w:r>
    </w:p>
    <w:p>
      <w:pPr>
        <w:pStyle w:val="Heading2"/>
        <w:spacing w:after="160" w:before="280"/>
      </w:pPr>
      <w:r>
        <w:rPr>
          <w:rFonts w:ascii="Arial" w:cs="Arial" w:eastAsia="Arial" w:hAnsi="Arial"/>
          <w:b/>
          <w:bCs/>
          <w:color w:val="2E5FA1"/>
          <w:sz w:val="26"/>
          <w:szCs w:val="26"/>
        </w:rPr>
        <w:t xml:space="preserve">4.1 What Quality Gates Are</w:t>
      </w:r>
    </w:p>
    <w:p>
      <w:pPr>
        <w:spacing w:after="160" w:line="300"/>
      </w:pPr>
      <w:r>
        <w:rPr>
          <w:rFonts w:ascii="Arial" w:cs="Arial" w:eastAsia="Arial" w:hAnsi="Arial"/>
          <w:color w:val="333333"/>
          <w:sz w:val="22"/>
          <w:szCs w:val="22"/>
        </w:rPr>
        <w:t xml:space="preserve">Between every step of the pipeline, there is a mandatory quality checkpoint called a Quality Gate. Think of it like airport security between connecting flights: you cleared security in the first city, but you have to clear it again before your next flight. The purpose is the same — to catch anything dangerous before it gets further into the system.</w:t>
      </w:r>
    </w:p>
    <w:p>
      <w:pPr>
        <w:spacing w:after="160" w:line="300"/>
      </w:pPr>
      <w:r>
        <w:rPr>
          <w:rFonts w:ascii="Arial" w:cs="Arial" w:eastAsia="Arial" w:hAnsi="Arial"/>
          <w:color w:val="333333"/>
          <w:sz w:val="22"/>
          <w:szCs w:val="22"/>
        </w:rPr>
        <w:t xml:space="preserve">Each quality gate produces a Confidence Score from 0–100% by evaluating the output across 5 weighted dimensions. The score determines whether the output can proceed to the next step or needs human intervention first.</w:t>
      </w:r>
    </w:p>
    <w:p>
      <w:pPr>
        <w:pStyle w:val="Heading2"/>
        <w:spacing w:after="160" w:before="280"/>
      </w:pPr>
      <w:r>
        <w:rPr>
          <w:rFonts w:ascii="Arial" w:cs="Arial" w:eastAsia="Arial" w:hAnsi="Arial"/>
          <w:b/>
          <w:bCs/>
          <w:color w:val="2E5FA1"/>
          <w:sz w:val="26"/>
          <w:szCs w:val="26"/>
        </w:rPr>
        <w:t xml:space="preserve">4.2 The Confidence Score</w:t>
      </w:r>
    </w:p>
    <w:p>
      <w:pPr>
        <w:spacing w:after="160" w:line="300"/>
      </w:pPr>
      <w:r>
        <w:rPr>
          <w:rFonts w:ascii="Arial" w:cs="Arial" w:eastAsia="Arial" w:hAnsi="Arial"/>
          <w:color w:val="333333"/>
          <w:sz w:val="22"/>
          <w:szCs w:val="22"/>
        </w:rPr>
        <w:t xml:space="preserve">The Confidence Score is a weighted average of 5 dimensions. Each dimension measures something different, and they are weighted by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9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Evidence Grounding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40%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percentage of claims are backed by actual client documents or form responses, versus inferred or assumed? This is the primary anti-hallucination measure.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Are all required sections present and substantive? Or are some sections thin, missing, or filled with placeholder 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Internal Consistency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15%</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Are facts, numbers, scores, and client details consistent throughout the output and with upstream data? Inconsistencies are a hallmark of AI fabrication.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Downstream Readiness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Does the output contain everything the next step needs? Like checking that a package has the right label before it goes on the conveyor belt.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Hallucination Risk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focused check for the subtler forms of AI fabrication: invented specifics, false precision, phantom citations, and over-confident claims.</w:t>
            </w:r>
          </w:p>
        </w:tc>
      </w:tr>
    </w:tbl>
    <w:p>
      <w:pPr>
        <w:spacing w:before="200"/>
      </w:pPr>
      <w:r>
        <w:rPr>
          <w:rFonts w:ascii="Arial" w:cs="Arial" w:eastAsia="Arial" w:hAnsi="Arial"/>
          <w:sz w:val="22"/>
          <w:szCs w:val="22"/>
        </w:rPr>
        <w:t xml:space="preserve"> </w:t>
      </w:r>
    </w:p>
    <w:p>
      <w:pPr>
        <w:spacing w:after="160" w:line="300"/>
      </w:pPr>
      <w:r>
        <w:rPr>
          <w:rFonts w:ascii="Arial" w:cs="Arial" w:eastAsia="Arial" w:hAnsi="Arial"/>
          <w:b/>
          <w:bCs/>
          <w:color w:val="333333"/>
          <w:sz w:val="22"/>
          <w:szCs w:val="22"/>
        </w:rPr>
        <w:t xml:space="preserve">Why Evidence Grounding gets 40% of the weight: </w:t>
      </w:r>
      <w:r>
        <w:rPr>
          <w:rFonts w:ascii="Arial" w:cs="Arial" w:eastAsia="Arial" w:hAnsi="Arial"/>
          <w:color w:val="333333"/>
          <w:sz w:val="22"/>
          <w:szCs w:val="22"/>
        </w:rPr>
        <w:t xml:space="preserve">Because if the AI is making things up, nothing else matters. A beautifully structured, perfectly consistent, 100% complete output that is built on fabricated data is worse than useless — it is actively dangerous. Evidence grounding is the foundation that everything else rests on.</w:t>
      </w:r>
    </w:p>
    <w:p>
      <w:pPr>
        <w:pStyle w:val="Heading2"/>
        <w:spacing w:after="160" w:before="280"/>
      </w:pPr>
      <w:r>
        <w:rPr>
          <w:rFonts w:ascii="Arial" w:cs="Arial" w:eastAsia="Arial" w:hAnsi="Arial"/>
          <w:b/>
          <w:bCs/>
          <w:color w:val="2E5FA1"/>
          <w:sz w:val="26"/>
          <w:szCs w:val="26"/>
        </w:rPr>
        <w:t xml:space="preserve">4.3 The Four Confidence Bands</w:t>
      </w:r>
    </w:p>
    <w:p>
      <w:pPr>
        <w:spacing w:after="160" w:line="300"/>
      </w:pPr>
      <w:r>
        <w:rPr>
          <w:rFonts w:ascii="Arial" w:cs="Arial" w:eastAsia="Arial" w:hAnsi="Arial"/>
          <w:color w:val="333333"/>
          <w:sz w:val="22"/>
          <w:szCs w:val="22"/>
        </w:rPr>
        <w:t xml:space="preserve">The Confidence Score maps to one of four bands, each with a clear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200"/>
        <w:gridCol w:w="3560"/>
      </w:tblGrid>
      <w:tr>
        <w:tc>
          <w:tcPr>
            <w:tcW w:type="dxa" w:w="16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10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32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W w:type="dxa" w:w="35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Do</w:t>
            </w:r>
          </w:p>
        </w:tc>
      </w:tr>
      <w:tr>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Green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90–100%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Output looks complete and well-structured. Still worth a read, but likely solid.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Quick scan (5 minutes). Proceed to the next step.</w:t>
            </w:r>
          </w:p>
        </w:tc>
      </w:tr>
      <w:tr>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Amber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76–89%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output needs manual review and finetuning actions.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the flagged items (15–30 min). Fix specific issues. Proceed.</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 Blue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60–75%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strict evaluation. Probably essential details are missing. Worth closer attention.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Detailed review (30–60 min). Fill gaps from source documents. Re-run the gate.</w:t>
            </w:r>
          </w:p>
        </w:tc>
      </w:tr>
      <w:tr>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Red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 60%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Significant concern. Output may be incomplete or based on very thin evidence. Review carefully.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Stop. Assess root cause. Re-run the skill, request additional client materials, or escalate.</w:t>
            </w:r>
          </w:p>
        </w:tc>
      </w:tr>
    </w:tbl>
    <w:p>
      <w:pPr>
        <w:spacing w:before="20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1" w:sz="12"/>
              <w:bottom w:val="none" w:color="FFFFFF" w:sz="0"/>
              <w:right w:val="none" w:color="FFFFFF" w:sz="0"/>
            </w:tcBorders>
            <w:shd w:fill="E8F0FE" w:val="clear"/>
            <w:tcMar>
              <w:top w:type="dxa" w:w="120"/>
              <w:left w:type="dxa" w:w="200"/>
              <w:bottom w:type="dxa" w:w="120"/>
              <w:right w:type="dxa" w:w="200"/>
            </w:tcMar>
          </w:tcPr>
          <w:p>
            <w:pPr>
              <w:spacing w:after="80"/>
            </w:pPr>
            <w:r>
              <w:rPr>
                <w:rFonts w:ascii="Arial" w:cs="Arial" w:eastAsia="Arial" w:hAnsi="Arial"/>
                <w:b/>
                <w:bCs/>
                <w:i/>
                <w:iCs/>
                <w:color w:val="2E5FA1"/>
                <w:sz w:val="22"/>
                <w:szCs w:val="22"/>
              </w:rPr>
              <w:t xml:space="preserve">The Restaurant Kitchen Analogy</w:t>
            </w:r>
          </w:p>
          <w:p>
            <w:r>
              <w:rPr>
                <w:rFonts w:ascii="Arial" w:cs="Arial" w:eastAsia="Arial" w:hAnsi="Arial"/>
                <w:color w:val="333333"/>
                <w:sz w:val="22"/>
                <w:szCs w:val="22"/>
              </w:rPr>
              <w:t xml:space="preserve">Think of the quality gates like a head chef checking each dish before it leaves the kitchen. Green means the dish is ready to serve. Amber means “needs a pinch more salt, fix it quickly.” Blue means “something is fundamentally off — take it back to the line and redo that component.” Red means “we cannot serve this. Start over or check if we even have the right ingredients.” The head chef (you) makes the final call, but the system tells you exactly what to look at.</w:t>
            </w:r>
          </w:p>
        </w:tc>
      </w:tr>
    </w:tbl>
    <w:p>
      <w:pPr>
        <w:pStyle w:val="Heading2"/>
        <w:spacing w:after="160" w:before="280"/>
      </w:pPr>
      <w:r>
        <w:rPr>
          <w:rFonts w:ascii="Arial" w:cs="Arial" w:eastAsia="Arial" w:hAnsi="Arial"/>
          <w:b/>
          <w:bCs/>
          <w:color w:val="2E5FA1"/>
          <w:sz w:val="26"/>
          <w:szCs w:val="26"/>
        </w:rPr>
        <w:t xml:space="preserve">4.4 The Five Quality Gates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2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Between</w:t>
            </w:r>
          </w:p>
        </w:tc>
        <w:tc>
          <w:tcPr>
            <w:tcW w:type="dxa" w:w="2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What’s Assessed</w:t>
            </w:r>
          </w:p>
        </w:tc>
        <w:tc>
          <w:tcPr>
            <w:tcW w:type="dxa" w:w="25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to Proceed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QG-1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Intake → Maturity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Compressed Client Dossier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Amber (76%)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QG-2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Maturity → Opportunities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Readiness Snapshot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Amber (76%)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QG-3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Opportunities → Roadmap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Scored Opportunity Map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Amber (76%)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QG-4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Roadmap → Assembly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Recommended Action Sequence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Amber (76%)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QG-FINAL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Assembly → Client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Final Blueprint Deliverable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Green (90%)</w:t>
            </w:r>
          </w:p>
        </w:tc>
      </w:tr>
    </w:tbl>
    <w:p>
      <w:pPr>
        <w:spacing w:before="200"/>
      </w:pPr>
      <w:r>
        <w:rPr>
          <w:rFonts w:ascii="Arial" w:cs="Arial" w:eastAsia="Arial" w:hAnsi="Arial"/>
          <w:sz w:val="22"/>
          <w:szCs w:val="22"/>
        </w:rPr>
        <w:t xml:space="preserve"> </w:t>
      </w:r>
    </w:p>
    <w:p>
      <w:pPr>
        <w:spacing w:after="160" w:line="300"/>
      </w:pPr>
      <w:r>
        <w:rPr>
          <w:rFonts w:ascii="Arial" w:cs="Arial" w:eastAsia="Arial" w:hAnsi="Arial"/>
          <w:b/>
          <w:bCs/>
          <w:color w:val="333333"/>
          <w:sz w:val="22"/>
          <w:szCs w:val="22"/>
        </w:rPr>
        <w:t xml:space="preserve">Note: QG-FINAL requires Green (90%+), not just Amber. </w:t>
      </w:r>
      <w:r>
        <w:rPr>
          <w:rFonts w:ascii="Arial" w:cs="Arial" w:eastAsia="Arial" w:hAnsi="Arial"/>
          <w:color w:val="333333"/>
          <w:sz w:val="22"/>
          <w:szCs w:val="22"/>
        </w:rPr>
        <w:t xml:space="preserve">This is because the final document goes directly to the client. We can tolerate some roughness in intermediate working outputs, but the client deliverable must be solid. No exceptions.</w:t>
      </w:r>
    </w:p>
    <w:p>
      <w:r>
        <w:br w:type="page"/>
      </w:r>
    </w:p>
    <w:p>
      <w:pPr>
        <w:pStyle w:val="Heading1"/>
        <w:spacing w:after="200" w:before="360"/>
      </w:pPr>
      <w:r>
        <w:rPr>
          <w:rFonts w:ascii="Arial" w:cs="Arial" w:eastAsia="Arial" w:hAnsi="Arial"/>
          <w:b/>
          <w:bCs/>
          <w:color w:val="1A1A2E"/>
          <w:sz w:val="32"/>
          <w:szCs w:val="32"/>
        </w:rPr>
        <w:t xml:space="preserve">5. Anti-Hallucination Defenses</w:t>
      </w:r>
    </w:p>
    <w:p>
      <w:pPr>
        <w:spacing w:after="160" w:line="300"/>
      </w:pPr>
      <w:r>
        <w:rPr>
          <w:rFonts w:ascii="Arial" w:cs="Arial" w:eastAsia="Arial" w:hAnsi="Arial"/>
          <w:color w:val="333333"/>
          <w:sz w:val="22"/>
          <w:szCs w:val="22"/>
        </w:rPr>
        <w:t xml:space="preserve">AI hallucination is the single biggest quality risk in this pipeline. The system has multiple layers of defense, much like how a nuclear power plant has defense-in-depth — no single layer is enough, but together they create a robust safety system.</w:t>
      </w:r>
    </w:p>
    <w:p>
      <w:pPr>
        <w:pStyle w:val="Heading2"/>
        <w:spacing w:after="160" w:before="280"/>
      </w:pPr>
      <w:r>
        <w:rPr>
          <w:rFonts w:ascii="Arial" w:cs="Arial" w:eastAsia="Arial" w:hAnsi="Arial"/>
          <w:b/>
          <w:bCs/>
          <w:color w:val="2E5FA1"/>
          <w:sz w:val="26"/>
          <w:szCs w:val="26"/>
        </w:rPr>
        <w:t xml:space="preserve">5.1 Layer 1: Confidence Tagging (Built Into Every Skill)</w:t>
      </w:r>
    </w:p>
    <w:p>
      <w:pPr>
        <w:spacing w:after="160" w:line="300"/>
      </w:pPr>
      <w:r>
        <w:rPr>
          <w:rFonts w:ascii="Arial" w:cs="Arial" w:eastAsia="Arial" w:hAnsi="Arial"/>
          <w:color w:val="333333"/>
          <w:sz w:val="22"/>
          <w:szCs w:val="22"/>
        </w:rPr>
        <w:t xml:space="preserve">Every claim the AI makes must carry a tag declaring how confident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800"/>
        <w:gridCol w:w="1760"/>
      </w:tblGrid>
      <w:tr>
        <w:tc>
          <w:tcPr>
            <w:tcW w:type="dxa" w:w="26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32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1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c>
          <w:tcPr>
            <w:tcW w:type="dxa" w:w="17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Trust Level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[Document-Backed]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Directly from an uploaded client document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Trust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[Form-Stated]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the client’s intake form 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Trust but verify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[Inferred]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Derived from combining multiple data points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Medium-Low</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the reasoning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[Assumption]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Based on industry norms or general knowledge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Verify or flag</w:t>
            </w:r>
          </w:p>
        </w:tc>
      </w:tr>
    </w:tbl>
    <w:p>
      <w:pPr>
        <w:spacing w:before="200"/>
      </w:pPr>
      <w:r>
        <w:rPr>
          <w:rFonts w:ascii="Arial" w:cs="Arial" w:eastAsia="Arial" w:hAnsi="Arial"/>
          <w:sz w:val="22"/>
          <w:szCs w:val="22"/>
        </w:rPr>
        <w:t xml:space="preserve"> </w:t>
      </w:r>
    </w:p>
    <w:p>
      <w:pPr>
        <w:spacing w:after="160" w:line="300"/>
      </w:pPr>
      <w:r>
        <w:rPr>
          <w:rFonts w:ascii="Arial" w:cs="Arial" w:eastAsia="Arial" w:hAnsi="Arial"/>
          <w:color w:val="333333"/>
          <w:sz w:val="22"/>
          <w:szCs w:val="22"/>
        </w:rPr>
        <w:t xml:space="preserve">An output where 90% of claims are [Document-Backed] or [Form-Stated] is strong. An output where 50% of claims are [Assumption] is essentially guesswork dressed up as analysis.</w:t>
      </w:r>
    </w:p>
    <w:p>
      <w:pPr>
        <w:pStyle w:val="Heading2"/>
        <w:spacing w:after="160" w:before="280"/>
      </w:pPr>
      <w:r>
        <w:rPr>
          <w:rFonts w:ascii="Arial" w:cs="Arial" w:eastAsia="Arial" w:hAnsi="Arial"/>
          <w:b/>
          <w:bCs/>
          <w:color w:val="2E5FA1"/>
          <w:sz w:val="26"/>
          <w:szCs w:val="26"/>
        </w:rPr>
        <w:t xml:space="preserve">5.2 Layer 2: The 7-Point Grounding Check (Self-Assessment)</w:t>
      </w:r>
    </w:p>
    <w:p>
      <w:pPr>
        <w:spacing w:after="160" w:line="300"/>
      </w:pPr>
      <w:r>
        <w:rPr>
          <w:rFonts w:ascii="Arial" w:cs="Arial" w:eastAsia="Arial" w:hAnsi="Arial"/>
          <w:color w:val="333333"/>
          <w:sz w:val="22"/>
          <w:szCs w:val="22"/>
        </w:rPr>
        <w:t xml:space="preserve">Before every quality gate runs, each skill must self-assess its own output against a 7-point checklist. Think of it like a pilot’s pre-flight checklist — even experienced pilots run it every time:</w:t>
      </w:r>
    </w:p>
    <w:p>
      <w:pPr>
        <w:pStyle w:val="ListParagraph"/>
        <w:numPr>
          <w:ilvl w:val="0"/>
          <w:numId w:val="2"/>
        </w:numPr>
        <w:spacing w:after="80" w:line="280"/>
      </w:pPr>
      <w:r>
        <w:rPr>
          <w:rFonts w:ascii="Arial" w:cs="Arial" w:eastAsia="Arial" w:hAnsi="Arial"/>
          <w:b/>
          <w:bCs/>
          <w:color w:val="333333"/>
          <w:sz w:val="22"/>
          <w:szCs w:val="22"/>
        </w:rPr>
        <w:t xml:space="preserve">Citation Audit: </w:t>
      </w:r>
      <w:r>
        <w:rPr>
          <w:rFonts w:ascii="Arial" w:cs="Arial" w:eastAsia="Arial" w:hAnsi="Arial"/>
          <w:color w:val="333333"/>
          <w:sz w:val="22"/>
          <w:szCs w:val="22"/>
        </w:rPr>
        <w:t xml:space="preserve">Does every [Document-Backed] tag actually point to a real document?</w:t>
      </w:r>
    </w:p>
    <w:p>
      <w:pPr>
        <w:pStyle w:val="ListParagraph"/>
        <w:numPr>
          <w:ilvl w:val="0"/>
          <w:numId w:val="2"/>
        </w:numPr>
        <w:spacing w:after="80" w:line="280"/>
      </w:pPr>
      <w:r>
        <w:rPr>
          <w:rFonts w:ascii="Arial" w:cs="Arial" w:eastAsia="Arial" w:hAnsi="Arial"/>
          <w:b/>
          <w:bCs/>
          <w:color w:val="333333"/>
          <w:sz w:val="22"/>
          <w:szCs w:val="22"/>
        </w:rPr>
        <w:t xml:space="preserve">Untagged Claim Scan: </w:t>
      </w:r>
      <w:r>
        <w:rPr>
          <w:rFonts w:ascii="Arial" w:cs="Arial" w:eastAsia="Arial" w:hAnsi="Arial"/>
          <w:color w:val="333333"/>
          <w:sz w:val="22"/>
          <w:szCs w:val="22"/>
        </w:rPr>
        <w:t xml:space="preserve">Are there any claims floating around with no confidence tag at all?</w:t>
      </w:r>
    </w:p>
    <w:p>
      <w:pPr>
        <w:pStyle w:val="ListParagraph"/>
        <w:numPr>
          <w:ilvl w:val="0"/>
          <w:numId w:val="2"/>
        </w:numPr>
        <w:spacing w:after="80" w:line="280"/>
      </w:pPr>
      <w:r>
        <w:rPr>
          <w:rFonts w:ascii="Arial" w:cs="Arial" w:eastAsia="Arial" w:hAnsi="Arial"/>
          <w:b/>
          <w:bCs/>
          <w:color w:val="333333"/>
          <w:sz w:val="22"/>
          <w:szCs w:val="22"/>
        </w:rPr>
        <w:t xml:space="preserve">Specificity vs. Evidence Test: </w:t>
      </w:r>
      <w:r>
        <w:rPr>
          <w:rFonts w:ascii="Arial" w:cs="Arial" w:eastAsia="Arial" w:hAnsi="Arial"/>
          <w:color w:val="333333"/>
          <w:sz w:val="22"/>
          <w:szCs w:val="22"/>
        </w:rPr>
        <w:t xml:space="preserve">Is the AI being more precise than the evidence supports?</w:t>
      </w:r>
    </w:p>
    <w:p>
      <w:pPr>
        <w:pStyle w:val="ListParagraph"/>
        <w:numPr>
          <w:ilvl w:val="0"/>
          <w:numId w:val="2"/>
        </w:numPr>
        <w:spacing w:after="80" w:line="280"/>
      </w:pPr>
      <w:r>
        <w:rPr>
          <w:rFonts w:ascii="Arial" w:cs="Arial" w:eastAsia="Arial" w:hAnsi="Arial"/>
          <w:b/>
          <w:bCs/>
          <w:color w:val="333333"/>
          <w:sz w:val="22"/>
          <w:szCs w:val="22"/>
        </w:rPr>
        <w:t xml:space="preserve">Phantom Reference Check: </w:t>
      </w:r>
      <w:r>
        <w:rPr>
          <w:rFonts w:ascii="Arial" w:cs="Arial" w:eastAsia="Arial" w:hAnsi="Arial"/>
          <w:color w:val="333333"/>
          <w:sz w:val="22"/>
          <w:szCs w:val="22"/>
        </w:rPr>
        <w:t xml:space="preserve">Are any citations pointing to documents that were never provided?</w:t>
      </w:r>
    </w:p>
    <w:p>
      <w:pPr>
        <w:pStyle w:val="ListParagraph"/>
        <w:numPr>
          <w:ilvl w:val="0"/>
          <w:numId w:val="2"/>
        </w:numPr>
        <w:spacing w:after="80" w:line="280"/>
      </w:pPr>
      <w:r>
        <w:rPr>
          <w:rFonts w:ascii="Arial" w:cs="Arial" w:eastAsia="Arial" w:hAnsi="Arial"/>
          <w:b/>
          <w:bCs/>
          <w:color w:val="333333"/>
          <w:sz w:val="22"/>
          <w:szCs w:val="22"/>
        </w:rPr>
        <w:t xml:space="preserve">Upstream Fidelity Check: </w:t>
      </w:r>
      <w:r>
        <w:rPr>
          <w:rFonts w:ascii="Arial" w:cs="Arial" w:eastAsia="Arial" w:hAnsi="Arial"/>
          <w:color w:val="333333"/>
          <w:sz w:val="22"/>
          <w:szCs w:val="22"/>
        </w:rPr>
        <w:t xml:space="preserve">Do facts from the previous step match exactly, or have they drifted?</w:t>
      </w:r>
    </w:p>
    <w:p>
      <w:pPr>
        <w:pStyle w:val="ListParagraph"/>
        <w:numPr>
          <w:ilvl w:val="0"/>
          <w:numId w:val="2"/>
        </w:numPr>
        <w:spacing w:after="80" w:line="280"/>
      </w:pPr>
      <w:r>
        <w:rPr>
          <w:rFonts w:ascii="Arial" w:cs="Arial" w:eastAsia="Arial" w:hAnsi="Arial"/>
          <w:b/>
          <w:bCs/>
          <w:color w:val="333333"/>
          <w:sz w:val="22"/>
          <w:szCs w:val="22"/>
        </w:rPr>
        <w:t xml:space="preserve">Absence Acknowledgment: </w:t>
      </w:r>
      <w:r>
        <w:rPr>
          <w:rFonts w:ascii="Arial" w:cs="Arial" w:eastAsia="Arial" w:hAnsi="Arial"/>
          <w:color w:val="333333"/>
          <w:sz w:val="22"/>
          <w:szCs w:val="22"/>
        </w:rPr>
        <w:t xml:space="preserve">Where evidence is thin, did the AI say so — or did it quietly fill the gap?</w:t>
      </w:r>
    </w:p>
    <w:p>
      <w:pPr>
        <w:pStyle w:val="ListParagraph"/>
        <w:numPr>
          <w:ilvl w:val="0"/>
          <w:numId w:val="2"/>
        </w:numPr>
        <w:spacing w:after="80" w:line="280"/>
      </w:pPr>
      <w:r>
        <w:rPr>
          <w:rFonts w:ascii="Arial" w:cs="Arial" w:eastAsia="Arial" w:hAnsi="Arial"/>
          <w:b/>
          <w:bCs/>
          <w:color w:val="333333"/>
          <w:sz w:val="22"/>
          <w:szCs w:val="22"/>
        </w:rPr>
        <w:t xml:space="preserve">Output Structure Compliance: </w:t>
      </w:r>
      <w:r>
        <w:rPr>
          <w:rFonts w:ascii="Arial" w:cs="Arial" w:eastAsia="Arial" w:hAnsi="Arial"/>
          <w:color w:val="333333"/>
          <w:sz w:val="22"/>
          <w:szCs w:val="22"/>
        </w:rPr>
        <w:t xml:space="preserve">Does the output match the required format?</w:t>
      </w:r>
    </w:p>
    <w:p>
      <w:pPr>
        <w:pStyle w:val="Heading2"/>
        <w:spacing w:after="160" w:before="280"/>
      </w:pPr>
      <w:r>
        <w:rPr>
          <w:rFonts w:ascii="Arial" w:cs="Arial" w:eastAsia="Arial" w:hAnsi="Arial"/>
          <w:b/>
          <w:bCs/>
          <w:color w:val="2E5FA1"/>
          <w:sz w:val="26"/>
          <w:szCs w:val="26"/>
        </w:rPr>
        <w:t xml:space="preserve">5.3 Layer 3: The 10-Point Hallucination Red Flag List</w:t>
      </w:r>
    </w:p>
    <w:p>
      <w:pPr>
        <w:spacing w:after="160" w:line="300"/>
      </w:pPr>
      <w:r>
        <w:rPr>
          <w:rFonts w:ascii="Arial" w:cs="Arial" w:eastAsia="Arial" w:hAnsi="Arial"/>
          <w:color w:val="333333"/>
          <w:sz w:val="22"/>
          <w:szCs w:val="22"/>
        </w:rPr>
        <w:t xml:space="preserve">The quality gate also scans for specific patterns that are hallmarks of AI fabrication:</w:t>
      </w:r>
    </w:p>
    <w:p>
      <w:pPr>
        <w:pStyle w:val="ListParagraph"/>
        <w:numPr>
          <w:ilvl w:val="0"/>
          <w:numId w:val="3"/>
        </w:numPr>
        <w:spacing w:after="80" w:line="280"/>
      </w:pPr>
      <w:r>
        <w:rPr>
          <w:rFonts w:ascii="Arial" w:cs="Arial" w:eastAsia="Arial" w:hAnsi="Arial"/>
          <w:b/>
          <w:bCs/>
          <w:color w:val="333333"/>
          <w:sz w:val="22"/>
          <w:szCs w:val="22"/>
        </w:rPr>
        <w:t xml:space="preserve">Invented specifics — </w:t>
      </w:r>
      <w:r>
        <w:rPr>
          <w:rFonts w:ascii="Arial" w:cs="Arial" w:eastAsia="Arial" w:hAnsi="Arial"/>
          <w:color w:val="333333"/>
          <w:sz w:val="22"/>
          <w:szCs w:val="22"/>
        </w:rPr>
        <w:t xml:space="preserve">Precise numbers not found in any client document (e.g., “the company loses €2.3M annually to manual processes” when no such figure exists)</w:t>
      </w:r>
    </w:p>
    <w:p>
      <w:pPr>
        <w:pStyle w:val="ListParagraph"/>
        <w:numPr>
          <w:ilvl w:val="0"/>
          <w:numId w:val="3"/>
        </w:numPr>
        <w:spacing w:after="80" w:line="280"/>
      </w:pPr>
      <w:r>
        <w:rPr>
          <w:rFonts w:ascii="Arial" w:cs="Arial" w:eastAsia="Arial" w:hAnsi="Arial"/>
          <w:b/>
          <w:bCs/>
          <w:color w:val="333333"/>
          <w:sz w:val="22"/>
          <w:szCs w:val="22"/>
        </w:rPr>
        <w:t xml:space="preserve">False precision — </w:t>
      </w:r>
      <w:r>
        <w:rPr>
          <w:rFonts w:ascii="Arial" w:cs="Arial" w:eastAsia="Arial" w:hAnsi="Arial"/>
          <w:color w:val="333333"/>
          <w:sz w:val="22"/>
          <w:szCs w:val="22"/>
        </w:rPr>
        <w:t xml:space="preserve">Being more exact than the evidence allows (e.g., “47% improvement” when evidence only says “significant reduction possible”)</w:t>
      </w:r>
    </w:p>
    <w:p>
      <w:pPr>
        <w:pStyle w:val="ListParagraph"/>
        <w:numPr>
          <w:ilvl w:val="0"/>
          <w:numId w:val="3"/>
        </w:numPr>
        <w:spacing w:after="80" w:line="280"/>
      </w:pPr>
      <w:r>
        <w:rPr>
          <w:rFonts w:ascii="Arial" w:cs="Arial" w:eastAsia="Arial" w:hAnsi="Arial"/>
          <w:b/>
          <w:bCs/>
          <w:color w:val="333333"/>
          <w:sz w:val="22"/>
          <w:szCs w:val="22"/>
        </w:rPr>
        <w:t xml:space="preserve">Phantom citations — </w:t>
      </w:r>
      <w:r>
        <w:rPr>
          <w:rFonts w:ascii="Arial" w:cs="Arial" w:eastAsia="Arial" w:hAnsi="Arial"/>
          <w:color w:val="333333"/>
          <w:sz w:val="22"/>
          <w:szCs w:val="22"/>
        </w:rPr>
        <w:t xml:space="preserve">Referencing documents or pages that do not exist in the client’s materials</w:t>
      </w:r>
    </w:p>
    <w:p>
      <w:pPr>
        <w:pStyle w:val="ListParagraph"/>
        <w:numPr>
          <w:ilvl w:val="0"/>
          <w:numId w:val="3"/>
        </w:numPr>
        <w:spacing w:after="80" w:line="280"/>
      </w:pPr>
      <w:r>
        <w:rPr>
          <w:rFonts w:ascii="Arial" w:cs="Arial" w:eastAsia="Arial" w:hAnsi="Arial"/>
          <w:b/>
          <w:bCs/>
          <w:color w:val="333333"/>
          <w:sz w:val="22"/>
          <w:szCs w:val="22"/>
        </w:rPr>
        <w:t xml:space="preserve">Industry assumption injection — </w:t>
      </w:r>
      <w:r>
        <w:rPr>
          <w:rFonts w:ascii="Arial" w:cs="Arial" w:eastAsia="Arial" w:hAnsi="Arial"/>
          <w:color w:val="333333"/>
          <w:sz w:val="22"/>
          <w:szCs w:val="22"/>
        </w:rPr>
        <w:t xml:space="preserve">Presenting general industry stats as if they were client-specific findings</w:t>
      </w:r>
    </w:p>
    <w:p>
      <w:pPr>
        <w:pStyle w:val="ListParagraph"/>
        <w:numPr>
          <w:ilvl w:val="0"/>
          <w:numId w:val="3"/>
        </w:numPr>
        <w:spacing w:after="80" w:line="280"/>
      </w:pPr>
      <w:r>
        <w:rPr>
          <w:rFonts w:ascii="Arial" w:cs="Arial" w:eastAsia="Arial" w:hAnsi="Arial"/>
          <w:b/>
          <w:bCs/>
          <w:color w:val="333333"/>
          <w:sz w:val="22"/>
          <w:szCs w:val="22"/>
        </w:rPr>
        <w:t xml:space="preserve">Capability invention — </w:t>
      </w:r>
      <w:r>
        <w:rPr>
          <w:rFonts w:ascii="Arial" w:cs="Arial" w:eastAsia="Arial" w:hAnsi="Arial"/>
          <w:color w:val="333333"/>
          <w:sz w:val="22"/>
          <w:szCs w:val="22"/>
        </w:rPr>
        <w:t xml:space="preserve">Attributing tools or systems to the client that were never mentioned</w:t>
      </w:r>
    </w:p>
    <w:p>
      <w:pPr>
        <w:pStyle w:val="ListParagraph"/>
        <w:numPr>
          <w:ilvl w:val="0"/>
          <w:numId w:val="3"/>
        </w:numPr>
        <w:spacing w:after="80" w:line="280"/>
      </w:pPr>
      <w:r>
        <w:rPr>
          <w:rFonts w:ascii="Arial" w:cs="Arial" w:eastAsia="Arial" w:hAnsi="Arial"/>
          <w:b/>
          <w:bCs/>
          <w:color w:val="333333"/>
          <w:sz w:val="22"/>
          <w:szCs w:val="22"/>
        </w:rPr>
        <w:t xml:space="preserve">Causal fabrication — </w:t>
      </w:r>
      <w:r>
        <w:rPr>
          <w:rFonts w:ascii="Arial" w:cs="Arial" w:eastAsia="Arial" w:hAnsi="Arial"/>
          <w:color w:val="333333"/>
          <w:sz w:val="22"/>
          <w:szCs w:val="22"/>
        </w:rPr>
        <w:t xml:space="preserve">Creating cause-effect relationships not supported by any data</w:t>
      </w:r>
    </w:p>
    <w:p>
      <w:pPr>
        <w:spacing w:after="160" w:line="300"/>
      </w:pPr>
      <w:r>
        <w:rPr>
          <w:rFonts w:ascii="Arial" w:cs="Arial" w:eastAsia="Arial" w:hAnsi="Arial"/>
          <w:i/>
          <w:iCs/>
          <w:color w:val="666666"/>
          <w:sz w:val="22"/>
          <w:szCs w:val="22"/>
        </w:rPr>
        <w:t xml:space="preserve">The full list includes 10 red flags. Refer to the Evidence Grounding Checklist reference document for the complete set.</w:t>
      </w:r>
    </w:p>
    <w:p>
      <w:pPr>
        <w:pStyle w:val="Heading2"/>
        <w:spacing w:after="160" w:before="280"/>
      </w:pPr>
      <w:r>
        <w:rPr>
          <w:rFonts w:ascii="Arial" w:cs="Arial" w:eastAsia="Arial" w:hAnsi="Arial"/>
          <w:b/>
          <w:bCs/>
          <w:color w:val="2E5FA1"/>
          <w:sz w:val="26"/>
          <w:szCs w:val="26"/>
        </w:rPr>
        <w:t xml:space="preserve">5.4 Layer 4: Industry-Specific Hallucination Awareness</w:t>
      </w:r>
    </w:p>
    <w:p>
      <w:pPr>
        <w:spacing w:after="160" w:line="300"/>
      </w:pPr>
      <w:r>
        <w:rPr>
          <w:rFonts w:ascii="Arial" w:cs="Arial" w:eastAsia="Arial" w:hAnsi="Arial"/>
          <w:color w:val="333333"/>
          <w:sz w:val="22"/>
          <w:szCs w:val="22"/>
        </w:rPr>
        <w:t xml:space="preserve">Different industries trigger different AI hallucination patterns. A logistics client will face different risks than a healthcare client. The system includes an Industry Hallucination Hotspots guide covering 7 verticals (Logistics, Healthcare, Financial Services, Retail, Manufacturing, Professional Services, and Technology/SaaS).</w:t>
      </w:r>
    </w:p>
    <w:p>
      <w:pPr>
        <w:spacing w:after="160" w:line="300"/>
      </w:pPr>
      <w:r>
        <w:rPr>
          <w:rFonts w:ascii="Arial" w:cs="Arial" w:eastAsia="Arial" w:hAnsi="Arial"/>
          <w:b/>
          <w:bCs/>
          <w:color w:val="333333"/>
          <w:sz w:val="22"/>
          <w:szCs w:val="22"/>
        </w:rPr>
        <w:t xml:space="preserve">Example — Manufacturing: </w:t>
      </w:r>
      <w:r>
        <w:rPr>
          <w:rFonts w:ascii="Arial" w:cs="Arial" w:eastAsia="Arial" w:hAnsi="Arial"/>
          <w:color w:val="333333"/>
          <w:sz w:val="22"/>
          <w:szCs w:val="22"/>
        </w:rPr>
        <w:t xml:space="preserve">The AI is tempted to suggest “predictive maintenance using IoT sensor data” for virtually every manufacturer. But many small and mid-market manufacturers do not have IoT sensors at all. Suggesting sensor-based AI to a company that runs manual machinery is not just wrong — it makes us look like we did not actually read their materials.</w:t>
      </w:r>
    </w:p>
    <w:p>
      <w:pPr>
        <w:spacing w:after="160" w:line="300"/>
      </w:pPr>
      <w:r>
        <w:rPr>
          <w:rFonts w:ascii="Arial" w:cs="Arial" w:eastAsia="Arial" w:hAnsi="Arial"/>
          <w:b/>
          <w:bCs/>
          <w:color w:val="333333"/>
          <w:sz w:val="22"/>
          <w:szCs w:val="22"/>
        </w:rPr>
        <w:t xml:space="preserve">Example — Financial Services: </w:t>
      </w:r>
      <w:r>
        <w:rPr>
          <w:rFonts w:ascii="Arial" w:cs="Arial" w:eastAsia="Arial" w:hAnsi="Arial"/>
          <w:color w:val="333333"/>
          <w:sz w:val="22"/>
          <w:szCs w:val="22"/>
        </w:rPr>
        <w:t xml:space="preserve">The AI tends to assume fintech-level data infrastructure in traditional banks. It will suggest “real-time fraud detection” to a community bank that processes transactions in batch overnight. The industry guide helps catch these mismatches before they reach the client.</w:t>
      </w:r>
    </w:p>
    <w:p>
      <w:r>
        <w:br w:type="page"/>
      </w:r>
    </w:p>
    <w:p>
      <w:pPr>
        <w:pStyle w:val="Heading1"/>
        <w:spacing w:after="200" w:before="360"/>
      </w:pPr>
      <w:r>
        <w:rPr>
          <w:rFonts w:ascii="Arial" w:cs="Arial" w:eastAsia="Arial" w:hAnsi="Arial"/>
          <w:b/>
          <w:bCs/>
          <w:color w:val="1A1A2E"/>
          <w:sz w:val="32"/>
          <w:szCs w:val="32"/>
        </w:rPr>
        <w:t xml:space="preserve">6. Pre-Pipeline Quality Screens</w:t>
      </w:r>
    </w:p>
    <w:p>
      <w:pPr>
        <w:spacing w:after="160" w:line="300"/>
      </w:pPr>
      <w:r>
        <w:rPr>
          <w:rFonts w:ascii="Arial" w:cs="Arial" w:eastAsia="Arial" w:hAnsi="Arial"/>
          <w:color w:val="333333"/>
          <w:sz w:val="22"/>
          <w:szCs w:val="22"/>
        </w:rPr>
        <w:t xml:space="preserve">The best way to prevent quality problems in the pipeline is to catch them before the pipeline starts. We have three pre-pipeline screens:</w:t>
      </w:r>
    </w:p>
    <w:p>
      <w:pPr>
        <w:pStyle w:val="Heading2"/>
        <w:spacing w:after="160" w:before="280"/>
      </w:pPr>
      <w:r>
        <w:rPr>
          <w:rFonts w:ascii="Arial" w:cs="Arial" w:eastAsia="Arial" w:hAnsi="Arial"/>
          <w:b/>
          <w:bCs/>
          <w:color w:val="2E5FA1"/>
          <w:sz w:val="26"/>
          <w:szCs w:val="26"/>
        </w:rPr>
        <w:t xml:space="preserve">6.1 Intake Form Quality Score</w:t>
      </w:r>
    </w:p>
    <w:p>
      <w:pPr>
        <w:spacing w:after="160" w:line="300"/>
      </w:pPr>
      <w:r>
        <w:rPr>
          <w:rFonts w:ascii="Arial" w:cs="Arial" w:eastAsia="Arial" w:hAnsi="Arial"/>
          <w:color w:val="333333"/>
          <w:sz w:val="22"/>
          <w:szCs w:val="22"/>
        </w:rPr>
        <w:t xml:space="preserve">Before Step 1 runs, the system scores the client’s intake form responses across all 7 sections. Each section is rated 0–3 (Missing / Thin / Adequate / Rich) with weighted importance. Sections 1–4 (Company Fundamentals, Strategy, Pain Points, Technology) carry 1.5x weight because they directly drive every downstream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1" w:sz="12"/>
              <w:bottom w:val="none" w:color="FFFFFF" w:sz="0"/>
              <w:right w:val="none" w:color="FFFFFF" w:sz="0"/>
            </w:tcBorders>
            <w:shd w:fill="E8F0FE" w:val="clear"/>
            <w:tcMar>
              <w:top w:type="dxa" w:w="120"/>
              <w:left w:type="dxa" w:w="200"/>
              <w:bottom w:type="dxa" w:w="120"/>
              <w:right w:type="dxa" w:w="200"/>
            </w:tcMar>
          </w:tcPr>
          <w:p>
            <w:pPr>
              <w:spacing w:after="80"/>
            </w:pPr>
            <w:r>
              <w:rPr>
                <w:rFonts w:ascii="Arial" w:cs="Arial" w:eastAsia="Arial" w:hAnsi="Arial"/>
                <w:b/>
                <w:bCs/>
                <w:color w:val="2E5FA1"/>
                <w:sz w:val="22"/>
                <w:szCs w:val="22"/>
              </w:rPr>
              <w:t xml:space="preserve">What “Rich” vs. “Thin” Looks Like</w:t>
            </w:r>
          </w:p>
          <w:p>
            <w:pPr>
              <w:spacing w:after="80"/>
            </w:pPr>
            <w:r>
              <w:rPr>
                <w:rFonts w:ascii="Arial" w:cs="Arial" w:eastAsia="Arial" w:hAnsi="Arial"/>
                <w:b/>
                <w:bCs/>
                <w:color w:val="333333"/>
                <w:sz w:val="22"/>
                <w:szCs w:val="22"/>
              </w:rPr>
              <w:t xml:space="preserve">Rich answer: </w:t>
            </w:r>
            <w:r>
              <w:rPr>
                <w:rFonts w:ascii="Arial" w:cs="Arial" w:eastAsia="Arial" w:hAnsi="Arial"/>
                <w:color w:val="333333"/>
                <w:sz w:val="22"/>
                <w:szCs w:val="22"/>
              </w:rPr>
              <w:t xml:space="preserve">“SaaS B2B, €12M ARR, 85 employees across 4 departments (Sales 22, Engineering 35, Marketing 12, Operations 16), headquartered in Munich with remote team in Sofia.”</w:t>
            </w:r>
          </w:p>
          <w:p>
            <w:r>
              <w:rPr>
                <w:rFonts w:ascii="Arial" w:cs="Arial" w:eastAsia="Arial" w:hAnsi="Arial"/>
                <w:b/>
                <w:bCs/>
                <w:color w:val="333333"/>
                <w:sz w:val="22"/>
                <w:szCs w:val="22"/>
              </w:rPr>
              <w:t xml:space="preserve">Thin answer: </w:t>
            </w:r>
            <w:r>
              <w:rPr>
                <w:rFonts w:ascii="Arial" w:cs="Arial" w:eastAsia="Arial" w:hAnsi="Arial"/>
                <w:color w:val="333333"/>
                <w:sz w:val="22"/>
                <w:szCs w:val="22"/>
              </w:rPr>
              <w:t xml:space="preserve">“Software company, medium size.”</w:t>
            </w:r>
          </w:p>
        </w:tc>
      </w:tr>
    </w:tbl>
    <w:p>
      <w:pPr>
        <w:spacing w:after="160" w:line="300"/>
      </w:pPr>
      <w:r>
        <w:rPr>
          <w:rFonts w:ascii="Arial" w:cs="Arial" w:eastAsia="Arial" w:hAnsi="Arial"/>
          <w:color w:val="333333"/>
          <w:sz w:val="22"/>
          <w:szCs w:val="22"/>
        </w:rPr>
        <w:t xml:space="preserve">If the form quality score is below 50%, the pipeline should not start. Contact the client and request more detail. It is better to delay by a few days than to produce an unreliable Blueprint.</w:t>
      </w:r>
    </w:p>
    <w:p>
      <w:pPr>
        <w:pStyle w:val="Heading2"/>
        <w:spacing w:after="160" w:before="280"/>
      </w:pPr>
      <w:r>
        <w:rPr>
          <w:rFonts w:ascii="Arial" w:cs="Arial" w:eastAsia="Arial" w:hAnsi="Arial"/>
          <w:b/>
          <w:bCs/>
          <w:color w:val="2E5FA1"/>
          <w:sz w:val="26"/>
          <w:szCs w:val="26"/>
        </w:rPr>
        <w:t xml:space="preserve">6.2 Material Sufficiency Assessment</w:t>
      </w:r>
    </w:p>
    <w:p>
      <w:pPr>
        <w:spacing w:after="160" w:line="300"/>
      </w:pPr>
      <w:r>
        <w:rPr>
          <w:rFonts w:ascii="Arial" w:cs="Arial" w:eastAsia="Arial" w:hAnsi="Arial"/>
          <w:color w:val="333333"/>
          <w:sz w:val="22"/>
          <w:szCs w:val="22"/>
        </w:rPr>
        <w:t xml:space="preserve">The system checks whether the uploaded documents contain the data we need. Each of the 8 document categories has defined expectations — what ideal submissions look like, what the minimum is, and what red flags signal a document will not be useful. A thin intake form can sometimes be offset by rich documents (and vice versa), but if both are thin, the pipeline will struggle.</w:t>
      </w:r>
    </w:p>
    <w:p>
      <w:pPr>
        <w:pStyle w:val="Heading2"/>
        <w:spacing w:after="160" w:before="280"/>
      </w:pPr>
      <w:r>
        <w:rPr>
          <w:rFonts w:ascii="Arial" w:cs="Arial" w:eastAsia="Arial" w:hAnsi="Arial"/>
          <w:b/>
          <w:bCs/>
          <w:color w:val="2E5FA1"/>
          <w:sz w:val="26"/>
          <w:szCs w:val="26"/>
        </w:rPr>
        <w:t xml:space="preserve">6.3 Industry Hallucination Briefing</w:t>
      </w:r>
    </w:p>
    <w:p>
      <w:pPr>
        <w:spacing w:after="160" w:line="300"/>
      </w:pPr>
      <w:r>
        <w:rPr>
          <w:rFonts w:ascii="Arial" w:cs="Arial" w:eastAsia="Arial" w:hAnsi="Arial"/>
          <w:color w:val="333333"/>
          <w:sz w:val="22"/>
          <w:szCs w:val="22"/>
        </w:rPr>
        <w:t xml:space="preserve">Before Step 1 runs, the system loads the relevant industry section from the Hallucination Hotspots guide. This primes every skill to watch for the specific fabrication patterns common in that client’s industry.</w:t>
      </w:r>
    </w:p>
    <w:p>
      <w:r>
        <w:br w:type="page"/>
      </w:r>
    </w:p>
    <w:p>
      <w:pPr>
        <w:pStyle w:val="Heading1"/>
        <w:spacing w:after="200" w:before="360"/>
      </w:pPr>
      <w:r>
        <w:rPr>
          <w:rFonts w:ascii="Arial" w:cs="Arial" w:eastAsia="Arial" w:hAnsi="Arial"/>
          <w:b/>
          <w:bCs/>
          <w:color w:val="1A1A2E"/>
          <w:sz w:val="32"/>
          <w:szCs w:val="32"/>
        </w:rPr>
        <w:t xml:space="preserve">7. The Golden Example</w:t>
      </w:r>
    </w:p>
    <w:p>
      <w:pPr>
        <w:spacing w:after="160" w:line="300"/>
      </w:pPr>
      <w:r>
        <w:rPr>
          <w:rFonts w:ascii="Arial" w:cs="Arial" w:eastAsia="Arial" w:hAnsi="Arial"/>
          <w:color w:val="333333"/>
          <w:sz w:val="22"/>
          <w:szCs w:val="22"/>
        </w:rPr>
        <w:t xml:space="preserve">One of the most powerful quality tools in the system is the Golden Example — a complete, fictional but realistic pipeline run for a company called NovaTrans Logistics GmbH (a €28M German freight forwarding company with 145 employees).</w:t>
      </w:r>
    </w:p>
    <w:p>
      <w:pPr>
        <w:spacing w:after="160" w:line="300"/>
      </w:pPr>
      <w:r>
        <w:rPr>
          <w:rFonts w:ascii="Arial" w:cs="Arial" w:eastAsia="Arial" w:hAnsi="Arial"/>
          <w:color w:val="333333"/>
          <w:sz w:val="22"/>
          <w:szCs w:val="22"/>
        </w:rPr>
        <w:t xml:space="preserve">The Golden Example shows what Green-quality output looks like at every step. It demonstrates the right citation density, the right level of specificity, the right way to handle gaps in evidence, and the right quality self-assessment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1" w:sz="12"/>
              <w:bottom w:val="none" w:color="FFFFFF" w:sz="0"/>
              <w:right w:val="none" w:color="FFFFFF" w:sz="0"/>
            </w:tcBorders>
            <w:shd w:fill="E8F0FE" w:val="clear"/>
            <w:tcMar>
              <w:top w:type="dxa" w:w="120"/>
              <w:left w:type="dxa" w:w="200"/>
              <w:bottom w:type="dxa" w:w="120"/>
              <w:right w:type="dxa" w:w="200"/>
            </w:tcMar>
          </w:tcPr>
          <w:p>
            <w:pPr>
              <w:spacing w:after="80"/>
            </w:pPr>
            <w:r>
              <w:rPr>
                <w:rFonts w:ascii="Arial" w:cs="Arial" w:eastAsia="Arial" w:hAnsi="Arial"/>
                <w:b/>
                <w:bCs/>
                <w:i/>
                <w:iCs/>
                <w:color w:val="2E5FA1"/>
                <w:sz w:val="22"/>
                <w:szCs w:val="22"/>
              </w:rPr>
              <w:t xml:space="preserve">The Sheet Music Analogy</w:t>
            </w:r>
          </w:p>
          <w:p>
            <w:r>
              <w:rPr>
                <w:rFonts w:ascii="Arial" w:cs="Arial" w:eastAsia="Arial" w:hAnsi="Arial"/>
                <w:color w:val="333333"/>
                <w:sz w:val="22"/>
                <w:szCs w:val="22"/>
              </w:rPr>
              <w:t xml:space="preserve">The Golden Example is like sheet music for an orchestra. The methodology rules tell musicians what key to play in, what tempo to follow, and what dynamics to observe. But sheet music shows them what the finished piece sounds like. When a skill is unsure whether its output is good enough, it can compare against the Golden Example — not to copy it, but to calibrate its quality standard.</w:t>
            </w:r>
          </w:p>
        </w:tc>
      </w:tr>
    </w:tbl>
    <w:p>
      <w:pPr>
        <w:spacing w:after="160" w:line="300"/>
      </w:pPr>
      <w:r>
        <w:rPr>
          <w:rFonts w:ascii="Arial" w:cs="Arial" w:eastAsia="Arial" w:hAnsi="Arial"/>
          <w:color w:val="333333"/>
          <w:sz w:val="22"/>
          <w:szCs w:val="22"/>
        </w:rPr>
        <w:t xml:space="preserve">The Golden Example also includes a “Common Anti-Patterns” section with before/after comparisons showing exactly what goes wrong when the AI fabricates, inflates, or drifts. This is especially useful for training new consultants on what to watch for during their review passes.</w:t>
      </w:r>
    </w:p>
    <w:p>
      <w:r>
        <w:br w:type="page"/>
      </w:r>
    </w:p>
    <w:p>
      <w:pPr>
        <w:pStyle w:val="Heading1"/>
        <w:spacing w:after="200" w:before="360"/>
      </w:pPr>
      <w:r>
        <w:rPr>
          <w:rFonts w:ascii="Arial" w:cs="Arial" w:eastAsia="Arial" w:hAnsi="Arial"/>
          <w:b/>
          <w:bCs/>
          <w:color w:val="1A1A2E"/>
          <w:sz w:val="32"/>
          <w:szCs w:val="32"/>
        </w:rPr>
        <w:t xml:space="preserve">8. Operational Tools</w:t>
      </w:r>
    </w:p>
    <w:p>
      <w:pPr>
        <w:pStyle w:val="Heading2"/>
        <w:spacing w:after="160" w:before="280"/>
      </w:pPr>
      <w:r>
        <w:rPr>
          <w:rFonts w:ascii="Arial" w:cs="Arial" w:eastAsia="Arial" w:hAnsi="Arial"/>
          <w:b/>
          <w:bCs/>
          <w:color w:val="2E5FA1"/>
          <w:sz w:val="26"/>
          <w:szCs w:val="26"/>
        </w:rPr>
        <w:t xml:space="preserve">8.1 Data Contract Validation Script</w:t>
      </w:r>
    </w:p>
    <w:p>
      <w:pPr>
        <w:spacing w:after="160" w:line="300"/>
      </w:pPr>
      <w:r>
        <w:rPr>
          <w:rFonts w:ascii="Arial" w:cs="Arial" w:eastAsia="Arial" w:hAnsi="Arial"/>
          <w:color w:val="333333"/>
          <w:sz w:val="22"/>
          <w:szCs w:val="22"/>
        </w:rPr>
        <w:t xml:space="preserve">The system includes a Python command-line tool that can programmatically validate any skill’s output. Run it after each skill completes to get an automated pre-check before the quality gate:</w:t>
      </w:r>
    </w:p>
    <w:p>
      <w:pPr>
        <w:spacing w:after="160" w:line="300"/>
      </w:pPr>
      <w:r>
        <w:rPr>
          <w:rFonts w:ascii="Courier New" w:cs="Courier New" w:eastAsia="Courier New" w:hAnsi="Courier New"/>
          <w:color w:val="666666"/>
          <w:sz w:val="20"/>
          <w:szCs w:val="20"/>
        </w:rPr>
        <w:t xml:space="preserve">python validate_data_contract.py --skill intake --output dossier.md --documents p_and_l.pdf,orgchart.xlsx</w:t>
      </w:r>
    </w:p>
    <w:p>
      <w:pPr>
        <w:spacing w:after="160" w:line="300"/>
      </w:pPr>
      <w:r>
        <w:rPr>
          <w:rFonts w:ascii="Arial" w:cs="Arial" w:eastAsia="Arial" w:hAnsi="Arial"/>
          <w:color w:val="333333"/>
          <w:sz w:val="22"/>
          <w:szCs w:val="22"/>
        </w:rPr>
        <w:t xml:space="preserve">The script checks for required sections, counts confidence tags, calculates the Evidence Grounding score, detects phantom citations, and flags false precision patterns. It produces a color-coded terminal report and a JSON file for record-keeping.</w:t>
      </w:r>
    </w:p>
    <w:p>
      <w:pPr>
        <w:pStyle w:val="Heading2"/>
        <w:spacing w:after="160" w:before="280"/>
      </w:pPr>
      <w:r>
        <w:rPr>
          <w:rFonts w:ascii="Arial" w:cs="Arial" w:eastAsia="Arial" w:hAnsi="Arial"/>
          <w:b/>
          <w:bCs/>
          <w:color w:val="2E5FA1"/>
          <w:sz w:val="26"/>
          <w:szCs w:val="26"/>
        </w:rPr>
        <w:t xml:space="preserve">8.2 Engagement Tracker</w:t>
      </w:r>
    </w:p>
    <w:p>
      <w:pPr>
        <w:spacing w:after="160" w:line="300"/>
      </w:pPr>
      <w:r>
        <w:rPr>
          <w:rFonts w:ascii="Arial" w:cs="Arial" w:eastAsia="Arial" w:hAnsi="Arial"/>
          <w:color w:val="333333"/>
          <w:sz w:val="22"/>
          <w:szCs w:val="22"/>
        </w:rPr>
        <w:t xml:space="preserve">Every Blueprint engagement should be logged in the Engagement Tracker spreadsheet. This tracks Form Quality Scores, all quality gate scores (first pass and final), remediation time, consultant time, and overall pipeline time. Over time, this data reveals which steps consistently need the most remediation, which industries produce the thinnest materials, and where the system needs improvement.</w:t>
      </w:r>
    </w:p>
    <w:p>
      <w:pPr>
        <w:spacing w:after="160" w:line="300"/>
      </w:pPr>
      <w:r>
        <w:rPr>
          <w:rFonts w:ascii="Arial" w:cs="Arial" w:eastAsia="Arial" w:hAnsi="Arial"/>
          <w:b/>
          <w:bCs/>
          <w:color w:val="333333"/>
          <w:sz w:val="22"/>
          <w:szCs w:val="22"/>
        </w:rPr>
        <w:t xml:space="preserve">Why this matters to you: </w:t>
      </w:r>
      <w:r>
        <w:rPr>
          <w:rFonts w:ascii="Arial" w:cs="Arial" w:eastAsia="Arial" w:hAnsi="Arial"/>
          <w:color w:val="333333"/>
          <w:sz w:val="22"/>
          <w:szCs w:val="22"/>
        </w:rPr>
        <w:t xml:space="preserve">If you notice that QG-3 (Opportunities) consistently scores lowest, that is a signal that the opportunity harvesting skill needs refinement — not that you need to work harder. The tracker turns individual pain points into systemic improvements.</w:t>
      </w:r>
    </w:p>
    <w:p>
      <w:r>
        <w:br w:type="page"/>
      </w:r>
    </w:p>
    <w:p>
      <w:pPr>
        <w:pStyle w:val="Heading1"/>
        <w:spacing w:after="200" w:before="360"/>
      </w:pPr>
      <w:r>
        <w:rPr>
          <w:rFonts w:ascii="Arial" w:cs="Arial" w:eastAsia="Arial" w:hAnsi="Arial"/>
          <w:b/>
          <w:bCs/>
          <w:color w:val="1A1A2E"/>
          <w:sz w:val="32"/>
          <w:szCs w:val="32"/>
        </w:rPr>
        <w:t xml:space="preserve">9. Your Role as an AI Consultant</w:t>
      </w:r>
    </w:p>
    <w:p>
      <w:pPr>
        <w:pStyle w:val="Heading2"/>
        <w:spacing w:after="160" w:before="280"/>
      </w:pPr>
      <w:r>
        <w:rPr>
          <w:rFonts w:ascii="Arial" w:cs="Arial" w:eastAsia="Arial" w:hAnsi="Arial"/>
          <w:b/>
          <w:bCs/>
          <w:color w:val="2E5FA1"/>
          <w:sz w:val="26"/>
          <w:szCs w:val="26"/>
        </w:rPr>
        <w:t xml:space="preserve">9.1 What the System Does vs. What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1" w:sz="12"/>
              <w:bottom w:val="none" w:color="FFFFFF" w:sz="0"/>
              <w:right w:val="none" w:color="FFFFFF" w:sz="0"/>
            </w:tcBorders>
            <w:shd w:fill="E8F0FE" w:val="clear"/>
            <w:tcMar>
              <w:top w:type="dxa" w:w="120"/>
              <w:left w:type="dxa" w:w="200"/>
              <w:bottom w:type="dxa" w:w="120"/>
              <w:right w:type="dxa" w:w="200"/>
            </w:tcMar>
          </w:tcPr>
          <w:p>
            <w:pPr>
              <w:spacing w:after="80"/>
            </w:pPr>
            <w:r>
              <w:rPr>
                <w:rFonts w:ascii="Arial" w:cs="Arial" w:eastAsia="Arial" w:hAnsi="Arial"/>
                <w:b/>
                <w:bCs/>
                <w:i/>
                <w:iCs/>
                <w:color w:val="2E5FA1"/>
                <w:sz w:val="22"/>
                <w:szCs w:val="22"/>
              </w:rPr>
              <w:t xml:space="preserve">The Autopilot Analogy</w:t>
            </w:r>
          </w:p>
          <w:p>
            <w:r>
              <w:rPr>
                <w:rFonts w:ascii="Arial" w:cs="Arial" w:eastAsia="Arial" w:hAnsi="Arial"/>
                <w:color w:val="333333"/>
                <w:sz w:val="22"/>
                <w:szCs w:val="22"/>
              </w:rPr>
              <w:t xml:space="preserve">Think of this system like an aircraft autopilot. The autopilot handles the routine flying — maintaining altitude, following the route, managing speed. But the pilot is still in the cockpit. The pilot decides when to engage autopilot, monitors the instruments, handles turbulence, makes the landing, and communicates with passengers and air traffic control. The autopilot does 80–90% of the flying; the pilot does the 10–20% that requires human judgment, situational awareness, and trust.</w:t>
            </w:r>
          </w:p>
        </w:tc>
      </w:tr>
    </w:tbl>
    <w:p>
      <w:pPr>
        <w:spacing w:after="160" w:line="300"/>
      </w:pPr>
      <w:r>
        <w:rPr>
          <w:rFonts w:ascii="Arial" w:cs="Arial" w:eastAsia="Arial" w:hAnsi="Arial"/>
          <w:color w:val="333333"/>
          <w:sz w:val="22"/>
          <w:szCs w:val="22"/>
        </w:rPr>
        <w:t xml:space="preserve">Here is the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The System Does (80–90%)</w:t>
            </w:r>
          </w:p>
        </w:tc>
        <w:tc>
          <w:tcPr>
            <w:tcW w:type="dxa" w:w="468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You Do (10–20%)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Parse and extract data from client documents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the pre-pipeline quality screens and decide if materials are sufficient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Synthesize evidence into a structured dossier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 quality gate reports and address flagged items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Score maturity across 6 dimensions with citations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Verify that maturity scores feel right given your understanding of the client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and score AI opportunities grounded in pain 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Assess whether the opportunities make real-world business sense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Sequence opportunities using maturity gating rules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Validate that the sequence tells a coherent story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Compile the final deliverable with professional formatting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Final read-through for tone, accuracy, and client appropriateness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Run quality gates and produce confidence scores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Make the go/no-go decision on delivery and manage the client relationship</w:t>
            </w:r>
          </w:p>
        </w:tc>
      </w:tr>
    </w:tbl>
    <w:p>
      <w:pPr>
        <w:spacing w:before="200"/>
      </w:pPr>
      <w:r>
        <w:rPr>
          <w:rFonts w:ascii="Arial" w:cs="Arial" w:eastAsia="Arial" w:hAnsi="Arial"/>
          <w:sz w:val="22"/>
          <w:szCs w:val="22"/>
        </w:rPr>
        <w:t xml:space="preserve"> </w:t>
      </w:r>
    </w:p>
    <w:p>
      <w:pPr>
        <w:pStyle w:val="Heading2"/>
        <w:spacing w:after="160" w:before="280"/>
      </w:pPr>
      <w:r>
        <w:rPr>
          <w:rFonts w:ascii="Arial" w:cs="Arial" w:eastAsia="Arial" w:hAnsi="Arial"/>
          <w:b/>
          <w:bCs/>
          <w:color w:val="2E5FA1"/>
          <w:sz w:val="26"/>
          <w:szCs w:val="26"/>
        </w:rPr>
        <w:t xml:space="preserve">9.2 Time Budget</w:t>
      </w:r>
    </w:p>
    <w:p>
      <w:pPr>
        <w:spacing w:after="160" w:line="300"/>
      </w:pPr>
      <w:r>
        <w:rPr>
          <w:rFonts w:ascii="Arial" w:cs="Arial" w:eastAsia="Arial" w:hAnsi="Arial"/>
          <w:color w:val="333333"/>
          <w:sz w:val="22"/>
          <w:szCs w:val="22"/>
        </w:rPr>
        <w:t xml:space="preserve">For a typical engagement with adequate client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AI Time</w:t>
            </w:r>
          </w:p>
        </w:tc>
        <w:tc>
          <w:tcPr>
            <w:tcW w:type="dxa" w:w="27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Time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Pre-pipeline screens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minutes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 minutes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Steps 1–5 (AI execution)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70–110 minutes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Quality gates (QG-1 through QG-FINAL)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30 minutes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Gate review and remediation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30–60 minutes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Final review and polish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30–60 minutes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~2–2.5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~1–2 hours</w:t>
            </w:r>
          </w:p>
        </w:tc>
      </w:tr>
    </w:tbl>
    <w:p>
      <w:pPr>
        <w:spacing w:before="200"/>
      </w:pPr>
      <w:r>
        <w:rPr>
          <w:rFonts w:ascii="Arial" w:cs="Arial" w:eastAsia="Arial" w:hAnsi="Arial"/>
          <w:sz w:val="22"/>
          <w:szCs w:val="22"/>
        </w:rPr>
        <w:t xml:space="preserve"> </w:t>
      </w:r>
    </w:p>
    <w:p>
      <w:pPr>
        <w:spacing w:after="160" w:line="300"/>
      </w:pPr>
      <w:r>
        <w:rPr>
          <w:rFonts w:ascii="Arial" w:cs="Arial" w:eastAsia="Arial" w:hAnsi="Arial"/>
          <w:b/>
          <w:bCs/>
          <w:color w:val="333333"/>
          <w:sz w:val="22"/>
          <w:szCs w:val="22"/>
        </w:rPr>
        <w:t xml:space="preserve">Your total engagement time: 1–2 hours. </w:t>
      </w:r>
      <w:r>
        <w:rPr>
          <w:rFonts w:ascii="Arial" w:cs="Arial" w:eastAsia="Arial" w:hAnsi="Arial"/>
          <w:color w:val="333333"/>
          <w:sz w:val="22"/>
          <w:szCs w:val="22"/>
        </w:rPr>
        <w:t xml:space="preserve">This is the 10–20% that makes the difference between a generic AI output and a trusted consulting deliverable. Your expertise, judgment, and client knowledge are what transform an analytical output into a recommendation a CEO will act on.</w:t>
      </w:r>
    </w:p>
    <w:p>
      <w:pPr>
        <w:pStyle w:val="Heading2"/>
        <w:spacing w:after="160" w:before="280"/>
      </w:pPr>
      <w:r>
        <w:rPr>
          <w:rFonts w:ascii="Arial" w:cs="Arial" w:eastAsia="Arial" w:hAnsi="Arial"/>
          <w:b/>
          <w:bCs/>
          <w:color w:val="2E5FA1"/>
          <w:sz w:val="26"/>
          <w:szCs w:val="26"/>
        </w:rPr>
        <w:t xml:space="preserve">9.3 When to Override the System</w:t>
      </w:r>
    </w:p>
    <w:p>
      <w:pPr>
        <w:spacing w:after="160" w:line="300"/>
      </w:pPr>
      <w:r>
        <w:rPr>
          <w:rFonts w:ascii="Arial" w:cs="Arial" w:eastAsia="Arial" w:hAnsi="Arial"/>
          <w:color w:val="333333"/>
          <w:sz w:val="22"/>
          <w:szCs w:val="22"/>
        </w:rPr>
        <w:t xml:space="preserve">The quality gate system is a tool, not a boss. There will be situations where you exercise judgment that the system cannot:</w:t>
      </w:r>
    </w:p>
    <w:p>
      <w:pPr>
        <w:pStyle w:val="ListParagraph"/>
        <w:numPr>
          <w:ilvl w:val="0"/>
          <w:numId w:val="4"/>
        </w:numPr>
        <w:spacing w:after="80" w:line="280"/>
      </w:pPr>
      <w:r>
        <w:rPr>
          <w:rFonts w:ascii="Arial" w:cs="Arial" w:eastAsia="Arial" w:hAnsi="Arial"/>
          <w:b/>
          <w:bCs/>
          <w:color w:val="333333"/>
          <w:sz w:val="22"/>
          <w:szCs w:val="22"/>
        </w:rPr>
        <w:t xml:space="preserve">Client context you know but the documents do not show. </w:t>
      </w:r>
      <w:r>
        <w:rPr>
          <w:rFonts w:ascii="Arial" w:cs="Arial" w:eastAsia="Arial" w:hAnsi="Arial"/>
          <w:color w:val="333333"/>
          <w:sz w:val="22"/>
          <w:szCs w:val="22"/>
        </w:rPr>
        <w:t xml:space="preserve">If you have had a pre-engagement conversation with the client and know something the documents do not capture, you can supplement the dossier. Note your additions clearly.</w:t>
      </w:r>
    </w:p>
    <w:p>
      <w:pPr>
        <w:pStyle w:val="ListParagraph"/>
        <w:numPr>
          <w:ilvl w:val="0"/>
          <w:numId w:val="4"/>
        </w:numPr>
        <w:spacing w:after="80" w:line="280"/>
      </w:pPr>
      <w:r>
        <w:rPr>
          <w:rFonts w:ascii="Arial" w:cs="Arial" w:eastAsia="Arial" w:hAnsi="Arial"/>
          <w:b/>
          <w:bCs/>
          <w:color w:val="333333"/>
          <w:sz w:val="22"/>
          <w:szCs w:val="22"/>
        </w:rPr>
        <w:t xml:space="preserve">Industry expertise that adjusts a score. </w:t>
      </w:r>
      <w:r>
        <w:rPr>
          <w:rFonts w:ascii="Arial" w:cs="Arial" w:eastAsia="Arial" w:hAnsi="Arial"/>
          <w:color w:val="333333"/>
          <w:sz w:val="22"/>
          <w:szCs w:val="22"/>
        </w:rPr>
        <w:t xml:space="preserve">If the system scores an opportunity at Feasibility 4 but you know from experience that this type of initiative fails 80% of the time in this industry, adjust the score and note why.</w:t>
      </w:r>
    </w:p>
    <w:p>
      <w:pPr>
        <w:pStyle w:val="ListParagraph"/>
        <w:numPr>
          <w:ilvl w:val="0"/>
          <w:numId w:val="4"/>
        </w:numPr>
        <w:spacing w:after="80" w:line="280"/>
      </w:pPr>
      <w:r>
        <w:rPr>
          <w:rFonts w:ascii="Arial" w:cs="Arial" w:eastAsia="Arial" w:hAnsi="Arial"/>
          <w:b/>
          <w:bCs/>
          <w:color w:val="333333"/>
          <w:sz w:val="22"/>
          <w:szCs w:val="22"/>
        </w:rPr>
        <w:t xml:space="preserve">Client relationship considerations. </w:t>
      </w:r>
      <w:r>
        <w:rPr>
          <w:rFonts w:ascii="Arial" w:cs="Arial" w:eastAsia="Arial" w:hAnsi="Arial"/>
          <w:color w:val="333333"/>
          <w:sz w:val="22"/>
          <w:szCs w:val="22"/>
        </w:rPr>
        <w:t xml:space="preserve">The system might recommend a blunt finding. If you know the client’s CEO is sensitive about a particular topic, you can adjust the tone — but never suppress the finding itself.</w:t>
      </w:r>
    </w:p>
    <w:p>
      <w:pPr>
        <w:pStyle w:val="ListParagraph"/>
        <w:numPr>
          <w:ilvl w:val="0"/>
          <w:numId w:val="4"/>
        </w:numPr>
        <w:spacing w:after="80" w:line="280"/>
      </w:pPr>
      <w:r>
        <w:rPr>
          <w:rFonts w:ascii="Arial" w:cs="Arial" w:eastAsia="Arial" w:hAnsi="Arial"/>
          <w:b/>
          <w:bCs/>
          <w:color w:val="333333"/>
          <w:sz w:val="22"/>
          <w:szCs w:val="22"/>
        </w:rPr>
        <w:t xml:space="preserve">When Amber is good enough. </w:t>
      </w:r>
      <w:r>
        <w:rPr>
          <w:rFonts w:ascii="Arial" w:cs="Arial" w:eastAsia="Arial" w:hAnsi="Arial"/>
          <w:color w:val="333333"/>
          <w:sz w:val="22"/>
          <w:szCs w:val="22"/>
        </w:rPr>
        <w:t xml:space="preserve">Sometimes the client’s materials are simply thin. If you have done your best to remediate and the gate is still at 82%, use your judgment: is this the best Blueprint we can produce with what we have? If yes, proceed — and note the limitation in the deliverable.</w:t>
      </w:r>
    </w:p>
    <w:p>
      <w:r>
        <w:br w:type="page"/>
      </w:r>
    </w:p>
    <w:p>
      <w:pPr>
        <w:pStyle w:val="Heading1"/>
        <w:spacing w:after="200" w:before="360"/>
      </w:pPr>
      <w:r>
        <w:rPr>
          <w:rFonts w:ascii="Arial" w:cs="Arial" w:eastAsia="Arial" w:hAnsi="Arial"/>
          <w:b/>
          <w:bCs/>
          <w:color w:val="1A1A2E"/>
          <w:sz w:val="32"/>
          <w:szCs w:val="32"/>
        </w:rPr>
        <w:t xml:space="preserve">10. Reference File Inventory</w:t>
      </w:r>
    </w:p>
    <w:p>
      <w:pPr>
        <w:spacing w:after="160" w:line="300"/>
      </w:pPr>
      <w:r>
        <w:rPr>
          <w:rFonts w:ascii="Arial" w:cs="Arial" w:eastAsia="Arial" w:hAnsi="Arial"/>
          <w:color w:val="333333"/>
          <w:sz w:val="22"/>
          <w:szCs w:val="22"/>
        </w:rPr>
        <w:t xml:space="preserve">The complete pipeline system consists of 16 files organized across skill folders. Here is the full inventory:</w:t>
      </w:r>
    </w:p>
    <w:p>
      <w:pPr>
        <w:pStyle w:val="Heading2"/>
        <w:spacing w:after="160" w:before="280"/>
      </w:pPr>
      <w:r>
        <w:rPr>
          <w:rFonts w:ascii="Arial" w:cs="Arial" w:eastAsia="Arial" w:hAnsi="Arial"/>
          <w:b/>
          <w:bCs/>
          <w:color w:val="2E5FA1"/>
          <w:sz w:val="26"/>
          <w:szCs w:val="26"/>
        </w:rPr>
        <w:t xml:space="preserve">10.1 Skill Files (6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blueprint-orchestrator/SKILL.md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coordinator. Manages handoffs, enforces quality gates, references all other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blueprint-intake/SKILL.md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 1: Processes intake form and documents into Compressed Client Dossier.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blueprint-maturity/SKILL.md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Step 2: Scores AI readiness across 6 dimensions.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blueprint-opportunities/SKILL.md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 3: Generates and scores 5–7 AI opportunities.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blueprint-roadmap/SKILL.md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Step 4: Sequences opportunities into Now/Next/Later.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blueprint-assembly/SKILL.md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 5: Compiles everything into the final 12–18 page client deliverable.</w:t>
            </w:r>
          </w:p>
        </w:tc>
      </w:tr>
    </w:tbl>
    <w:p>
      <w:pPr>
        <w:spacing w:before="200"/>
      </w:pPr>
      <w:r>
        <w:rPr>
          <w:rFonts w:ascii="Arial" w:cs="Arial" w:eastAsia="Arial" w:hAnsi="Arial"/>
          <w:sz w:val="22"/>
          <w:szCs w:val="22"/>
        </w:rPr>
        <w:t xml:space="preserve"> </w:t>
      </w:r>
    </w:p>
    <w:p>
      <w:pPr>
        <w:pStyle w:val="Heading2"/>
        <w:spacing w:after="160" w:before="280"/>
      </w:pPr>
      <w:r>
        <w:rPr>
          <w:rFonts w:ascii="Arial" w:cs="Arial" w:eastAsia="Arial" w:hAnsi="Arial"/>
          <w:b/>
          <w:bCs/>
          <w:color w:val="2E5FA1"/>
          <w:sz w:val="26"/>
          <w:szCs w:val="26"/>
        </w:rPr>
        <w:t xml:space="preserve">10.2 Core Reference Files (4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methodology-and-contracts.md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Shared methodology, scoring frameworks, data contracts, quality rules.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quality-gate-algorithm.md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Confidence Score algorithm with 5 dimensions, rubrics, and band definitions.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evidence-grounding-checklist.md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Anti-hallucination 7-point grounding check and 10-point red flag list.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pipeline-execution-sop.md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SOP: step-by-step execution, remediation workflows, escalation paths, timing.</w:t>
            </w:r>
          </w:p>
        </w:tc>
      </w:tr>
    </w:tbl>
    <w:p>
      <w:pPr>
        <w:spacing w:before="200"/>
      </w:pPr>
      <w:r>
        <w:rPr>
          <w:rFonts w:ascii="Arial" w:cs="Arial" w:eastAsia="Arial" w:hAnsi="Arial"/>
          <w:sz w:val="22"/>
          <w:szCs w:val="22"/>
        </w:rPr>
        <w:t xml:space="preserve"> </w:t>
      </w:r>
    </w:p>
    <w:p>
      <w:pPr>
        <w:pStyle w:val="Heading2"/>
        <w:spacing w:after="160" w:before="280"/>
      </w:pPr>
      <w:r>
        <w:rPr>
          <w:rFonts w:ascii="Arial" w:cs="Arial" w:eastAsia="Arial" w:hAnsi="Arial"/>
          <w:b/>
          <w:bCs/>
          <w:color w:val="2E5FA1"/>
          <w:sz w:val="26"/>
          <w:szCs w:val="26"/>
        </w:rPr>
        <w:t xml:space="preserve">10.3 Quality Benchmark References (2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golden-example.md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Complete exemplar pipeline run (NovaTrans Logistics) at Green quality. The concrete benchmark.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industry-hallucination-hotspots.md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Industry-specific hallucination patterns for 7 verticals.</w:t>
            </w:r>
          </w:p>
        </w:tc>
      </w:tr>
    </w:tbl>
    <w:p>
      <w:pPr>
        <w:spacing w:before="200"/>
      </w:pPr>
      <w:r>
        <w:rPr>
          <w:rFonts w:ascii="Arial" w:cs="Arial" w:eastAsia="Arial" w:hAnsi="Arial"/>
          <w:sz w:val="22"/>
          <w:szCs w:val="22"/>
        </w:rPr>
        <w:t xml:space="preserve"> </w:t>
      </w:r>
    </w:p>
    <w:p>
      <w:pPr>
        <w:pStyle w:val="Heading2"/>
        <w:spacing w:after="160" w:before="280"/>
      </w:pPr>
      <w:r>
        <w:rPr>
          <w:rFonts w:ascii="Arial" w:cs="Arial" w:eastAsia="Arial" w:hAnsi="Arial"/>
          <w:b/>
          <w:bCs/>
          <w:color w:val="2E5FA1"/>
          <w:sz w:val="26"/>
          <w:szCs w:val="26"/>
        </w:rPr>
        <w:t xml:space="preserve">10.4 Pre-Pipeline and Operational Tools (4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2E5FA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intake-form-quality-scoring.md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Pre-pipeline form quality screen with go/no-go thresholds.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client-material-templates.md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Templates for all 8 document categories. Shareable with clients during onboarding.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validate_data_contract.py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Python script for programmatic output validation.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engagement-tracker.xlsx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4-sheet Excel workbook for QG scores, remediation tracking, and continuous improvement.</w:t>
            </w:r>
          </w:p>
        </w:tc>
      </w:tr>
    </w:tbl>
    <w:p>
      <w:r>
        <w:br w:type="page"/>
      </w:r>
    </w:p>
    <w:p>
      <w:pPr>
        <w:pStyle w:val="Heading1"/>
        <w:spacing w:after="200" w:before="360"/>
      </w:pPr>
      <w:r>
        <w:rPr>
          <w:rFonts w:ascii="Arial" w:cs="Arial" w:eastAsia="Arial" w:hAnsi="Arial"/>
          <w:b/>
          <w:bCs/>
          <w:color w:val="1A1A2E"/>
          <w:sz w:val="32"/>
          <w:szCs w:val="32"/>
        </w:rPr>
        <w:t xml:space="preserve">11. Key Takeaways</w:t>
      </w:r>
    </w:p>
    <w:p>
      <w:pPr>
        <w:spacing w:after="160" w:line="300"/>
      </w:pPr>
      <w:r>
        <w:rPr>
          <w:rFonts w:ascii="Arial" w:cs="Arial" w:eastAsia="Arial" w:hAnsi="Arial"/>
          <w:color w:val="333333"/>
          <w:sz w:val="22"/>
          <w:szCs w:val="22"/>
        </w:rPr>
        <w:t xml:space="preserve">If you remember nothing else from this document, remember these five things:</w:t>
      </w:r>
    </w:p>
    <w:p>
      <w:pPr>
        <w:pStyle w:val="ListParagraph"/>
        <w:numPr>
          <w:ilvl w:val="0"/>
          <w:numId w:val="5"/>
        </w:numPr>
        <w:spacing w:after="160" w:line="300"/>
      </w:pPr>
      <w:r>
        <w:rPr>
          <w:rFonts w:ascii="Arial" w:cs="Arial" w:eastAsia="Arial" w:hAnsi="Arial"/>
          <w:b/>
          <w:bCs/>
          <w:color w:val="333333"/>
          <w:sz w:val="22"/>
          <w:szCs w:val="22"/>
        </w:rPr>
        <w:t xml:space="preserve">The pipeline catches its own mistakes — but only if you let it. </w:t>
      </w:r>
      <w:r>
        <w:rPr>
          <w:rFonts w:ascii="Arial" w:cs="Arial" w:eastAsia="Arial" w:hAnsi="Arial"/>
          <w:color w:val="333333"/>
          <w:sz w:val="22"/>
          <w:szCs w:val="22"/>
        </w:rPr>
        <w:t xml:space="preserve">The quality gates exist to protect you and the client. Do not skip them. Do not ignore Amber flags because you are in a hurry. The 15 minutes you save by ignoring a flag could cost you 3 hours of fixing a contaminated downstream output.</w:t>
      </w:r>
    </w:p>
    <w:p>
      <w:pPr>
        <w:pStyle w:val="ListParagraph"/>
        <w:numPr>
          <w:ilvl w:val="0"/>
          <w:numId w:val="5"/>
        </w:numPr>
        <w:spacing w:after="160" w:line="300"/>
      </w:pPr>
      <w:r>
        <w:rPr>
          <w:rFonts w:ascii="Arial" w:cs="Arial" w:eastAsia="Arial" w:hAnsi="Arial"/>
          <w:b/>
          <w:bCs/>
          <w:color w:val="333333"/>
          <w:sz w:val="22"/>
          <w:szCs w:val="22"/>
        </w:rPr>
        <w:t xml:space="preserve">Evidence is everything. </w:t>
      </w:r>
      <w:r>
        <w:rPr>
          <w:rFonts w:ascii="Arial" w:cs="Arial" w:eastAsia="Arial" w:hAnsi="Arial"/>
          <w:color w:val="333333"/>
          <w:sz w:val="22"/>
          <w:szCs w:val="22"/>
        </w:rPr>
        <w:t xml:space="preserve">If a claim does not have a confidence tag, it should not be trusted. If the tag says [Assumption], that is the system honestly telling you it made something up. These tags are not bureaucracy — they are your early warning system.</w:t>
      </w:r>
    </w:p>
    <w:p>
      <w:pPr>
        <w:pStyle w:val="ListParagraph"/>
        <w:numPr>
          <w:ilvl w:val="0"/>
          <w:numId w:val="5"/>
        </w:numPr>
        <w:spacing w:after="160" w:line="300"/>
      </w:pPr>
      <w:r>
        <w:rPr>
          <w:rFonts w:ascii="Arial" w:cs="Arial" w:eastAsia="Arial" w:hAnsi="Arial"/>
          <w:b/>
          <w:bCs/>
          <w:color w:val="333333"/>
          <w:sz w:val="22"/>
          <w:szCs w:val="22"/>
        </w:rPr>
        <w:t xml:space="preserve">Garbage in, garbage out — so screen the garbage first. </w:t>
      </w:r>
      <w:r>
        <w:rPr>
          <w:rFonts w:ascii="Arial" w:cs="Arial" w:eastAsia="Arial" w:hAnsi="Arial"/>
          <w:color w:val="333333"/>
          <w:sz w:val="22"/>
          <w:szCs w:val="22"/>
        </w:rPr>
        <w:t xml:space="preserve">The pre-pipeline quality screens exist for a reason. If the client’s intake form is thin and their documents are sparse, the best AI system in the world cannot produce a reliable Blueprint. It is better to go back to the client for better materials than to run the pipeline on insufficient inputs.</w:t>
      </w:r>
    </w:p>
    <w:p>
      <w:pPr>
        <w:pStyle w:val="ListParagraph"/>
        <w:numPr>
          <w:ilvl w:val="0"/>
          <w:numId w:val="5"/>
        </w:numPr>
        <w:spacing w:after="160" w:line="300"/>
      </w:pPr>
      <w:r>
        <w:rPr>
          <w:rFonts w:ascii="Arial" w:cs="Arial" w:eastAsia="Arial" w:hAnsi="Arial"/>
          <w:b/>
          <w:bCs/>
          <w:color w:val="333333"/>
          <w:sz w:val="22"/>
          <w:szCs w:val="22"/>
        </w:rPr>
        <w:t xml:space="preserve">Your judgment is the final quality gate. </w:t>
      </w:r>
      <w:r>
        <w:rPr>
          <w:rFonts w:ascii="Arial" w:cs="Arial" w:eastAsia="Arial" w:hAnsi="Arial"/>
          <w:color w:val="333333"/>
          <w:sz w:val="22"/>
          <w:szCs w:val="22"/>
        </w:rPr>
        <w:t xml:space="preserve">The system scores quality algorithmically. But you know the client, the industry, and the business context. A Green score means the output is technically sound — it does not mean it is the right thing to say to this particular client at this particular moment. That judgment is yours, and it is the reason this is a consultant-delivered service, not a self-service tool.</w:t>
      </w:r>
    </w:p>
    <w:p>
      <w:pPr>
        <w:pStyle w:val="ListParagraph"/>
        <w:numPr>
          <w:ilvl w:val="0"/>
          <w:numId w:val="5"/>
        </w:numPr>
        <w:spacing w:after="160" w:line="300"/>
      </w:pPr>
      <w:r>
        <w:rPr>
          <w:rFonts w:ascii="Arial" w:cs="Arial" w:eastAsia="Arial" w:hAnsi="Arial"/>
          <w:b/>
          <w:bCs/>
          <w:color w:val="333333"/>
          <w:sz w:val="22"/>
          <w:szCs w:val="22"/>
        </w:rPr>
        <w:t xml:space="preserve">Log everything. </w:t>
      </w:r>
      <w:r>
        <w:rPr>
          <w:rFonts w:ascii="Arial" w:cs="Arial" w:eastAsia="Arial" w:hAnsi="Arial"/>
          <w:color w:val="333333"/>
          <w:sz w:val="22"/>
          <w:szCs w:val="22"/>
        </w:rPr>
        <w:t xml:space="preserve">Use the Engagement Tracker. Record your QG scores, your remediation time, and your observations. This data makes the system better over time. Today’s friction is tomorrow’s improvement — but only if we capture it.</w:t>
      </w:r>
    </w:p>
    <w:p>
      <w:pPr>
        <w:spacing w:before="300"/>
      </w:pPr>
      <w:r>
        <w:rPr>
          <w:rFonts w:ascii="Arial" w:cs="Arial" w:eastAsia="Arial" w:hAnsi="Arial"/>
          <w:sz w:val="22"/>
          <w:szCs w:val="22"/>
        </w:rPr>
        <w:t xml:space="preserve"> </w:t>
      </w:r>
    </w:p>
    <w:p>
      <w:pPr>
        <w:pBdr>
          <w:top w:val="single" w:color="2E5FA1" w:sz="2" w:space="8"/>
        </w:pBdr>
        <w:spacing w:before="200"/>
      </w:pPr>
    </w:p>
    <w:p>
      <w:pPr>
        <w:spacing w:after="160" w:line="300"/>
        <w:jc w:val="center"/>
      </w:pPr>
      <w:r>
        <w:rPr>
          <w:rFonts w:ascii="Arial" w:cs="Arial" w:eastAsia="Arial" w:hAnsi="Arial"/>
          <w:i/>
          <w:iCs/>
          <w:color w:val="666666"/>
          <w:sz w:val="22"/>
          <w:szCs w:val="22"/>
        </w:rPr>
        <w:t xml:space="preserve">This document is version 2.0 of the EmpaTech AI Value Blueprint system documentation, dated May 2026. For questions, contact Steven (info@aiassist.bg).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1" w:sz="2" w:space="4"/>
      </w:pBdr>
    </w:pPr>
    <w:r>
      <w:rPr>
        <w:rFonts w:ascii="Arial" w:cs="Arial" w:eastAsia="Arial" w:hAnsi="Arial"/>
        <w:color w:val="666666"/>
        <w:sz w:val="16"/>
        <w:szCs w:val="16"/>
      </w:rPr>
      <w:t xml:space="preserve">AI Assist BG  |  EmpaTech AI Value Blueprint — Executive Summary &amp; Operational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10"/>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A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2026-05-18T09:43:11.116Z</dcterms:created>
  <dcterms:modified xsi:type="dcterms:W3CDTF">2026-05-18T09:43:11.120Z</dcterms:modified>
</cp:coreProperties>
</file>

<file path=docProps/custom.xml><?xml version="1.0" encoding="utf-8"?>
<Properties xmlns="http://schemas.openxmlformats.org/officeDocument/2006/custom-properties" xmlns:vt="http://schemas.openxmlformats.org/officeDocument/2006/docPropsVTypes"/>
</file>